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47E8F" w14:textId="77777777" w:rsidR="00D7560A" w:rsidRDefault="001E3CAB">
      <w:pPr>
        <w:widowControl/>
        <w:jc w:val="left"/>
        <w:rPr>
          <w:rFonts w:ascii="宋体" w:eastAsia="宋体" w:hAnsi="宋体" w:cs="宋体"/>
          <w:vanish/>
          <w:kern w:val="0"/>
          <w:sz w:val="24"/>
        </w:rPr>
      </w:pPr>
      <w:r>
        <w:rPr>
          <w:rFonts w:ascii="宋体" w:eastAsia="宋体" w:hAnsi="宋体" w:cs="宋体" w:hint="eastAsia"/>
          <w:vanish/>
          <w:kern w:val="0"/>
          <w:sz w:val="24"/>
          <w:lang w:bidi="ar"/>
        </w:rPr>
        <w:t>0001571996February 32023Q2false</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8"/>
        <w:gridCol w:w="2895"/>
        <w:gridCol w:w="37"/>
        <w:gridCol w:w="120"/>
        <w:gridCol w:w="1159"/>
        <w:gridCol w:w="36"/>
        <w:gridCol w:w="36"/>
        <w:gridCol w:w="36"/>
        <w:gridCol w:w="36"/>
        <w:gridCol w:w="120"/>
        <w:gridCol w:w="1159"/>
        <w:gridCol w:w="36"/>
        <w:gridCol w:w="36"/>
        <w:gridCol w:w="36"/>
        <w:gridCol w:w="36"/>
        <w:gridCol w:w="120"/>
        <w:gridCol w:w="1050"/>
        <w:gridCol w:w="36"/>
        <w:gridCol w:w="36"/>
        <w:gridCol w:w="36"/>
        <w:gridCol w:w="36"/>
        <w:gridCol w:w="120"/>
        <w:gridCol w:w="1050"/>
        <w:gridCol w:w="36"/>
      </w:tblGrid>
      <w:tr w:rsidR="00D7560A" w14:paraId="59E47EA8" w14:textId="77777777">
        <w:tc>
          <w:tcPr>
            <w:tcW w:w="50" w:type="pct"/>
            <w:tcBorders>
              <w:top w:val="nil"/>
              <w:left w:val="nil"/>
              <w:bottom w:val="nil"/>
              <w:right w:val="nil"/>
            </w:tcBorders>
            <w:shd w:val="clear" w:color="auto" w:fill="auto"/>
            <w:vAlign w:val="bottom"/>
          </w:tcPr>
          <w:p w14:paraId="59E47E90" w14:textId="19B5A9D8" w:rsidR="00D7560A" w:rsidRDefault="001E3CAB">
            <w:pPr>
              <w:widowControl/>
              <w:jc w:val="left"/>
              <w:rPr>
                <w:rFonts w:ascii="Times New Roman" w:eastAsia="宋体" w:hAnsi="宋体" w:cs="宋体"/>
                <w:kern w:val="0"/>
                <w:sz w:val="24"/>
              </w:rPr>
            </w:pPr>
            <w:r>
              <w:rPr>
                <w:rFonts w:ascii="Times New Roman" w:eastAsia="宋体" w:hAnsi="宋体" w:cs="宋体"/>
                <w:kern w:val="0"/>
                <w:sz w:val="24"/>
              </w:rPr>
              <w:t xml:space="preserve"> </w:t>
            </w:r>
          </w:p>
        </w:tc>
        <w:tc>
          <w:tcPr>
            <w:tcW w:w="1801" w:type="pct"/>
            <w:tcBorders>
              <w:top w:val="nil"/>
              <w:left w:val="nil"/>
              <w:bottom w:val="nil"/>
              <w:right w:val="nil"/>
            </w:tcBorders>
            <w:shd w:val="clear" w:color="auto" w:fill="auto"/>
            <w:vAlign w:val="bottom"/>
          </w:tcPr>
          <w:p w14:paraId="59E47E91"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7E92"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7E93" w14:textId="77777777" w:rsidR="00D7560A" w:rsidRDefault="00D7560A">
            <w:pPr>
              <w:widowControl/>
              <w:jc w:val="left"/>
              <w:rPr>
                <w:rFonts w:ascii="Times New Roman" w:eastAsia="宋体" w:hAnsi="宋体" w:cs="宋体"/>
                <w:kern w:val="0"/>
                <w:sz w:val="24"/>
              </w:rPr>
            </w:pPr>
          </w:p>
        </w:tc>
        <w:tc>
          <w:tcPr>
            <w:tcW w:w="741" w:type="pct"/>
            <w:tcBorders>
              <w:top w:val="nil"/>
              <w:left w:val="nil"/>
              <w:bottom w:val="nil"/>
              <w:right w:val="nil"/>
            </w:tcBorders>
            <w:shd w:val="clear" w:color="auto" w:fill="auto"/>
            <w:vAlign w:val="bottom"/>
          </w:tcPr>
          <w:p w14:paraId="59E47E94"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7E95"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7E96" w14:textId="77777777" w:rsidR="00D7560A" w:rsidRDefault="00D7560A">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59E47E97"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7E98"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7E99" w14:textId="77777777" w:rsidR="00D7560A" w:rsidRDefault="00D7560A">
            <w:pPr>
              <w:widowControl/>
              <w:jc w:val="left"/>
              <w:rPr>
                <w:rFonts w:ascii="Times New Roman" w:eastAsia="宋体" w:hAnsi="宋体" w:cs="宋体"/>
                <w:kern w:val="0"/>
                <w:sz w:val="24"/>
              </w:rPr>
            </w:pPr>
          </w:p>
        </w:tc>
        <w:tc>
          <w:tcPr>
            <w:tcW w:w="741" w:type="pct"/>
            <w:tcBorders>
              <w:top w:val="nil"/>
              <w:left w:val="nil"/>
              <w:bottom w:val="nil"/>
              <w:right w:val="nil"/>
            </w:tcBorders>
            <w:shd w:val="clear" w:color="auto" w:fill="auto"/>
            <w:vAlign w:val="bottom"/>
          </w:tcPr>
          <w:p w14:paraId="59E47E9A"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7E9B"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7E9C" w14:textId="77777777" w:rsidR="00D7560A" w:rsidRDefault="00D7560A">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59E47E9D"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7E9E"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7E9F" w14:textId="77777777" w:rsidR="00D7560A" w:rsidRDefault="00D7560A">
            <w:pPr>
              <w:widowControl/>
              <w:jc w:val="left"/>
              <w:rPr>
                <w:rFonts w:ascii="Times New Roman" w:eastAsia="宋体" w:hAnsi="宋体" w:cs="宋体"/>
                <w:kern w:val="0"/>
                <w:sz w:val="24"/>
              </w:rPr>
            </w:pPr>
          </w:p>
        </w:tc>
        <w:tc>
          <w:tcPr>
            <w:tcW w:w="675" w:type="pct"/>
            <w:tcBorders>
              <w:top w:val="nil"/>
              <w:left w:val="nil"/>
              <w:bottom w:val="nil"/>
              <w:right w:val="nil"/>
            </w:tcBorders>
            <w:shd w:val="clear" w:color="auto" w:fill="auto"/>
            <w:vAlign w:val="bottom"/>
          </w:tcPr>
          <w:p w14:paraId="59E47EA0"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7EA1"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7EA2" w14:textId="77777777" w:rsidR="00D7560A" w:rsidRDefault="00D7560A">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59E47EA3"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7EA4"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7EA5" w14:textId="77777777" w:rsidR="00D7560A" w:rsidRDefault="00D7560A">
            <w:pPr>
              <w:widowControl/>
              <w:jc w:val="left"/>
              <w:rPr>
                <w:rFonts w:ascii="Times New Roman" w:eastAsia="宋体" w:hAnsi="宋体" w:cs="宋体"/>
                <w:kern w:val="0"/>
                <w:sz w:val="24"/>
              </w:rPr>
            </w:pPr>
          </w:p>
        </w:tc>
        <w:tc>
          <w:tcPr>
            <w:tcW w:w="675" w:type="pct"/>
            <w:tcBorders>
              <w:top w:val="nil"/>
              <w:left w:val="nil"/>
              <w:bottom w:val="nil"/>
              <w:right w:val="nil"/>
            </w:tcBorders>
            <w:shd w:val="clear" w:color="auto" w:fill="auto"/>
            <w:vAlign w:val="bottom"/>
          </w:tcPr>
          <w:p w14:paraId="59E47EA6"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7EA7" w14:textId="77777777" w:rsidR="00D7560A" w:rsidRDefault="00D7560A">
            <w:pPr>
              <w:widowControl/>
              <w:jc w:val="left"/>
              <w:rPr>
                <w:rFonts w:ascii="Times New Roman" w:eastAsia="宋体" w:hAnsi="宋体" w:cs="宋体"/>
                <w:kern w:val="0"/>
                <w:sz w:val="24"/>
              </w:rPr>
            </w:pPr>
          </w:p>
        </w:tc>
      </w:tr>
      <w:tr w:rsidR="00D7560A" w14:paraId="59E47EB1"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9E47EA9"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(a) Includes related party cost of net revenue as follows:</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7EAA"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7EAB"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7EAC"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7EAD"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7EAE"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7EAF"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7EB0" w14:textId="77777777" w:rsidR="00D7560A" w:rsidRDefault="00D7560A">
            <w:pPr>
              <w:widowControl/>
              <w:jc w:val="left"/>
              <w:rPr>
                <w:rFonts w:ascii="Times New Roman" w:eastAsia="宋体" w:hAnsi="宋体" w:cs="宋体"/>
                <w:kern w:val="0"/>
                <w:sz w:val="24"/>
              </w:rPr>
            </w:pPr>
          </w:p>
        </w:tc>
      </w:tr>
      <w:tr w:rsidR="00D7560A" w14:paraId="59E47EC2" w14:textId="77777777">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59E47EB2"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Products</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9E47EB3"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9E47EB4"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426 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7EB5"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7EB6"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9E47EB7"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9E47EB8"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387 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7EB9"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7EBA"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Mar>
              <w:top w:w="40" w:type="dxa"/>
              <w:left w:w="20" w:type="dxa"/>
              <w:bottom w:w="40" w:type="dxa"/>
              <w:right w:w="0" w:type="dxa"/>
            </w:tcMar>
            <w:vAlign w:val="bottom"/>
          </w:tcPr>
          <w:p w14:paraId="59E47EBB"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auto"/>
            <w:tcMar>
              <w:top w:w="40" w:type="dxa"/>
              <w:left w:w="0" w:type="dxa"/>
              <w:bottom w:w="40" w:type="dxa"/>
              <w:right w:w="0" w:type="dxa"/>
            </w:tcMar>
            <w:vAlign w:val="bottom"/>
          </w:tcPr>
          <w:p w14:paraId="59E47EBC"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681 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59E47EBD"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7EBE"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Mar>
              <w:top w:w="40" w:type="dxa"/>
              <w:left w:w="20" w:type="dxa"/>
              <w:bottom w:w="40" w:type="dxa"/>
              <w:right w:w="0" w:type="dxa"/>
            </w:tcMar>
            <w:vAlign w:val="bottom"/>
          </w:tcPr>
          <w:p w14:paraId="59E47EBF"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auto"/>
            <w:tcMar>
              <w:top w:w="40" w:type="dxa"/>
              <w:left w:w="0" w:type="dxa"/>
              <w:bottom w:w="40" w:type="dxa"/>
              <w:right w:w="0" w:type="dxa"/>
            </w:tcMar>
            <w:vAlign w:val="bottom"/>
          </w:tcPr>
          <w:p w14:paraId="59E47EC0"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706 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59E47EC1" w14:textId="77777777" w:rsidR="00D7560A" w:rsidRDefault="00D7560A">
            <w:pPr>
              <w:widowControl/>
              <w:jc w:val="right"/>
              <w:rPr>
                <w:rFonts w:ascii="Times New Roman" w:eastAsia="宋体" w:hAnsi="宋体" w:cs="宋体"/>
                <w:kern w:val="0"/>
                <w:sz w:val="24"/>
              </w:rPr>
            </w:pPr>
          </w:p>
        </w:tc>
      </w:tr>
      <w:tr w:rsidR="00D7560A" w14:paraId="59E47ED3" w14:textId="77777777">
        <w:tc>
          <w:tcPr>
            <w:tcW w:w="0" w:type="auto"/>
            <w:gridSpan w:val="3"/>
            <w:tcBorders>
              <w:top w:val="nil"/>
              <w:left w:val="nil"/>
              <w:bottom w:val="nil"/>
              <w:right w:val="nil"/>
            </w:tcBorders>
            <w:shd w:val="clear" w:color="auto" w:fill="CCEEFF"/>
            <w:tcMar>
              <w:top w:w="40" w:type="dxa"/>
              <w:left w:w="245" w:type="dxa"/>
              <w:bottom w:w="40" w:type="dxa"/>
              <w:right w:w="20" w:type="dxa"/>
            </w:tcMar>
            <w:vAlign w:val="bottom"/>
          </w:tcPr>
          <w:p w14:paraId="59E47EC3"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Services</w:t>
            </w: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9E47EC4"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9E47EC5"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762 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7EC6"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7EC7"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9E47EC8"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9E47EC9"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616 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7ECA"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7ECB"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Mar>
              <w:top w:w="40" w:type="dxa"/>
              <w:left w:w="20" w:type="dxa"/>
              <w:bottom w:w="40" w:type="dxa"/>
              <w:right w:w="0" w:type="dxa"/>
            </w:tcMar>
            <w:vAlign w:val="bottom"/>
          </w:tcPr>
          <w:p w14:paraId="59E47ECC"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auto"/>
            <w:tcMar>
              <w:top w:w="40" w:type="dxa"/>
              <w:left w:w="0" w:type="dxa"/>
              <w:bottom w:w="40" w:type="dxa"/>
              <w:right w:w="0" w:type="dxa"/>
            </w:tcMar>
            <w:vAlign w:val="bottom"/>
          </w:tcPr>
          <w:p w14:paraId="59E47ECD"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1,471 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59E47ECE"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7ECF"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Mar>
              <w:top w:w="40" w:type="dxa"/>
              <w:left w:w="20" w:type="dxa"/>
              <w:bottom w:w="40" w:type="dxa"/>
              <w:right w:w="0" w:type="dxa"/>
            </w:tcMar>
            <w:vAlign w:val="bottom"/>
          </w:tcPr>
          <w:p w14:paraId="59E47ED0"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auto"/>
            <w:tcMar>
              <w:top w:w="40" w:type="dxa"/>
              <w:left w:w="0" w:type="dxa"/>
              <w:bottom w:w="40" w:type="dxa"/>
              <w:right w:w="0" w:type="dxa"/>
            </w:tcMar>
            <w:vAlign w:val="bottom"/>
          </w:tcPr>
          <w:p w14:paraId="59E47ED1"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1,194 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59E47ED2" w14:textId="77777777" w:rsidR="00D7560A" w:rsidRDefault="00D7560A">
            <w:pPr>
              <w:widowControl/>
              <w:jc w:val="right"/>
              <w:rPr>
                <w:rFonts w:ascii="Times New Roman" w:eastAsia="宋体" w:hAnsi="宋体" w:cs="宋体"/>
                <w:kern w:val="0"/>
                <w:sz w:val="24"/>
              </w:rPr>
            </w:pPr>
          </w:p>
        </w:tc>
      </w:tr>
    </w:tbl>
    <w:p w14:paraId="59E47ED4" w14:textId="77777777" w:rsidR="00D7560A" w:rsidRDefault="001E3CAB">
      <w:pPr>
        <w:widowControl/>
        <w:jc w:val="left"/>
        <w:rPr>
          <w:rFonts w:ascii="宋体" w:eastAsia="宋体" w:hAnsi="宋体" w:cs="宋体"/>
          <w:kern w:val="0"/>
          <w:sz w:val="24"/>
        </w:rPr>
      </w:pPr>
      <w:r>
        <w:rPr>
          <w:rFonts w:ascii="宋体" w:eastAsia="宋体" w:hAnsi="宋体" w:cs="宋体" w:hint="eastAsia"/>
          <w:vanish/>
          <w:kern w:val="0"/>
          <w:sz w:val="24"/>
          <w:lang w:bidi="ar"/>
        </w:rPr>
        <w:t>P2YP3Yhttp://fasb.org/us-gaap/2022#OtherAssetsNoncurrenthttp://fasb.org/us-gaap/2022#OtherAssetsNoncurrenthttp://fasb.org/us-gaap/2022#AccruedLiabilities</w:t>
      </w:r>
      <w:r>
        <w:rPr>
          <w:rFonts w:ascii="宋体" w:eastAsia="宋体" w:hAnsi="宋体" w:cs="宋体" w:hint="eastAsia"/>
          <w:vanish/>
          <w:kern w:val="0"/>
          <w:sz w:val="24"/>
          <w:lang w:bidi="ar"/>
        </w:rPr>
        <w:t>Currenthttp://fasb.org/us-gaap/2022#AccruedLiabilitiesCurrenthttp://fasb.org/us-gaap/2022#OtherLiabilitiesNoncurrenthttp://fasb.org/us-gaap/2022#OtherLiabilitiesNoncurrent00015719962022-01-292022-07-290001571996us-gaap:CommonClassCMember2022-08-26xbrli:sha</w:t>
      </w:r>
      <w:r>
        <w:rPr>
          <w:rFonts w:ascii="宋体" w:eastAsia="宋体" w:hAnsi="宋体" w:cs="宋体" w:hint="eastAsia"/>
          <w:vanish/>
          <w:kern w:val="0"/>
          <w:sz w:val="24"/>
          <w:lang w:bidi="ar"/>
        </w:rPr>
        <w:t>res0001571996us-gaap:CommonClassAMember2022-08-260001571996us-gaap:CommonClassBMember2022-08-2600015719962022-07-29iso4217:USD00015719962022-01-28iso4217:USDxbrli:shares0001571996us-gaap:ProductMember2022-04-302022-07-290001571996us-gaap:ProductMember2021-</w:t>
      </w:r>
      <w:r>
        <w:rPr>
          <w:rFonts w:ascii="宋体" w:eastAsia="宋体" w:hAnsi="宋体" w:cs="宋体" w:hint="eastAsia"/>
          <w:vanish/>
          <w:kern w:val="0"/>
          <w:sz w:val="24"/>
          <w:lang w:bidi="ar"/>
        </w:rPr>
        <w:t>05-012021-07-300001571996us-gaap:ProductMember2022-01-292022-07-290001571996us-gaap:ProductMember2021-01-302021-07-300001571996us-gaap:ServiceMember2022-04-302022-07-290001571996us-gaap:ServiceMember2021-05-012021-07-300001571996us-gaap:ServiceMember2022-0</w:t>
      </w:r>
      <w:r>
        <w:rPr>
          <w:rFonts w:ascii="宋体" w:eastAsia="宋体" w:hAnsi="宋体" w:cs="宋体" w:hint="eastAsia"/>
          <w:vanish/>
          <w:kern w:val="0"/>
          <w:sz w:val="24"/>
          <w:lang w:bidi="ar"/>
        </w:rPr>
        <w:t>1-292022-07-290001571996us-gaap:ServiceMember2021-01-302021-07-3000015719962022-04-302022-07-2900015719962021-05-012021-07-3000015719962021-01-302021-07-3000015719962021-01-2900015719962021-07-300001571996us-gaap:CommonStockIncludingAdditionalPaidInCapital</w:t>
      </w:r>
      <w:r>
        <w:rPr>
          <w:rFonts w:ascii="宋体" w:eastAsia="宋体" w:hAnsi="宋体" w:cs="宋体" w:hint="eastAsia"/>
          <w:vanish/>
          <w:kern w:val="0"/>
          <w:sz w:val="24"/>
          <w:lang w:bidi="ar"/>
        </w:rPr>
        <w:t>Member2022-04-290001571996us-gaap:TreasuryStockCommonMember2022-04-290001571996us-gaap:RetainedEarningsMember2022-04-290001571996us-gaap:AccumulatedOtherComprehensiveIncomeMember2022-04-290001571996us-gaap:ParentMember2022-04-290001571996us-gaap:Noncontrol</w:t>
      </w:r>
      <w:r>
        <w:rPr>
          <w:rFonts w:ascii="宋体" w:eastAsia="宋体" w:hAnsi="宋体" w:cs="宋体" w:hint="eastAsia"/>
          <w:vanish/>
          <w:kern w:val="0"/>
          <w:sz w:val="24"/>
          <w:lang w:bidi="ar"/>
        </w:rPr>
        <w:t>lingInterestMember2022-04-2900015719962022-04-290001571996us-gaap:RetainedEarningsMember2022-04-302022-07-290001571996us-gaap:ParentMember2022-04-302022-07-290001571996us-gaap:NoncontrollingInterestMember2022-04-302022-07-290001571996us-gaap:AccumulatedOth</w:t>
      </w:r>
      <w:r>
        <w:rPr>
          <w:rFonts w:ascii="宋体" w:eastAsia="宋体" w:hAnsi="宋体" w:cs="宋体" w:hint="eastAsia"/>
          <w:vanish/>
          <w:kern w:val="0"/>
          <w:sz w:val="24"/>
          <w:lang w:bidi="ar"/>
        </w:rPr>
        <w:t>erComprehensiveIncomeMember2022-04-302022-07-290001571996us-gaap:CommonStockIncludingAdditionalPaidInCapitalMember2022-04-302022-07-290001571996us-gaap:TreasuryStockCommonMember2022-04-302022-07-290001571996us-gaap:CommonStockIncludingAdditionalPaidInCapit</w:t>
      </w:r>
      <w:r>
        <w:rPr>
          <w:rFonts w:ascii="宋体" w:eastAsia="宋体" w:hAnsi="宋体" w:cs="宋体" w:hint="eastAsia"/>
          <w:vanish/>
          <w:kern w:val="0"/>
          <w:sz w:val="24"/>
          <w:lang w:bidi="ar"/>
        </w:rPr>
        <w:t>alMember2022-07-290001571996us-gaap:TreasuryStockCommonMember2022-07-290001571996us-gaap:RetainedEarningsMember2022-07-290001571996us-gaap:AccumulatedOtherComprehensiveIncomeMember2022-07-290001571996us-gaap:ParentMember2022-07-290001571996us-gaap:Noncontr</w:t>
      </w:r>
      <w:r>
        <w:rPr>
          <w:rFonts w:ascii="宋体" w:eastAsia="宋体" w:hAnsi="宋体" w:cs="宋体" w:hint="eastAsia"/>
          <w:vanish/>
          <w:kern w:val="0"/>
          <w:sz w:val="24"/>
          <w:lang w:bidi="ar"/>
        </w:rPr>
        <w:t>ollingInterestMember2022-07-290001571996us-gaap:CommonStockIncludingAdditionalPaidInCapitalMember2022-01-280001571996us-gaap:TreasuryStockCommonMember2022-01-280001571996us-gaap:RetainedEarningsMember2022-01-280001571996us-gaap:AccumulatedOtherComprehensiv</w:t>
      </w:r>
      <w:r>
        <w:rPr>
          <w:rFonts w:ascii="宋体" w:eastAsia="宋体" w:hAnsi="宋体" w:cs="宋体" w:hint="eastAsia"/>
          <w:vanish/>
          <w:kern w:val="0"/>
          <w:sz w:val="24"/>
          <w:lang w:bidi="ar"/>
        </w:rPr>
        <w:t>eIncomeMember2022-01-280001571996us-gaap:ParentMember2022-01-280001571996us-gaap:NoncontrollingInterestMember2022-01-280001571996us-gaap:RetainedEarningsMember2022-01-292022-07-290001571996us-gaap:ParentMember2022-01-292022-07-290001571996us-gaap:Noncontro</w:t>
      </w:r>
      <w:r>
        <w:rPr>
          <w:rFonts w:ascii="宋体" w:eastAsia="宋体" w:hAnsi="宋体" w:cs="宋体" w:hint="eastAsia"/>
          <w:vanish/>
          <w:kern w:val="0"/>
          <w:sz w:val="24"/>
          <w:lang w:bidi="ar"/>
        </w:rPr>
        <w:t>llingInterestMember2022-01-292022-07-290001571996us-gaap:AccumulatedOtherComprehensiveIncomeMember2022-01-292022-07-290001571996us-gaap:CommonStockIncludingAdditionalPaidInCapitalMember2022-01-292022-07-290001571996us-gaap:TreasuryStockCommonMember2022-01-</w:t>
      </w:r>
      <w:r>
        <w:rPr>
          <w:rFonts w:ascii="宋体" w:eastAsia="宋体" w:hAnsi="宋体" w:cs="宋体" w:hint="eastAsia"/>
          <w:vanish/>
          <w:kern w:val="0"/>
          <w:sz w:val="24"/>
          <w:lang w:bidi="ar"/>
        </w:rPr>
        <w:t>292022-07-290001571996us-gaap:CommonStockIncludingAdditionalPaidInCapitalMember2021-04-300001571996us-gaap:TreasuryStockCommonMember2021-04-300001571996us-gaap:RetainedEarningsMember2021-04-300001571996us-gaap:AccumulatedOtherComprehensiveIncomeMember2021-</w:t>
      </w:r>
      <w:r>
        <w:rPr>
          <w:rFonts w:ascii="宋体" w:eastAsia="宋体" w:hAnsi="宋体" w:cs="宋体" w:hint="eastAsia"/>
          <w:vanish/>
          <w:kern w:val="0"/>
          <w:sz w:val="24"/>
          <w:lang w:bidi="ar"/>
        </w:rPr>
        <w:t>04-300001571996us-gaap:ParentMember2021-04-300001571996us-gaap:NoncontrollingInterestMember2021-04-3000015719962021-04-300001571996us-gaap:RetainedEarningsMember2021-05-012021-07-300001571996us-gaap:ParentMember2021-05-012021-07-300001571996us-gaap:Noncont</w:t>
      </w:r>
      <w:r>
        <w:rPr>
          <w:rFonts w:ascii="宋体" w:eastAsia="宋体" w:hAnsi="宋体" w:cs="宋体" w:hint="eastAsia"/>
          <w:vanish/>
          <w:kern w:val="0"/>
          <w:sz w:val="24"/>
          <w:lang w:bidi="ar"/>
        </w:rPr>
        <w:t>rollingInterestMember2021-05-012021-07-300001571996us-gaap:AccumulatedOtherComprehensiveIncomeMember2021-05-012021-07-300001571996us-gaap:CommonStockIncludingAdditionalPaidInCapitalMember2021-05-012021-07-300001571996us-gaap:CommonStockIncludingAdditionalP</w:t>
      </w:r>
      <w:r>
        <w:rPr>
          <w:rFonts w:ascii="宋体" w:eastAsia="宋体" w:hAnsi="宋体" w:cs="宋体" w:hint="eastAsia"/>
          <w:vanish/>
          <w:kern w:val="0"/>
          <w:sz w:val="24"/>
          <w:lang w:bidi="ar"/>
        </w:rPr>
        <w:t>aidInCapitalMember2021-07-300001571996us-gaap:TreasuryStockCommonMember2021-07-300001571996us-gaap:RetainedEarningsMember2021-07-300001571996us-gaap:AccumulatedOtherComprehensiveIncomeMember2021-07-300001571996us-gaap:ParentMember2021-07-300001571996us-gaa</w:t>
      </w:r>
      <w:r>
        <w:rPr>
          <w:rFonts w:ascii="宋体" w:eastAsia="宋体" w:hAnsi="宋体" w:cs="宋体" w:hint="eastAsia"/>
          <w:vanish/>
          <w:kern w:val="0"/>
          <w:sz w:val="24"/>
          <w:lang w:bidi="ar"/>
        </w:rPr>
        <w:t>p:NoncontrollingInterestMember2021-07-300001571996us-gaap:CommonStockIncludingAdditionalPaidInCapitalMember2021-01-290001571996us-gaap:TreasuryStockCommonMember2021-01-290001571996us-gaap:RetainedEarningsMember2021-01-290001571996us-gaap:AccumulatedOtherCo</w:t>
      </w:r>
      <w:r>
        <w:rPr>
          <w:rFonts w:ascii="宋体" w:eastAsia="宋体" w:hAnsi="宋体" w:cs="宋体" w:hint="eastAsia"/>
          <w:vanish/>
          <w:kern w:val="0"/>
          <w:sz w:val="24"/>
          <w:lang w:bidi="ar"/>
        </w:rPr>
        <w:t>mprehensiveIncomeMember2021-01-290001571996us-gaap:ParentMember2021-01-290001571996us-gaap:NoncontrollingInterestMember2021-01-290001571996us-gaap:RetainedEarningsMember2021-01-302021-07-300001571996us-gaap:ParentMember2021-01-302021-07-300001571996us-gaap</w:t>
      </w:r>
      <w:r>
        <w:rPr>
          <w:rFonts w:ascii="宋体" w:eastAsia="宋体" w:hAnsi="宋体" w:cs="宋体" w:hint="eastAsia"/>
          <w:vanish/>
          <w:kern w:val="0"/>
          <w:sz w:val="24"/>
          <w:lang w:bidi="ar"/>
        </w:rPr>
        <w:t>:NoncontrollingInterestMember2021-01-302021-07-300001571996us-gaap:AccumulatedOtherComprehensiveIncomeMember2021-01-302021-07-300001571996us-gaap:CommonStockIncludingAdditionalPaidInCapitalMember2021-01-302021-07-300001571996dell:SecureWorksCorp.Member2022</w:t>
      </w:r>
      <w:r>
        <w:rPr>
          <w:rFonts w:ascii="宋体" w:eastAsia="宋体" w:hAnsi="宋体" w:cs="宋体" w:hint="eastAsia"/>
          <w:vanish/>
          <w:kern w:val="0"/>
          <w:sz w:val="24"/>
          <w:lang w:bidi="ar"/>
        </w:rPr>
        <w:t>-07-29xbrli:pure0001571996dell:SecureWorksCorp.Member2022-01-280001571996us-gaap:NoncontrollingInterestMemberdell:SecureWorksCorp.Member2022-01-280001571996us-gaap:NoncontrollingInterestMemberdell:SecureWorksCorp.Member2022-07-290001571996us-gaap:DisposalG</w:t>
      </w:r>
      <w:r>
        <w:rPr>
          <w:rFonts w:ascii="宋体" w:eastAsia="宋体" w:hAnsi="宋体" w:cs="宋体" w:hint="eastAsia"/>
          <w:vanish/>
          <w:kern w:val="0"/>
          <w:sz w:val="24"/>
          <w:lang w:bidi="ar"/>
        </w:rPr>
        <w:t>roupHeldforsaleNotDiscontinuedOperationsMemberdell:BoomiMember2021-10-012021-10-010001571996dell:VMwareInc.Memberus-gaap:SpinoffMemberus-gaap:CommonClassAMember2021-11-012021-11-010001571996dell:VMwareInc.Memberus-gaap:SpinoffMemberus-gaap:CommonClassBMemb</w:t>
      </w:r>
      <w:r>
        <w:rPr>
          <w:rFonts w:ascii="宋体" w:eastAsia="宋体" w:hAnsi="宋体" w:cs="宋体" w:hint="eastAsia"/>
          <w:vanish/>
          <w:kern w:val="0"/>
          <w:sz w:val="24"/>
          <w:lang w:bidi="ar"/>
        </w:rPr>
        <w:t>er2021-11-012021-11-0100015719962021-11-010001571996dell:VMwareInc.Memberus-gaap:SpinoffMember2021-11-012021-11-010001571996dell:VMwareInc.Member2021-11-012021-11-0100015719962021-11-012021-11-010001571996us-gaap:SpinoffMember2021-11-012021-11-010001571996</w:t>
      </w:r>
      <w:r>
        <w:rPr>
          <w:rFonts w:ascii="宋体" w:eastAsia="宋体" w:hAnsi="宋体" w:cs="宋体" w:hint="eastAsia"/>
          <w:vanish/>
          <w:kern w:val="0"/>
          <w:sz w:val="24"/>
          <w:lang w:bidi="ar"/>
        </w:rPr>
        <w:t>dell:TransitionServicesAgreementTSAMember2021-11-012021-11-010001571996us-gaap:DisposalGroupDisposedOfByMeansOtherThanSaleNotDiscontinuedOperationsSpinoffMemberdell:VMwareInc.Member2021-05-012021-07-300001571996us-gaap:DisposalGroupDisposedOfByMeansOtherTh</w:t>
      </w:r>
      <w:r>
        <w:rPr>
          <w:rFonts w:ascii="宋体" w:eastAsia="宋体" w:hAnsi="宋体" w:cs="宋体" w:hint="eastAsia"/>
          <w:vanish/>
          <w:kern w:val="0"/>
          <w:sz w:val="24"/>
          <w:lang w:bidi="ar"/>
        </w:rPr>
        <w:t>anSaleNotDiscontinuedOperationsSpinoffMemberdell:VMwareInc.Member2021-01-302021-07-300001571996us-gaap:MoneyMarketFundsMemberus-gaap:FairValueInputsLevel1Member2022-07-290001571996us-gaap:MoneyMarketFundsMemberus-gaap:FairValueInputsLevel2Member2022-07-290</w:t>
      </w:r>
      <w:r>
        <w:rPr>
          <w:rFonts w:ascii="宋体" w:eastAsia="宋体" w:hAnsi="宋体" w:cs="宋体" w:hint="eastAsia"/>
          <w:vanish/>
          <w:kern w:val="0"/>
          <w:sz w:val="24"/>
          <w:lang w:bidi="ar"/>
        </w:rPr>
        <w:t>001571996us-gaap:MoneyMarketFundsMemberus-gaap:FairValueInputsLevel3Member2022-07-290001571996us-gaap:MoneyMarketFundsMember2022-07-290001571996us-gaap:MoneyMarketFundsMemberus-gaap:FairValueInputsLevel1Member2022-01-280001571996us-gaap:MoneyMarketFundsMem</w:t>
      </w:r>
      <w:r>
        <w:rPr>
          <w:rFonts w:ascii="宋体" w:eastAsia="宋体" w:hAnsi="宋体" w:cs="宋体" w:hint="eastAsia"/>
          <w:vanish/>
          <w:kern w:val="0"/>
          <w:sz w:val="24"/>
          <w:lang w:bidi="ar"/>
        </w:rPr>
        <w:t>berus-gaap:FairValueInputsLevel2Member2022-01-280001571996us-gaap:MoneyMarketFundsMemberus-gaap:FairValueInputsLevel3Member2022-01-280001571996us-gaap:MoneyMarketFundsMember2022-01-280001571996us-gaap:FairValueInputsLevel1Member2022-07-290001571996us-gaap:</w:t>
      </w:r>
      <w:r>
        <w:rPr>
          <w:rFonts w:ascii="宋体" w:eastAsia="宋体" w:hAnsi="宋体" w:cs="宋体" w:hint="eastAsia"/>
          <w:vanish/>
          <w:kern w:val="0"/>
          <w:sz w:val="24"/>
          <w:lang w:bidi="ar"/>
        </w:rPr>
        <w:t>FairValueInputsLevel2Member2022-07-290001571996us-gaap:FairValueInputsLevel3Member2022-07-290001571996us-gaap:FairValueInputsLevel1Member2022-01-280001571996us-gaap:FairValueInputsLevel2Member2022-01-280001571996us-gaap:FairValueInputsLevel3Member2022-01-2</w:t>
      </w:r>
      <w:r>
        <w:rPr>
          <w:rFonts w:ascii="宋体" w:eastAsia="宋体" w:hAnsi="宋体" w:cs="宋体" w:hint="eastAsia"/>
          <w:vanish/>
          <w:kern w:val="0"/>
          <w:sz w:val="24"/>
          <w:lang w:bidi="ar"/>
        </w:rPr>
        <w:t>80001571996dell:StrategicInvestmentsMember2022-07-290001571996dell:StrategicInvestmentsMember2022-01-280001571996us-gaap:SecuredDebtMemberus-gaap:CarryingReportedAmountFairValueDisclosureMemberus-gaap:SeniorNotesMember2022-07-290001571996us-gaap:SecuredDeb</w:t>
      </w:r>
      <w:r>
        <w:rPr>
          <w:rFonts w:ascii="宋体" w:eastAsia="宋体" w:hAnsi="宋体" w:cs="宋体" w:hint="eastAsia"/>
          <w:vanish/>
          <w:kern w:val="0"/>
          <w:sz w:val="24"/>
          <w:lang w:bidi="ar"/>
        </w:rPr>
        <w:t>tMemberus-gaap:EstimateOfFairValueFairValueDisclosureMemberus-gaap:SeniorNotesMember2022-07-290001571996us-gaap:SecuredDebtMemberus-gaap:CarryingReportedAmountFairValueDisclosureMemberus-gaap:SeniorNotesMember2022-01-280001571996us-gaap:SecuredDebtMemberus</w:t>
      </w:r>
      <w:r>
        <w:rPr>
          <w:rFonts w:ascii="宋体" w:eastAsia="宋体" w:hAnsi="宋体" w:cs="宋体" w:hint="eastAsia"/>
          <w:vanish/>
          <w:kern w:val="0"/>
          <w:sz w:val="24"/>
          <w:lang w:bidi="ar"/>
        </w:rPr>
        <w:t>-gaap:EstimateOfFairValueFairValueDisclosureMemberus-gaap:SeniorNotesMember2022-01-280001571996dell:LegacyNotesAndDebenturesMemberus-gaap:CarryingReportedAmountFairValueDisclosureMemberus-gaap:UnsecuredDebtMember2022-07-290001571996dell:LegacyNotesAndDeben</w:t>
      </w:r>
      <w:r>
        <w:rPr>
          <w:rFonts w:ascii="宋体" w:eastAsia="宋体" w:hAnsi="宋体" w:cs="宋体" w:hint="eastAsia"/>
          <w:vanish/>
          <w:kern w:val="0"/>
          <w:sz w:val="24"/>
          <w:lang w:bidi="ar"/>
        </w:rPr>
        <w:t>turesMemberus-gaap:EstimateOfFairValueFairValueDisclosureMemberus-gaap:UnsecuredDebtMember2022-07-290001571996dell:LegacyNotesAndDebenturesMemberus-gaap:CarryingReportedAmountFairValueDisclosureMemberus-gaap:UnsecuredDebtMember2022-01-280001571996dell:Lega</w:t>
      </w:r>
      <w:r>
        <w:rPr>
          <w:rFonts w:ascii="宋体" w:eastAsia="宋体" w:hAnsi="宋体" w:cs="宋体" w:hint="eastAsia"/>
          <w:vanish/>
          <w:kern w:val="0"/>
          <w:sz w:val="24"/>
          <w:lang w:bidi="ar"/>
        </w:rPr>
        <w:t>cyNotesAndDebenturesMemberus-gaap:EstimateOfFairValueFairValueDisclosureMemberus-gaap:UnsecuredDebtMember2022-01-280001571996us-gaap:FixedIncomeSecuritiesMember2022-07-290001571996us-gaap:FixedIncomeSecuritiesMember2022-01-280001571996dell:RevolvingLoanPor</w:t>
      </w:r>
      <w:r>
        <w:rPr>
          <w:rFonts w:ascii="宋体" w:eastAsia="宋体" w:hAnsi="宋体" w:cs="宋体" w:hint="eastAsia"/>
          <w:vanish/>
          <w:kern w:val="0"/>
          <w:sz w:val="24"/>
          <w:lang w:bidi="ar"/>
        </w:rPr>
        <w:t>tfolioSegmentMember2022-01-292022-07-290001571996srt:MinimumMemberus-gaap:FinanceLeasesPortfolioSegmentMemberus-gaap:CommercialBorrowerMember2022-01-292022-07-290001571996us-gaap:FinanceLeasesPortfolioSegmentMemberus-gaap:CommercialBorrowerMembersrt:Maximu</w:t>
      </w:r>
      <w:r>
        <w:rPr>
          <w:rFonts w:ascii="宋体" w:eastAsia="宋体" w:hAnsi="宋体" w:cs="宋体" w:hint="eastAsia"/>
          <w:vanish/>
          <w:kern w:val="0"/>
          <w:sz w:val="24"/>
          <w:lang w:bidi="ar"/>
        </w:rPr>
        <w:t>mMember2022-01-292022-07-290001571996srt:MinimumMemberdell:OtherBorrowerMemberus-gaap:FinanceLeasesPortfolioSegmentMember2022-01-292022-07-290001571996dell:OtherBorrowerMemberus-gaap:FinanceLeasesPortfolioSegmentMembersrt:MaximumMember2022-01-292022-07-290</w:t>
      </w:r>
      <w:r>
        <w:rPr>
          <w:rFonts w:ascii="宋体" w:eastAsia="宋体" w:hAnsi="宋体" w:cs="宋体" w:hint="eastAsia"/>
          <w:vanish/>
          <w:kern w:val="0"/>
          <w:sz w:val="24"/>
          <w:lang w:bidi="ar"/>
        </w:rPr>
        <w:t>001571996dell:RevolvingLoanPortfolioSegmentMemberus-gaap:LoansAndFinanceReceivablesMember2022-07-290001571996us-gaap:FinanceLeasesPortfolioSegmentMemberus-gaap:LoansAndFinanceReceivablesMember2022-07-290001571996us-gaap:LoansAndFinanceReceivablesMember2022</w:t>
      </w:r>
      <w:r>
        <w:rPr>
          <w:rFonts w:ascii="宋体" w:eastAsia="宋体" w:hAnsi="宋体" w:cs="宋体" w:hint="eastAsia"/>
          <w:vanish/>
          <w:kern w:val="0"/>
          <w:sz w:val="24"/>
          <w:lang w:bidi="ar"/>
        </w:rPr>
        <w:t>-07-290001571996dell:RevolvingLoanPortfolioSegmentMemberus-gaap:LoansAndFinanceReceivablesMember2022-01-280001571996us-gaap:FinanceLeasesPortfolioSegmentMemberus-gaap:LoansAndFinanceReceivablesMember2022-01-280001571996us-gaap:LoansAndFinanceReceivablesMem</w:t>
      </w:r>
      <w:r>
        <w:rPr>
          <w:rFonts w:ascii="宋体" w:eastAsia="宋体" w:hAnsi="宋体" w:cs="宋体" w:hint="eastAsia"/>
          <w:vanish/>
          <w:kern w:val="0"/>
          <w:sz w:val="24"/>
          <w:lang w:bidi="ar"/>
        </w:rPr>
        <w:t>ber2022-01-280001571996dell:RevolvingLoanPortfolioSegmentMemberdell:ResidualValuesOfLeasedPropertyMember2022-07-290001571996us-gaap:FinanceLeasesPortfolioSegmentMemberdell:ResidualValuesOfLeasedPropertyMember2022-07-290001571996dell:ResidualValuesOfLeasedP</w:t>
      </w:r>
      <w:r>
        <w:rPr>
          <w:rFonts w:ascii="宋体" w:eastAsia="宋体" w:hAnsi="宋体" w:cs="宋体" w:hint="eastAsia"/>
          <w:vanish/>
          <w:kern w:val="0"/>
          <w:sz w:val="24"/>
          <w:lang w:bidi="ar"/>
        </w:rPr>
        <w:t>ropertyMember2022-07-290001571996dell:RevolvingLoanPortfolioSegmentMemberdell:ResidualValuesOfLeasedPropertyMember2022-01-280001571996us-gaap:FinanceLeasesPortfolioSegmentMemberdell:ResidualValuesOfLeasedPropertyMember2022-01-280001571996dell:ResidualValue</w:t>
      </w:r>
      <w:r>
        <w:rPr>
          <w:rFonts w:ascii="宋体" w:eastAsia="宋体" w:hAnsi="宋体" w:cs="宋体" w:hint="eastAsia"/>
          <w:vanish/>
          <w:kern w:val="0"/>
          <w:sz w:val="24"/>
          <w:lang w:bidi="ar"/>
        </w:rPr>
        <w:t>sOfLeasedPropertyMember2022-01-280001571996dell:RevolvingLoanPortfolioSegmentMember2022-07-290001571996us-gaap:FinanceLeasesPortfolioSegmentMember2022-07-290001571996dell:RevolvingLoanPortfolioSegmentMember2022-01-280001571996us-gaap:FinanceLeasesPortfolio</w:t>
      </w:r>
      <w:r>
        <w:rPr>
          <w:rFonts w:ascii="宋体" w:eastAsia="宋体" w:hAnsi="宋体" w:cs="宋体" w:hint="eastAsia"/>
          <w:vanish/>
          <w:kern w:val="0"/>
          <w:sz w:val="24"/>
          <w:lang w:bidi="ar"/>
        </w:rPr>
        <w:t>SegmentMember2022-01-280001571996dell:RevolvingLoanPortfolioSegmentMemberus-gaap:LoansAndFinanceReceivablesMember2022-04-290001571996us-gaap:FinanceLeasesPortfolioSegmentMemberus-gaap:LoansAndFinanceReceivablesMember2022-04-290001571996us-gaap:LoansAndFina</w:t>
      </w:r>
      <w:r>
        <w:rPr>
          <w:rFonts w:ascii="宋体" w:eastAsia="宋体" w:hAnsi="宋体" w:cs="宋体" w:hint="eastAsia"/>
          <w:vanish/>
          <w:kern w:val="0"/>
          <w:sz w:val="24"/>
          <w:lang w:bidi="ar"/>
        </w:rPr>
        <w:t>nceReceivablesMember2022-04-290001571996dell:RevolvingLoanPortfolioSegmentMemberus-gaap:LoansAndFinanceReceivablesMember2021-04-300001571996us-gaap:FinanceLeasesPortfolioSegmentMemberus-gaap:LoansAndFinanceReceivablesMember2021-04-300001571996us-gaap:Loans</w:t>
      </w:r>
      <w:r>
        <w:rPr>
          <w:rFonts w:ascii="宋体" w:eastAsia="宋体" w:hAnsi="宋体" w:cs="宋体" w:hint="eastAsia"/>
          <w:vanish/>
          <w:kern w:val="0"/>
          <w:sz w:val="24"/>
          <w:lang w:bidi="ar"/>
        </w:rPr>
        <w:t>AndFinanceReceivablesMember2021-04-300001571996dell:RevolvingLoanPortfolioSegmentMemberus-gaap:LoansAndFinanceReceivablesMember2022-04-302022-07-290001571996us-gaap:FinanceLeasesPortfolioSegmentMemberus-gaap:LoansAndFinanceReceivablesMember2022-04-302022-0</w:t>
      </w:r>
      <w:r>
        <w:rPr>
          <w:rFonts w:ascii="宋体" w:eastAsia="宋体" w:hAnsi="宋体" w:cs="宋体" w:hint="eastAsia"/>
          <w:vanish/>
          <w:kern w:val="0"/>
          <w:sz w:val="24"/>
          <w:lang w:bidi="ar"/>
        </w:rPr>
        <w:t>7-290001571996us-gaap:LoansAndFinanceReceivablesMember2022-04-302022-07-290001571996dell:RevolvingLoanPortfolioSegmentMemberus-gaap:LoansAndFinanceReceivablesMember2021-05-012021-07-300001571996us-gaap:FinanceLeasesPortfolioSegmentMemberus-gaap:LoansAndFin</w:t>
      </w:r>
      <w:r>
        <w:rPr>
          <w:rFonts w:ascii="宋体" w:eastAsia="宋体" w:hAnsi="宋体" w:cs="宋体" w:hint="eastAsia"/>
          <w:vanish/>
          <w:kern w:val="0"/>
          <w:sz w:val="24"/>
          <w:lang w:bidi="ar"/>
        </w:rPr>
        <w:t>anceReceivablesMember2021-05-012021-07-300001571996us-gaap:LoansAndFinanceReceivablesMember2021-05-012021-07-300001571996dell:RevolvingLoanPortfolioSegmentMemberus-gaap:LoansAndFinanceReceivablesMember2021-07-300001571996us-gaap:FinanceLeasesPortfolioSegme</w:t>
      </w:r>
      <w:r>
        <w:rPr>
          <w:rFonts w:ascii="宋体" w:eastAsia="宋体" w:hAnsi="宋体" w:cs="宋体" w:hint="eastAsia"/>
          <w:vanish/>
          <w:kern w:val="0"/>
          <w:sz w:val="24"/>
          <w:lang w:bidi="ar"/>
        </w:rPr>
        <w:t>ntMemberus-gaap:LoansAndFinanceReceivablesMember2021-07-300001571996us-gaap:LoansAndFinanceReceivablesMember2021-07-300001571996dell:RevolvingLoanPortfolioSegmentMemberus-gaap:LoansAndFinanceReceivablesMember2021-01-290001571996us-gaap:FinanceLeasesPortfol</w:t>
      </w:r>
      <w:r>
        <w:rPr>
          <w:rFonts w:ascii="宋体" w:eastAsia="宋体" w:hAnsi="宋体" w:cs="宋体" w:hint="eastAsia"/>
          <w:vanish/>
          <w:kern w:val="0"/>
          <w:sz w:val="24"/>
          <w:lang w:bidi="ar"/>
        </w:rPr>
        <w:t>ioSegmentMemberus-gaap:LoansAndFinanceReceivablesMember2021-01-290001571996us-gaap:LoansAndFinanceReceivablesMember2021-01-290001571996dell:RevolvingLoanPortfolioSegmentMemberus-gaap:LoansAndFinanceReceivablesMember2022-01-292022-07-290001571996us-gaap:Fin</w:t>
      </w:r>
      <w:r>
        <w:rPr>
          <w:rFonts w:ascii="宋体" w:eastAsia="宋体" w:hAnsi="宋体" w:cs="宋体" w:hint="eastAsia"/>
          <w:vanish/>
          <w:kern w:val="0"/>
          <w:sz w:val="24"/>
          <w:lang w:bidi="ar"/>
        </w:rPr>
        <w:t>anceLeasesPortfolioSegmentMemberus-gaap:LoansAndFinanceReceivablesMember2022-01-292022-07-290001571996us-gaap:LoansAndFinanceReceivablesMember2022-01-292022-07-290001571996dell:RevolvingLoanPortfolioSegmentMemberus-gaap:LoansAndFinanceReceivablesMember2021</w:t>
      </w:r>
      <w:r>
        <w:rPr>
          <w:rFonts w:ascii="宋体" w:eastAsia="宋体" w:hAnsi="宋体" w:cs="宋体" w:hint="eastAsia"/>
          <w:vanish/>
          <w:kern w:val="0"/>
          <w:sz w:val="24"/>
          <w:lang w:bidi="ar"/>
        </w:rPr>
        <w:t>-01-302021-07-300001571996us-gaap:FinanceLeasesPortfolioSegmentMemberus-gaap:LoansAndFinanceReceivablesMember2021-01-302021-07-300001571996us-gaap:LoansAndFinanceReceivablesMember2021-01-302021-07-300001571996us-gaap:ConsumerBorrowerMemberdell:RevolvingLoa</w:t>
      </w:r>
      <w:r>
        <w:rPr>
          <w:rFonts w:ascii="宋体" w:eastAsia="宋体" w:hAnsi="宋体" w:cs="宋体" w:hint="eastAsia"/>
          <w:vanish/>
          <w:kern w:val="0"/>
          <w:sz w:val="24"/>
          <w:lang w:bidi="ar"/>
        </w:rPr>
        <w:t>nPortfolioSegmentMemberus-gaap:FinancialAssetNotPastDueMemberus-gaap:LoansAndFinanceReceivablesMember2022-07-290001571996us-gaap:ConsumerBorrowerMemberdell:RevolvingLoanPortfolioSegmentMemberdell:FinancingReceivables1To89DaysPastDueMemberus-gaap:LoansAndFi</w:t>
      </w:r>
      <w:r>
        <w:rPr>
          <w:rFonts w:ascii="宋体" w:eastAsia="宋体" w:hAnsi="宋体" w:cs="宋体" w:hint="eastAsia"/>
          <w:vanish/>
          <w:kern w:val="0"/>
          <w:sz w:val="24"/>
          <w:lang w:bidi="ar"/>
        </w:rPr>
        <w:t>nanceReceivablesMember2022-07-290001571996us-gaap:ConsumerBorrowerMemberdell:RevolvingLoanPortfolioSegmentMemberus-gaap:FinancingReceivablesEqualToGreaterThan90DaysPastDueMemberus-gaap:LoansAndFinanceReceivablesMember2022-07-290001571996us-gaap:ConsumerBor</w:t>
      </w:r>
      <w:r>
        <w:rPr>
          <w:rFonts w:ascii="宋体" w:eastAsia="宋体" w:hAnsi="宋体" w:cs="宋体" w:hint="eastAsia"/>
          <w:vanish/>
          <w:kern w:val="0"/>
          <w:sz w:val="24"/>
          <w:lang w:bidi="ar"/>
        </w:rPr>
        <w:t>rowerMemberdell:RevolvingLoanPortfolioSegmentMemberus-gaap:LoansAndFinanceReceivablesMember2022-07-290001571996us-gaap:ConsumerBorrowerMemberdell:RevolvingLoanPortfolioSegmentMemberus-gaap:FinancialAssetNotPastDueMemberus-gaap:LoansAndFinanceReceivablesMem</w:t>
      </w:r>
      <w:r>
        <w:rPr>
          <w:rFonts w:ascii="宋体" w:eastAsia="宋体" w:hAnsi="宋体" w:cs="宋体" w:hint="eastAsia"/>
          <w:vanish/>
          <w:kern w:val="0"/>
          <w:sz w:val="24"/>
          <w:lang w:bidi="ar"/>
        </w:rPr>
        <w:t>ber2022-01-280001571996us-gaap:ConsumerBorrowerMemberdell:RevolvingLoanPortfolioSegmentMemberdell:FinancingReceivables1To89DaysPastDueMemberus-gaap:LoansAndFinanceReceivablesMember2022-01-280001571996us-gaap:ConsumerBorrowerMemberdell:RevolvingLoanPortfoli</w:t>
      </w:r>
      <w:r>
        <w:rPr>
          <w:rFonts w:ascii="宋体" w:eastAsia="宋体" w:hAnsi="宋体" w:cs="宋体" w:hint="eastAsia"/>
          <w:vanish/>
          <w:kern w:val="0"/>
          <w:sz w:val="24"/>
          <w:lang w:bidi="ar"/>
        </w:rPr>
        <w:t>oSegmentMemberus-gaap:FinancingReceivablesEqualToGreaterThan90DaysPastDueMemberus-gaap:LoansAndFinanceReceivablesMember2022-01-280001571996us-gaap:ConsumerBorrowerMemberdell:RevolvingLoanPortfolioSegmentMemberus-gaap:LoansAndFinanceReceivablesMember2022-01</w:t>
      </w:r>
      <w:r>
        <w:rPr>
          <w:rFonts w:ascii="宋体" w:eastAsia="宋体" w:hAnsi="宋体" w:cs="宋体" w:hint="eastAsia"/>
          <w:vanish/>
          <w:kern w:val="0"/>
          <w:sz w:val="24"/>
          <w:lang w:bidi="ar"/>
        </w:rPr>
        <w:t>-280001571996dell:RevolvingLoanPortfolioSegmentMemberus-gaap:FinancialAssetNotPastDueMemberdell:SmallAndMediumCommercialBorrowerMemberus-gaap:LoansAndFinanceReceivablesMember2022-07-290001571996dell:RevolvingLoanPortfolioSegmentMemberdell:SmallAndMediumCom</w:t>
      </w:r>
      <w:r>
        <w:rPr>
          <w:rFonts w:ascii="宋体" w:eastAsia="宋体" w:hAnsi="宋体" w:cs="宋体" w:hint="eastAsia"/>
          <w:vanish/>
          <w:kern w:val="0"/>
          <w:sz w:val="24"/>
          <w:lang w:bidi="ar"/>
        </w:rPr>
        <w:t>mercialBorrowerMemberdell:FinancingReceivables1To89DaysPastDueMemberus-gaap:LoansAndFinanceReceivablesMember2022-07-290001571996dell:RevolvingLoanPortfolioSegmentMemberdell:SmallAndMediumCommercialBorrowerMemberus-gaap:FinancingReceivablesEqualToGreaterTha</w:t>
      </w:r>
      <w:r>
        <w:rPr>
          <w:rFonts w:ascii="宋体" w:eastAsia="宋体" w:hAnsi="宋体" w:cs="宋体" w:hint="eastAsia"/>
          <w:vanish/>
          <w:kern w:val="0"/>
          <w:sz w:val="24"/>
          <w:lang w:bidi="ar"/>
        </w:rPr>
        <w:t>n90DaysPastDueMemberus-gaap:LoansAndFinanceReceivablesMember2022-07-290001571996dell:RevolvingLoanPortfolioSegmentMemberdell:SmallAndMediumCommercialBorrowerMemberus-gaap:LoansAndFinanceReceivablesMember2022-07-290001571996dell:RevolvingLoanPortfolioSegmen</w:t>
      </w:r>
      <w:r>
        <w:rPr>
          <w:rFonts w:ascii="宋体" w:eastAsia="宋体" w:hAnsi="宋体" w:cs="宋体" w:hint="eastAsia"/>
          <w:vanish/>
          <w:kern w:val="0"/>
          <w:sz w:val="24"/>
          <w:lang w:bidi="ar"/>
        </w:rPr>
        <w:t>tMemberus-gaap:FinancialAssetNotPastDueMemberdell:SmallAndMediumCommercialBorrowerMemberus-gaap:LoansAndFinanceReceivablesMember2022-01-280001571996dell:RevolvingLoanPortfolioSegmentMemberdell:SmallAndMediumCommercialBorrowerMemberdell:FinancingReceivables</w:t>
      </w:r>
      <w:r>
        <w:rPr>
          <w:rFonts w:ascii="宋体" w:eastAsia="宋体" w:hAnsi="宋体" w:cs="宋体" w:hint="eastAsia"/>
          <w:vanish/>
          <w:kern w:val="0"/>
          <w:sz w:val="24"/>
          <w:lang w:bidi="ar"/>
        </w:rPr>
        <w:t>1To89DaysPastDueMemberus-gaap:LoansAndFinanceReceivablesMember2022-01-280001571996dell:RevolvingLoanPortfolioSegmentMemberdell:SmallAndMediumCommercialBorrowerMemberus-gaap:FinancingReceivablesEqualToGreaterThan90DaysPastDueMemberus-gaap:LoansAndFinanceRec</w:t>
      </w:r>
      <w:r>
        <w:rPr>
          <w:rFonts w:ascii="宋体" w:eastAsia="宋体" w:hAnsi="宋体" w:cs="宋体" w:hint="eastAsia"/>
          <w:vanish/>
          <w:kern w:val="0"/>
          <w:sz w:val="24"/>
          <w:lang w:bidi="ar"/>
        </w:rPr>
        <w:t>eivablesMember2022-01-280001571996dell:RevolvingLoanPortfolioSegmentMemberdell:SmallAndMediumCommercialBorrowerMemberus-gaap:LoansAndFinanceReceivablesMember2022-01-280001571996us-gaap:FinancialAssetNotPastDueMemberus-gaap:FinanceLeasesPortfolioSegmentMemb</w:t>
      </w:r>
      <w:r>
        <w:rPr>
          <w:rFonts w:ascii="宋体" w:eastAsia="宋体" w:hAnsi="宋体" w:cs="宋体" w:hint="eastAsia"/>
          <w:vanish/>
          <w:kern w:val="0"/>
          <w:sz w:val="24"/>
          <w:lang w:bidi="ar"/>
        </w:rPr>
        <w:t>erdell:ConsumerAndSmallCommercialBorrowerMemberus-gaap:LoansAndFinanceReceivablesMember2022-07-290001571996us-gaap:FinanceLeasesPortfolioSegmentMemberdell:ConsumerAndSmallCommercialBorrowerMemberdell:FinancingReceivables1To89DaysPastDueMemberus-gaap:LoansA</w:t>
      </w:r>
      <w:r>
        <w:rPr>
          <w:rFonts w:ascii="宋体" w:eastAsia="宋体" w:hAnsi="宋体" w:cs="宋体" w:hint="eastAsia"/>
          <w:vanish/>
          <w:kern w:val="0"/>
          <w:sz w:val="24"/>
          <w:lang w:bidi="ar"/>
        </w:rPr>
        <w:t>ndFinanceReceivablesMember2022-07-290001571996us-gaap:FinanceLeasesPortfolioSegmentMemberdell:ConsumerAndSmallCommercialBorrowerMemberus-gaap:FinancingReceivablesEqualToGreaterThan90DaysPastDueMemberus-gaap:LoansAndFinanceReceivablesMember2022-07-290001571</w:t>
      </w:r>
      <w:r>
        <w:rPr>
          <w:rFonts w:ascii="宋体" w:eastAsia="宋体" w:hAnsi="宋体" w:cs="宋体" w:hint="eastAsia"/>
          <w:vanish/>
          <w:kern w:val="0"/>
          <w:sz w:val="24"/>
          <w:lang w:bidi="ar"/>
        </w:rPr>
        <w:t>996us-gaap:FinanceLeasesPortfolioSegmentMemberdell:ConsumerAndSmallCommercialBorrowerMemberus-gaap:LoansAndFinanceReceivablesMember2022-07-290001571996us-gaap:FinancialAssetNotPastDueMemberus-gaap:FinanceLeasesPortfolioSegmentMemberdell:ConsumerAndSmallCom</w:t>
      </w:r>
      <w:r>
        <w:rPr>
          <w:rFonts w:ascii="宋体" w:eastAsia="宋体" w:hAnsi="宋体" w:cs="宋体" w:hint="eastAsia"/>
          <w:vanish/>
          <w:kern w:val="0"/>
          <w:sz w:val="24"/>
          <w:lang w:bidi="ar"/>
        </w:rPr>
        <w:t>mercialBorrowerMemberus-gaap:LoansAndFinanceReceivablesMember2022-01-280001571996us-gaap:FinanceLeasesPortfolioSegmentMemberdell:ConsumerAndSmallCommercialBorrowerMemberdell:FinancingReceivables1To89DaysPastDueMemberus-gaap:LoansAndFinanceReceivablesMember</w:t>
      </w:r>
      <w:r>
        <w:rPr>
          <w:rFonts w:ascii="宋体" w:eastAsia="宋体" w:hAnsi="宋体" w:cs="宋体" w:hint="eastAsia"/>
          <w:vanish/>
          <w:kern w:val="0"/>
          <w:sz w:val="24"/>
          <w:lang w:bidi="ar"/>
        </w:rPr>
        <w:t>2022-01-280001571996us-gaap:FinanceLeasesPortfolioSegmentMemberdell:ConsumerAndSmallCommercialBorrowerMemberus-gaap:FinancingReceivablesEqualToGreaterThan90DaysPastDueMemberus-gaap:LoansAndFinanceReceivablesMember2022-01-280001571996us-gaap:FinanceLeasesPo</w:t>
      </w:r>
      <w:r>
        <w:rPr>
          <w:rFonts w:ascii="宋体" w:eastAsia="宋体" w:hAnsi="宋体" w:cs="宋体" w:hint="eastAsia"/>
          <w:vanish/>
          <w:kern w:val="0"/>
          <w:sz w:val="24"/>
          <w:lang w:bidi="ar"/>
        </w:rPr>
        <w:t>rtfolioSegmentMemberdell:ConsumerAndSmallCommercialBorrowerMemberus-gaap:LoansAndFinanceReceivablesMember2022-01-280001571996us-gaap:FinancialAssetNotPastDueMemberus-gaap:LoansAndFinanceReceivablesMember2022-07-290001571996dell:FinancingReceivables1To89Day</w:t>
      </w:r>
      <w:r>
        <w:rPr>
          <w:rFonts w:ascii="宋体" w:eastAsia="宋体" w:hAnsi="宋体" w:cs="宋体" w:hint="eastAsia"/>
          <w:vanish/>
          <w:kern w:val="0"/>
          <w:sz w:val="24"/>
          <w:lang w:bidi="ar"/>
        </w:rPr>
        <w:t>sPastDueMemberus-gaap:LoansAndFinanceReceivablesMember2022-07-290001571996us-gaap:FinancingReceivablesEqualToGreaterThan90DaysPastDueMemberus-gaap:LoansAndFinanceReceivablesMember2022-07-290001571996us-gaap:FinancialAssetNotPastDueMemberus-gaap:LoansAndFin</w:t>
      </w:r>
      <w:r>
        <w:rPr>
          <w:rFonts w:ascii="宋体" w:eastAsia="宋体" w:hAnsi="宋体" w:cs="宋体" w:hint="eastAsia"/>
          <w:vanish/>
          <w:kern w:val="0"/>
          <w:sz w:val="24"/>
          <w:lang w:bidi="ar"/>
        </w:rPr>
        <w:t>anceReceivablesMember2022-01-280001571996dell:FinancingReceivables1To89DaysPastDueMemberus-gaap:LoansAndFinanceReceivablesMember2022-01-280001571996us-gaap:FinancingReceivablesEqualToGreaterThan90DaysPastDueMemberus-gaap:LoansAndFinanceReceivablesMember202</w:t>
      </w:r>
      <w:r>
        <w:rPr>
          <w:rFonts w:ascii="宋体" w:eastAsia="宋体" w:hAnsi="宋体" w:cs="宋体" w:hint="eastAsia"/>
          <w:vanish/>
          <w:kern w:val="0"/>
          <w:sz w:val="24"/>
          <w:lang w:bidi="ar"/>
        </w:rPr>
        <w:t>2-01-280001571996us-gaap:FinanceLeasesPortfolioSegmentMemberdell:ConsumerAndSmallCommercialBorrowerMemberdell:FICOScoreGreaterthan720Member2022-07-290001571996us-gaap:ConsumerBorrowerMemberdell:RevolvingLoanPortfolioSegmentMemberdell:FICOScoreGreaterthan72</w:t>
      </w:r>
      <w:r>
        <w:rPr>
          <w:rFonts w:ascii="宋体" w:eastAsia="宋体" w:hAnsi="宋体" w:cs="宋体" w:hint="eastAsia"/>
          <w:vanish/>
          <w:kern w:val="0"/>
          <w:sz w:val="24"/>
          <w:lang w:bidi="ar"/>
        </w:rPr>
        <w:t>0Member2022-07-290001571996dell:RevolvingLoanPortfolioSegmentMemberdell:SmallAndMediumCommercialBorrowerMemberdell:FICOScoreGreaterthan720Member2022-07-290001571996dell:FICOScoreGreaterthan720Member2022-07-290001571996dell:FICOScore660to719Memberus-gaap:Fi</w:t>
      </w:r>
      <w:r>
        <w:rPr>
          <w:rFonts w:ascii="宋体" w:eastAsia="宋体" w:hAnsi="宋体" w:cs="宋体" w:hint="eastAsia"/>
          <w:vanish/>
          <w:kern w:val="0"/>
          <w:sz w:val="24"/>
          <w:lang w:bidi="ar"/>
        </w:rPr>
        <w:t>nanceLeasesPortfolioSegmentMemberdell:ConsumerAndSmallCommercialBorrowerMember2022-07-290001571996us-gaap:ConsumerBorrowerMemberdell:FICOScore660to719Memberdell:RevolvingLoanPortfolioSegmentMember2022-07-290001571996dell:FICOScore660to719Memberdell:Revolvi</w:t>
      </w:r>
      <w:r>
        <w:rPr>
          <w:rFonts w:ascii="宋体" w:eastAsia="宋体" w:hAnsi="宋体" w:cs="宋体" w:hint="eastAsia"/>
          <w:vanish/>
          <w:kern w:val="0"/>
          <w:sz w:val="24"/>
          <w:lang w:bidi="ar"/>
        </w:rPr>
        <w:t>ngLoanPortfolioSegmentMemberdell:SmallAndMediumCommercialBorrowerMember2022-07-290001571996dell:FICOScore660to719Member2022-07-290001571996dell:FICOScoreLessThan660Memberus-gaap:FinanceLeasesPortfolioSegmentMemberdell:ConsumerAndSmallCommercialBorrowerMemb</w:t>
      </w:r>
      <w:r>
        <w:rPr>
          <w:rFonts w:ascii="宋体" w:eastAsia="宋体" w:hAnsi="宋体" w:cs="宋体" w:hint="eastAsia"/>
          <w:vanish/>
          <w:kern w:val="0"/>
          <w:sz w:val="24"/>
          <w:lang w:bidi="ar"/>
        </w:rPr>
        <w:t>er2022-07-290001571996us-gaap:ConsumerBorrowerMemberdell:RevolvingLoanPortfolioSegmentMemberdell:FICOScoreLessThan660Member2022-07-290001571996dell:RevolvingLoanPortfolioSegmentMemberdell:FICOScoreLessThan660Memberdell:SmallAndMediumCommercialBorrowerMembe</w:t>
      </w:r>
      <w:r>
        <w:rPr>
          <w:rFonts w:ascii="宋体" w:eastAsia="宋体" w:hAnsi="宋体" w:cs="宋体" w:hint="eastAsia"/>
          <w:vanish/>
          <w:kern w:val="0"/>
          <w:sz w:val="24"/>
          <w:lang w:bidi="ar"/>
        </w:rPr>
        <w:t>r2022-07-290001571996dell:FICOScoreLessThan660Member2022-07-290001571996us-gaap:FinanceLeasesPortfolioSegmentMemberdell:ConsumerAndSmallCommercialBorrowerMember2022-07-290001571996us-gaap:ConsumerBorrowerMemberdell:RevolvingLoanPortfolioSegmentMember2022-0</w:t>
      </w:r>
      <w:r>
        <w:rPr>
          <w:rFonts w:ascii="宋体" w:eastAsia="宋体" w:hAnsi="宋体" w:cs="宋体" w:hint="eastAsia"/>
          <w:vanish/>
          <w:kern w:val="0"/>
          <w:sz w:val="24"/>
          <w:lang w:bidi="ar"/>
        </w:rPr>
        <w:t>7-290001571996dell:RevolvingLoanPortfolioSegmentMemberdell:SmallAndMediumCommercialBorrowerMember2022-07-290001571996us-gaap:FinanceLeasesPortfolioSegmentMemberdell:ConsumerAndSmallCommercialBorrowerMemberdell:FICOScoreGreaterthan720Member2022-01-280001571</w:t>
      </w:r>
      <w:r>
        <w:rPr>
          <w:rFonts w:ascii="宋体" w:eastAsia="宋体" w:hAnsi="宋体" w:cs="宋体" w:hint="eastAsia"/>
          <w:vanish/>
          <w:kern w:val="0"/>
          <w:sz w:val="24"/>
          <w:lang w:bidi="ar"/>
        </w:rPr>
        <w:t>996us-gaap:ConsumerBorrowerMemberdell:RevolvingLoanPortfolioSegmentMemberdell:FICOScoreGreaterthan720Member2022-01-280001571996dell:RevolvingLoanPortfolioSegmentMemberdell:SmallAndMediumCommercialBorrowerMemberdell:FICOScoreGreaterthan720Member2022-01-2800</w:t>
      </w:r>
      <w:r>
        <w:rPr>
          <w:rFonts w:ascii="宋体" w:eastAsia="宋体" w:hAnsi="宋体" w:cs="宋体" w:hint="eastAsia"/>
          <w:vanish/>
          <w:kern w:val="0"/>
          <w:sz w:val="24"/>
          <w:lang w:bidi="ar"/>
        </w:rPr>
        <w:t>01571996dell:FICOScoreGreaterthan720Member2022-01-280001571996dell:FICOScore660to719Memberus-gaap:FinanceLeasesPortfolioSegmentMemberdell:ConsumerAndSmallCommercialBorrowerMember2022-01-280001571996us-gaap:ConsumerBorrowerMemberdell:FICOScore660to719Member</w:t>
      </w:r>
      <w:r>
        <w:rPr>
          <w:rFonts w:ascii="宋体" w:eastAsia="宋体" w:hAnsi="宋体" w:cs="宋体" w:hint="eastAsia"/>
          <w:vanish/>
          <w:kern w:val="0"/>
          <w:sz w:val="24"/>
          <w:lang w:bidi="ar"/>
        </w:rPr>
        <w:t>dell:RevolvingLoanPortfolioSegmentMember2022-01-280001571996dell:FICOScore660to719Memberdell:RevolvingLoanPortfolioSegmentMemberdell:SmallAndMediumCommercialBorrowerMember2022-01-280001571996dell:FICOScore660to719Member2022-01-280001571996dell:FICOScoreLes</w:t>
      </w:r>
      <w:r>
        <w:rPr>
          <w:rFonts w:ascii="宋体" w:eastAsia="宋体" w:hAnsi="宋体" w:cs="宋体" w:hint="eastAsia"/>
          <w:vanish/>
          <w:kern w:val="0"/>
          <w:sz w:val="24"/>
          <w:lang w:bidi="ar"/>
        </w:rPr>
        <w:t>sThan660Memberus-gaap:FinanceLeasesPortfolioSegmentMemberdell:ConsumerAndSmallCommercialBorrowerMember2022-01-280001571996us-gaap:ConsumerBorrowerMemberdell:RevolvingLoanPortfolioSegmentMemberdell:FICOScoreLessThan660Member2022-01-280001571996dell:Revolvin</w:t>
      </w:r>
      <w:r>
        <w:rPr>
          <w:rFonts w:ascii="宋体" w:eastAsia="宋体" w:hAnsi="宋体" w:cs="宋体" w:hint="eastAsia"/>
          <w:vanish/>
          <w:kern w:val="0"/>
          <w:sz w:val="24"/>
          <w:lang w:bidi="ar"/>
        </w:rPr>
        <w:t>gLoanPortfolioSegmentMemberdell:FICOScoreLessThan660Memberdell:SmallAndMediumCommercialBorrowerMember2022-01-280001571996dell:FICOScoreLessThan660Member2022-01-280001571996us-gaap:FinanceLeasesPortfolioSegmentMemberdell:ConsumerAndSmallCommercialBorrowerMe</w:t>
      </w:r>
      <w:r>
        <w:rPr>
          <w:rFonts w:ascii="宋体" w:eastAsia="宋体" w:hAnsi="宋体" w:cs="宋体" w:hint="eastAsia"/>
          <w:vanish/>
          <w:kern w:val="0"/>
          <w:sz w:val="24"/>
          <w:lang w:bidi="ar"/>
        </w:rPr>
        <w:t>mber2022-01-280001571996us-gaap:ConsumerBorrowerMemberdell:RevolvingLoanPortfolioSegmentMember2022-01-280001571996dell:RevolvingLoanPortfolioSegmentMemberdell:SmallAndMediumCommercialBorrowerMember2022-01-280001571996dell:LeaseReceivableFixedTermLoansMembe</w:t>
      </w:r>
      <w:r>
        <w:rPr>
          <w:rFonts w:ascii="宋体" w:eastAsia="宋体" w:hAnsi="宋体" w:cs="宋体" w:hint="eastAsia"/>
          <w:vanish/>
          <w:kern w:val="0"/>
          <w:sz w:val="24"/>
          <w:lang w:bidi="ar"/>
        </w:rPr>
        <w:t>r2022-07-290001571996dell:LeaseReceivableRevolvingLoansMember2022-07-290001571996us-gaap:LeasingArrangementMember2022-04-302022-07-290001571996us-gaap:LeasingArrangementMember2021-05-012021-07-300001571996us-gaap:LeasingArrangementMember2022-01-292022-07-2</w:t>
      </w:r>
      <w:r>
        <w:rPr>
          <w:rFonts w:ascii="宋体" w:eastAsia="宋体" w:hAnsi="宋体" w:cs="宋体" w:hint="eastAsia"/>
          <w:vanish/>
          <w:kern w:val="0"/>
          <w:sz w:val="24"/>
          <w:lang w:bidi="ar"/>
        </w:rPr>
        <w:t>90001571996us-gaap:LeasingArrangementMember2021-01-302021-07-300001571996us-gaap:SecuredDebtMembercountry:USdell:SecuritizationProgramMemberdell:FinanceLeasesandRevolvingLoanPortfolioSegmentsMember2022-07-290001571996us-gaap:SecuredDebtMembercountry:USdell</w:t>
      </w:r>
      <w:r>
        <w:rPr>
          <w:rFonts w:ascii="宋体" w:eastAsia="宋体" w:hAnsi="宋体" w:cs="宋体" w:hint="eastAsia"/>
          <w:vanish/>
          <w:kern w:val="0"/>
          <w:sz w:val="24"/>
          <w:lang w:bidi="ar"/>
        </w:rPr>
        <w:t>:SecuritizationProgramMemberdell:FinanceLeasesandRevolvingLoanPortfolioSegmentsMember2022-01-280001571996us-gaap:SecuredDebtMembercountry:USdell:FinanceLeasesandRevolvingLoanPortfolioSegmentsMemberdell:FixedTermSecuritizationProgramsMember2022-07-290001571</w:t>
      </w:r>
      <w:r>
        <w:rPr>
          <w:rFonts w:ascii="宋体" w:eastAsia="宋体" w:hAnsi="宋体" w:cs="宋体" w:hint="eastAsia"/>
          <w:vanish/>
          <w:kern w:val="0"/>
          <w:sz w:val="24"/>
          <w:lang w:bidi="ar"/>
        </w:rPr>
        <w:t>996us-gaap:SecuredDebtMembercountry:USdell:FinanceLeasesandRevolvingLoanPortfolioSegmentsMemberdell:FixedTermSecuritizationProgramsMember2022-01-280001571996dell:OtherStructuredFinancingProgramsMemberus-gaap:SecuredDebtMembercountry:USdell:FinanceLeasesand</w:t>
      </w:r>
      <w:r>
        <w:rPr>
          <w:rFonts w:ascii="宋体" w:eastAsia="宋体" w:hAnsi="宋体" w:cs="宋体" w:hint="eastAsia"/>
          <w:vanish/>
          <w:kern w:val="0"/>
          <w:sz w:val="24"/>
          <w:lang w:bidi="ar"/>
        </w:rPr>
        <w:t>RevolvingLoanPortfolioSegmentsMember2022-07-290001571996dell:OtherStructuredFinancingProgramsMemberus-gaap:SecuredDebtMembercountry:USdell:FinanceLeasesandRevolvingLoanPortfolioSegmentsMember2022-01-280001571996us-gaap:SecuredDebtMembercountry:USdell:Finan</w:t>
      </w:r>
      <w:r>
        <w:rPr>
          <w:rFonts w:ascii="宋体" w:eastAsia="宋体" w:hAnsi="宋体" w:cs="宋体" w:hint="eastAsia"/>
          <w:vanish/>
          <w:kern w:val="0"/>
          <w:sz w:val="24"/>
          <w:lang w:bidi="ar"/>
        </w:rPr>
        <w:t>ceLeasesandRevolvingLoanPortfolioSegmentsMember2022-07-290001571996us-gaap:SecuredDebtMembercountry:USdell:FinanceLeasesandRevolvingLoanPortfolioSegmentsMember2022-01-280001571996us-gaap:SecuredDebtMemberdell:SecuritizationProgramMemberus-gaap:NonUsMemberd</w:t>
      </w:r>
      <w:r>
        <w:rPr>
          <w:rFonts w:ascii="宋体" w:eastAsia="宋体" w:hAnsi="宋体" w:cs="宋体" w:hint="eastAsia"/>
          <w:vanish/>
          <w:kern w:val="0"/>
          <w:sz w:val="24"/>
          <w:lang w:bidi="ar"/>
        </w:rPr>
        <w:t>ell:FinanceLeasesandRevolvingLoanPortfolioSegmentsMember2022-07-290001571996us-gaap:SecuredDebtMemberdell:SecuritizationProgramMemberus-gaap:NonUsMemberdell:FinanceLeasesandRevolvingLoanPortfolioSegmentsMember2022-01-280001571996dell:OtherStructuredFinanci</w:t>
      </w:r>
      <w:r>
        <w:rPr>
          <w:rFonts w:ascii="宋体" w:eastAsia="宋体" w:hAnsi="宋体" w:cs="宋体" w:hint="eastAsia"/>
          <w:vanish/>
          <w:kern w:val="0"/>
          <w:sz w:val="24"/>
          <w:lang w:bidi="ar"/>
        </w:rPr>
        <w:t>ngProgramsMemberus-gaap:SecuredDebtMemberus-gaap:NonUsMemberdell:FinanceLeasesandRevolvingLoanPortfolioSegmentsMember2022-07-290001571996dell:OtherStructuredFinancingProgramsMemberus-gaap:SecuredDebtMemberus-gaap:NonUsMemberdell:FinanceLeasesandRevolvingLo</w:t>
      </w:r>
      <w:r>
        <w:rPr>
          <w:rFonts w:ascii="宋体" w:eastAsia="宋体" w:hAnsi="宋体" w:cs="宋体" w:hint="eastAsia"/>
          <w:vanish/>
          <w:kern w:val="0"/>
          <w:sz w:val="24"/>
          <w:lang w:bidi="ar"/>
        </w:rPr>
        <w:t>anPortfolioSegmentsMember2022-01-280001571996us-gaap:SecuredDebtMemberdell:DebtDueDecember2020Memberus-gaap:NonUsMemberdell:FinanceLeasesandRevolvingLoanPortfolioSegmentsMember2022-07-290001571996us-gaap:SecuredDebtMemberdell:DebtDueDecember2020Memberus-ga</w:t>
      </w:r>
      <w:r>
        <w:rPr>
          <w:rFonts w:ascii="宋体" w:eastAsia="宋体" w:hAnsi="宋体" w:cs="宋体" w:hint="eastAsia"/>
          <w:vanish/>
          <w:kern w:val="0"/>
          <w:sz w:val="24"/>
          <w:lang w:bidi="ar"/>
        </w:rPr>
        <w:t>ap:NonUsMemberdell:FinanceLeasesandRevolvingLoanPortfolioSegmentsMember2022-01-280001571996us-gaap:NonUsMemberdell:FinanceLeasesandRevolvingLoanPortfolioSegmentsMemberdell:DellBankBondsMemberus-gaap:UnsecuredDebtMember2022-07-290001571996us-gaap:NonUsMembe</w:t>
      </w:r>
      <w:r>
        <w:rPr>
          <w:rFonts w:ascii="宋体" w:eastAsia="宋体" w:hAnsi="宋体" w:cs="宋体" w:hint="eastAsia"/>
          <w:vanish/>
          <w:kern w:val="0"/>
          <w:sz w:val="24"/>
          <w:lang w:bidi="ar"/>
        </w:rPr>
        <w:t>rdell:FinanceLeasesandRevolvingLoanPortfolioSegmentsMemberdell:DellBankBondsMemberus-gaap:UnsecuredDebtMember2022-01-280001571996us-gaap:SecuredDebtMemberus-gaap:NonUsMemberdell:FinanceLeasesandRevolvingLoanPortfolioSegmentsMember2022-07-290001571996us-gaa</w:t>
      </w:r>
      <w:r>
        <w:rPr>
          <w:rFonts w:ascii="宋体" w:eastAsia="宋体" w:hAnsi="宋体" w:cs="宋体" w:hint="eastAsia"/>
          <w:vanish/>
          <w:kern w:val="0"/>
          <w:sz w:val="24"/>
          <w:lang w:bidi="ar"/>
        </w:rPr>
        <w:t>p:SecuredDebtMemberus-gaap:NonUsMemberdell:FinanceLeasesandRevolvingLoanPortfolioSegmentsMember2022-01-280001571996dell:StructuredFinancingDebtMemberus-gaap:SecuredDebtMember2022-07-290001571996dell:StructuredFinancingDebtMemberus-gaap:SecuredDebtMember202</w:t>
      </w:r>
      <w:r>
        <w:rPr>
          <w:rFonts w:ascii="宋体" w:eastAsia="宋体" w:hAnsi="宋体" w:cs="宋体" w:hint="eastAsia"/>
          <w:vanish/>
          <w:kern w:val="0"/>
          <w:sz w:val="24"/>
          <w:lang w:bidi="ar"/>
        </w:rPr>
        <w:t>2-01-280001571996country:US2022-07-29dell:facility0001571996us-gaap:SecuredDebtMembersrt:MinimumMemberdell:FixedTermSecuritizationProgramsMember2022-07-290001571996us-gaap:SecuredDebtMembersrt:MaximumMemberdell:FixedTermSecuritizationProgramsMember2022-07-</w:t>
      </w:r>
      <w:r>
        <w:rPr>
          <w:rFonts w:ascii="宋体" w:eastAsia="宋体" w:hAnsi="宋体" w:cs="宋体" w:hint="eastAsia"/>
          <w:vanish/>
          <w:kern w:val="0"/>
          <w:sz w:val="24"/>
          <w:lang w:bidi="ar"/>
        </w:rPr>
        <w:t>290001571996dell:OtherStructuredFinancingProgramsMemberus-gaap:SecuredDebtMembercountry:CA2022-07-290001571996dell:OtherStructuredFinancingProgramsMemberus-gaap:SecuredDebtMembersrt:EuropeMember2022-07-290001571996dell:AUSTRALIAAndNEWZEALANDMemberdell:Othe</w:t>
      </w:r>
      <w:r>
        <w:rPr>
          <w:rFonts w:ascii="宋体" w:eastAsia="宋体" w:hAnsi="宋体" w:cs="宋体" w:hint="eastAsia"/>
          <w:vanish/>
          <w:kern w:val="0"/>
          <w:sz w:val="24"/>
          <w:lang w:bidi="ar"/>
        </w:rPr>
        <w:t>rStructuredFinancingProgramsMemberus-gaap:SecuredDebtMember2022-07-290001571996dell:DebtDueDecember2020Member2022-07-290001571996currency:MXNdell:DebtDueDecember2020Memberdell:MexicanInterbankEquilibriumInterestRateMember2022-01-292022-07-290001571996dell:</w:t>
      </w:r>
      <w:r>
        <w:rPr>
          <w:rFonts w:ascii="宋体" w:eastAsia="宋体" w:hAnsi="宋体" w:cs="宋体" w:hint="eastAsia"/>
          <w:vanish/>
          <w:kern w:val="0"/>
          <w:sz w:val="24"/>
          <w:lang w:bidi="ar"/>
        </w:rPr>
        <w:t>DellBankBondsMemberus-gaap:UnsecuredDebtMember2019-10-17iso4217:EUR0001571996dell:DellBankBondsMemberus-gaap:UnsecuredDebtMember2019-10-172019-10-170001571996dell:DellBankBondsMemberus-gaap:UnsecuredDebtMember2020-06-240001571996dell:DellBankBondsMemberus-</w:t>
      </w:r>
      <w:r>
        <w:rPr>
          <w:rFonts w:ascii="宋体" w:eastAsia="宋体" w:hAnsi="宋体" w:cs="宋体" w:hint="eastAsia"/>
          <w:vanish/>
          <w:kern w:val="0"/>
          <w:sz w:val="24"/>
          <w:lang w:bidi="ar"/>
        </w:rPr>
        <w:t>gaap:UnsecuredDebtMember2020-06-242020-06-240001571996dell:DellBankBondsMemberus-gaap:UnsecuredDebtMember2021-10-270001571996dell:DellBankBondsMemberus-gaap:UnsecuredDebtMember2021-10-272021-10-270001571996us-gaap:OtherCurrentAssetsMemberus-gaap:VariableIn</w:t>
      </w:r>
      <w:r>
        <w:rPr>
          <w:rFonts w:ascii="宋体" w:eastAsia="宋体" w:hAnsi="宋体" w:cs="宋体" w:hint="eastAsia"/>
          <w:vanish/>
          <w:kern w:val="0"/>
          <w:sz w:val="24"/>
          <w:lang w:bidi="ar"/>
        </w:rPr>
        <w:t>terestEntityPrimaryBeneficiaryMember2022-07-290001571996us-gaap:OtherCurrentAssetsMemberus-gaap:VariableInterestEntityPrimaryBeneficiaryMember2022-01-280001571996us-gaap:VariableInterestEntityPrimaryBeneficiaryMemberdell:FinancingReceivablesShorttermNetMem</w:t>
      </w:r>
      <w:r>
        <w:rPr>
          <w:rFonts w:ascii="宋体" w:eastAsia="宋体" w:hAnsi="宋体" w:cs="宋体" w:hint="eastAsia"/>
          <w:vanish/>
          <w:kern w:val="0"/>
          <w:sz w:val="24"/>
          <w:lang w:bidi="ar"/>
        </w:rPr>
        <w:t>ber2022-07-290001571996us-gaap:VariableInterestEntityPrimaryBeneficiaryMemberdell:FinancingReceivablesShorttermNetMember2022-01-280001571996dell:FinancingReceivablesLongtermNetMemberus-gaap:VariableInterestEntityPrimaryBeneficiaryMember2022-07-290001571996</w:t>
      </w:r>
      <w:r>
        <w:rPr>
          <w:rFonts w:ascii="宋体" w:eastAsia="宋体" w:hAnsi="宋体" w:cs="宋体" w:hint="eastAsia"/>
          <w:vanish/>
          <w:kern w:val="0"/>
          <w:sz w:val="24"/>
          <w:lang w:bidi="ar"/>
        </w:rPr>
        <w:t>dell:FinancingReceivablesLongtermNetMemberus-gaap:VariableInterestEntityPrimaryBeneficiaryMember2022-01-280001571996us-gaap:PropertyPlantAndEquipmentMemberus-gaap:VariableInterestEntityPrimaryBeneficiaryMember2022-07-290001571996us-gaap:PropertyPlantAndEqu</w:t>
      </w:r>
      <w:r>
        <w:rPr>
          <w:rFonts w:ascii="宋体" w:eastAsia="宋体" w:hAnsi="宋体" w:cs="宋体" w:hint="eastAsia"/>
          <w:vanish/>
          <w:kern w:val="0"/>
          <w:sz w:val="24"/>
          <w:lang w:bidi="ar"/>
        </w:rPr>
        <w:t>ipmentMemberus-gaap:VariableInterestEntityPrimaryBeneficiaryMember2022-01-280001571996us-gaap:ShortTermDebtMemberus-gaap:VariableInterestEntityPrimaryBeneficiaryMember2022-07-290001571996us-gaap:ShortTermDebtMemberus-gaap:VariableInterestEntityPrimaryBenef</w:t>
      </w:r>
      <w:r>
        <w:rPr>
          <w:rFonts w:ascii="宋体" w:eastAsia="宋体" w:hAnsi="宋体" w:cs="宋体" w:hint="eastAsia"/>
          <w:vanish/>
          <w:kern w:val="0"/>
          <w:sz w:val="24"/>
          <w:lang w:bidi="ar"/>
        </w:rPr>
        <w:t>iciaryMember2022-01-280001571996us-gaap:VariableInterestEntityPrimaryBeneficiaryMemberus-gaap:LongTermDebtMember2022-07-290001571996us-gaap:VariableInterestEntityPrimaryBeneficiaryMemberus-gaap:LongTermDebtMember2022-01-280001571996us-gaap:VariableInterest</w:t>
      </w:r>
      <w:r>
        <w:rPr>
          <w:rFonts w:ascii="宋体" w:eastAsia="宋体" w:hAnsi="宋体" w:cs="宋体" w:hint="eastAsia"/>
          <w:vanish/>
          <w:kern w:val="0"/>
          <w:sz w:val="24"/>
          <w:lang w:bidi="ar"/>
        </w:rPr>
        <w:t>EntityPrimaryBeneficiaryMember2022-04-302022-07-290001571996us-gaap:VariableInterestEntityPrimaryBeneficiaryMember2021-05-012021-07-300001571996us-gaap:VariableInterestEntityPrimaryBeneficiaryMember2022-01-292022-07-290001571996us-gaap:VariableInterestEnti</w:t>
      </w:r>
      <w:r>
        <w:rPr>
          <w:rFonts w:ascii="宋体" w:eastAsia="宋体" w:hAnsi="宋体" w:cs="宋体" w:hint="eastAsia"/>
          <w:vanish/>
          <w:kern w:val="0"/>
          <w:sz w:val="24"/>
          <w:lang w:bidi="ar"/>
        </w:rPr>
        <w:t>tyPrimaryBeneficiaryMember2021-01-302021-07-300001571996srt:MinimumMember2022-07-290001571996srt:MaximumMember2022-07-290001571996us-gaap:SegmentDiscontinuedOperationsMember2021-01-302021-07-300001571996dell:A545DueJune152023Memberus-gaap:UnsecuredDebtMemb</w:t>
      </w:r>
      <w:r>
        <w:rPr>
          <w:rFonts w:ascii="宋体" w:eastAsia="宋体" w:hAnsi="宋体" w:cs="宋体" w:hint="eastAsia"/>
          <w:vanish/>
          <w:kern w:val="0"/>
          <w:sz w:val="24"/>
          <w:lang w:bidi="ar"/>
        </w:rPr>
        <w:t>er2022-07-290001571996dell:A545DueJune152023Memberus-gaap:UnsecuredDebtMember2022-01-280001571996dell:A400DueJuly2024Memberus-gaap:UnsecuredDebtMember2022-07-290001571996dell:A400DueJuly2024Memberus-gaap:UnsecuredDebtMember2022-01-280001571996dell:A585DueJ</w:t>
      </w:r>
      <w:r>
        <w:rPr>
          <w:rFonts w:ascii="宋体" w:eastAsia="宋体" w:hAnsi="宋体" w:cs="宋体" w:hint="eastAsia"/>
          <w:vanish/>
          <w:kern w:val="0"/>
          <w:sz w:val="24"/>
          <w:lang w:bidi="ar"/>
        </w:rPr>
        <w:t>uly2025Memberus-gaap:UnsecuredDebtMember2022-07-290001571996dell:A585DueJuly2025Memberus-gaap:UnsecuredDebtMember2022-01-280001571996dell:A602DueJune152026Memberus-gaap:UnsecuredDebtMember2022-07-290001571996dell:A602DueJune152026Memberus-gaap:UnsecuredDeb</w:t>
      </w:r>
      <w:r>
        <w:rPr>
          <w:rFonts w:ascii="宋体" w:eastAsia="宋体" w:hAnsi="宋体" w:cs="宋体" w:hint="eastAsia"/>
          <w:vanish/>
          <w:kern w:val="0"/>
          <w:sz w:val="24"/>
          <w:lang w:bidi="ar"/>
        </w:rPr>
        <w:t>tMember2022-01-280001571996dell:A490DueOctober2026Memberus-gaap:UnsecuredDebtMember2022-07-290001571996dell:A490DueOctober2026Memberus-gaap:UnsecuredDebtMember2022-01-280001571996dell:A610DueJuly2027Memberus-gaap:UnsecuredDebtMember2022-07-290001571996dell</w:t>
      </w:r>
      <w:r>
        <w:rPr>
          <w:rFonts w:ascii="宋体" w:eastAsia="宋体" w:hAnsi="宋体" w:cs="宋体" w:hint="eastAsia"/>
          <w:vanish/>
          <w:kern w:val="0"/>
          <w:sz w:val="24"/>
          <w:lang w:bidi="ar"/>
        </w:rPr>
        <w:t>:A610DueJuly2027Memberus-gaap:UnsecuredDebtMember2022-01-280001571996dell:A530DueOctober2029Memberus-gaap:UnsecuredDebtMember2022-07-290001571996dell:A530DueOctober2029Memberus-gaap:UnsecuredDebtMember2022-01-280001571996dell:A620DueJuly2030Memberus-gaap:U</w:t>
      </w:r>
      <w:r>
        <w:rPr>
          <w:rFonts w:ascii="宋体" w:eastAsia="宋体" w:hAnsi="宋体" w:cs="宋体" w:hint="eastAsia"/>
          <w:vanish/>
          <w:kern w:val="0"/>
          <w:sz w:val="24"/>
          <w:lang w:bidi="ar"/>
        </w:rPr>
        <w:t>nsecuredDebtMember2022-07-290001571996dell:A620DueJuly2030Memberus-gaap:UnsecuredDebtMember2022-01-280001571996dell:A8.10dueJuly152036NotesMemberus-gaap:UnsecuredDebtMember2022-07-290001571996dell:A8.10dueJuly152036NotesMemberus-gaap:UnsecuredDebtMember202</w:t>
      </w:r>
      <w:r>
        <w:rPr>
          <w:rFonts w:ascii="宋体" w:eastAsia="宋体" w:hAnsi="宋体" w:cs="宋体" w:hint="eastAsia"/>
          <w:vanish/>
          <w:kern w:val="0"/>
          <w:sz w:val="24"/>
          <w:lang w:bidi="ar"/>
        </w:rPr>
        <w:t>2-01-280001571996dell:A3375DueDecember2041Memberus-gaap:UnsecuredDebtMember2022-07-290001571996dell:A3375DueDecember2041Memberus-gaap:UnsecuredDebtMember2022-01-280001571996dell:A835DueJuly152046Memberus-gaap:UnsecuredDebtMember2022-07-290001571996dell:A83</w:t>
      </w:r>
      <w:r>
        <w:rPr>
          <w:rFonts w:ascii="宋体" w:eastAsia="宋体" w:hAnsi="宋体" w:cs="宋体" w:hint="eastAsia"/>
          <w:vanish/>
          <w:kern w:val="0"/>
          <w:sz w:val="24"/>
          <w:lang w:bidi="ar"/>
        </w:rPr>
        <w:t>5DueJuly152046Memberus-gaap:UnsecuredDebtMember2022-01-280001571996dell:A345FirstLienDueDecember2051Memberus-gaap:UnsecuredDebtMember2022-07-290001571996dell:A345FirstLienDueDecember2051Memberus-gaap:UnsecuredDebtMember2022-01-280001571996dell:A7.10DueApri</w:t>
      </w:r>
      <w:r>
        <w:rPr>
          <w:rFonts w:ascii="宋体" w:eastAsia="宋体" w:hAnsi="宋体" w:cs="宋体" w:hint="eastAsia"/>
          <w:vanish/>
          <w:kern w:val="0"/>
          <w:sz w:val="24"/>
          <w:lang w:bidi="ar"/>
        </w:rPr>
        <w:t>l2028NotesMemberus-gaap:UnsecuredDebtMember2022-07-290001571996dell:A7.10DueApril2028NotesMemberus-gaap:UnsecuredDebtMember2022-01-280001571996dell:A6.50DueApril2038NotesMemberus-gaap:UnsecuredDebtMember2022-07-290001571996dell:A6.50DueApril2038NotesMember</w:t>
      </w:r>
      <w:r>
        <w:rPr>
          <w:rFonts w:ascii="宋体" w:eastAsia="宋体" w:hAnsi="宋体" w:cs="宋体" w:hint="eastAsia"/>
          <w:vanish/>
          <w:kern w:val="0"/>
          <w:sz w:val="24"/>
          <w:lang w:bidi="ar"/>
        </w:rPr>
        <w:t>us-gaap:UnsecuredDebtMember2022-01-280001571996dell:A5.40DueSeptember2040NotesMemberus-gaap:UnsecuredDebtMember2022-07-290001571996dell:A5.40DueSeptember2040NotesMemberus-gaap:UnsecuredDebtMember2022-01-280001571996us-gaap:OtherDebtSecuritiesMember2022-07-</w:t>
      </w:r>
      <w:r>
        <w:rPr>
          <w:rFonts w:ascii="宋体" w:eastAsia="宋体" w:hAnsi="宋体" w:cs="宋体" w:hint="eastAsia"/>
          <w:vanish/>
          <w:kern w:val="0"/>
          <w:sz w:val="24"/>
          <w:lang w:bidi="ar"/>
        </w:rPr>
        <w:t>290001571996us-gaap:OtherDebtSecuritiesMember2022-01-280001571996dell:CommercialPaperProgramMemberus-gaap:CommercialPaperMember2022-07-180001571996dell:CommercialPaperProgramMemberus-gaap:CommercialPaperMember2022-07-182022-07-180001571996dell:CommercialPa</w:t>
      </w:r>
      <w:r>
        <w:rPr>
          <w:rFonts w:ascii="宋体" w:eastAsia="宋体" w:hAnsi="宋体" w:cs="宋体" w:hint="eastAsia"/>
          <w:vanish/>
          <w:kern w:val="0"/>
          <w:sz w:val="24"/>
          <w:lang w:bidi="ar"/>
        </w:rPr>
        <w:t>perProgramMemberus-gaap:CommercialPaperMember2022-07-290001571996us-gaap:UnsecuredDebtMember2016-06-010001571996us-gaap:UnsecuredDebtMember2016-06-220001571996us-gaap:UnsecuredDebtMember2019-03-200001571996us-gaap:UnsecuredDebtMember2020-04-090001571996us-</w:t>
      </w:r>
      <w:r>
        <w:rPr>
          <w:rFonts w:ascii="宋体" w:eastAsia="宋体" w:hAnsi="宋体" w:cs="宋体" w:hint="eastAsia"/>
          <w:vanish/>
          <w:kern w:val="0"/>
          <w:sz w:val="24"/>
          <w:lang w:bidi="ar"/>
        </w:rPr>
        <w:t>gaap:SeniorNotesMember2021-12-130001571996us-gaap:SecuredDebtMemberdell:FirstLienNotesMember2021-06-300001571996us-gaap:SecuredDebtMemberdell:FirstLienNotesMember2022-07-290001571996dell:A2021RevolvingCreditFacilityMember2021-11-010001571996dell:A2021Revol</w:t>
      </w:r>
      <w:r>
        <w:rPr>
          <w:rFonts w:ascii="宋体" w:eastAsia="宋体" w:hAnsi="宋体" w:cs="宋体" w:hint="eastAsia"/>
          <w:vanish/>
          <w:kern w:val="0"/>
          <w:sz w:val="24"/>
          <w:lang w:bidi="ar"/>
        </w:rPr>
        <w:t>vingCreditFacilityLetterOfCreditSubFacilityMember2021-11-010001571996dell:A2021RevolvingCreditFacilitySwingLineSubFacilityMember2021-11-010001571996dell:A2021RevolvingCreditFacilityIncrementalCommitmentsMember2021-11-010001571996dell:A2021RevolvingCreditFa</w:t>
      </w:r>
      <w:r>
        <w:rPr>
          <w:rFonts w:ascii="宋体" w:eastAsia="宋体" w:hAnsi="宋体" w:cs="宋体" w:hint="eastAsia"/>
          <w:vanish/>
          <w:kern w:val="0"/>
          <w:sz w:val="24"/>
          <w:lang w:bidi="ar"/>
        </w:rPr>
        <w:t>cilityMemberus-gaap:LondonInterbankOfferedRateLIBORMember2022-01-292022-07-290001571996dell:A2021RevolvingCreditFacilityMember2022-07-290001571996dell:FirstLienNotesMember2022-07-290001571996dell:LegacyNotesAndDebenturesMember2022-07-290001571996dell:Struc</w:t>
      </w:r>
      <w:r>
        <w:rPr>
          <w:rFonts w:ascii="宋体" w:eastAsia="宋体" w:hAnsi="宋体" w:cs="宋体" w:hint="eastAsia"/>
          <w:vanish/>
          <w:kern w:val="0"/>
          <w:sz w:val="24"/>
          <w:lang w:bidi="ar"/>
        </w:rPr>
        <w:t>turedFinancingDebtMember2022-07-290001571996dell:OtherDebtMember2022-07-290001571996dell:ForeignExchangeForwardandOptionMemberus-gaap:DesignatedAsHedgingInstrumentMember2022-01-292022-07-290001571996us-gaap:ForeignExchangeForwardMemberus-gaap:Nondesignated</w:t>
      </w:r>
      <w:r>
        <w:rPr>
          <w:rFonts w:ascii="宋体" w:eastAsia="宋体" w:hAnsi="宋体" w:cs="宋体" w:hint="eastAsia"/>
          <w:vanish/>
          <w:kern w:val="0"/>
          <w:sz w:val="24"/>
          <w:lang w:bidi="ar"/>
        </w:rPr>
        <w:t>Member2022-01-292022-07-290001571996dell:FinancingReceivablesMemberus-gaap:ForeignExchangeForwardMemberus-gaap:NondesignatedMember2022-01-292022-07-290001571996dell:StructuredFinancingDebtMemberus-gaap:InterestRateSwapMemberus-gaap:NondesignatedMember2022-</w:t>
      </w:r>
      <w:r>
        <w:rPr>
          <w:rFonts w:ascii="宋体" w:eastAsia="宋体" w:hAnsi="宋体" w:cs="宋体" w:hint="eastAsia"/>
          <w:vanish/>
          <w:kern w:val="0"/>
          <w:sz w:val="24"/>
          <w:lang w:bidi="ar"/>
        </w:rPr>
        <w:t>01-292022-07-290001571996us-gaap:InterestRateSwapMemberus-gaap:NondesignatedMember2022-01-292022-07-290001571996us-gaap:CrossCurrencyInterestRateContractMemberus-gaap:NondesignatedMember2022-01-292022-07-290001571996us-gaap:ForeignExchangeContractMemberus-</w:t>
      </w:r>
      <w:r>
        <w:rPr>
          <w:rFonts w:ascii="宋体" w:eastAsia="宋体" w:hAnsi="宋体" w:cs="宋体" w:hint="eastAsia"/>
          <w:vanish/>
          <w:kern w:val="0"/>
          <w:sz w:val="24"/>
          <w:lang w:bidi="ar"/>
        </w:rPr>
        <w:t>gaap:DesignatedAsHedgingInstrumentMember2022-07-290001571996us-gaap:ForeignExchangeContractMemberus-gaap:DesignatedAsHedgingInstrumentMember2022-01-280001571996us-gaap:ForeignExchangeContractMemberus-gaap:NondesignatedMember2022-07-290001571996us-gaap:Fore</w:t>
      </w:r>
      <w:r>
        <w:rPr>
          <w:rFonts w:ascii="宋体" w:eastAsia="宋体" w:hAnsi="宋体" w:cs="宋体" w:hint="eastAsia"/>
          <w:vanish/>
          <w:kern w:val="0"/>
          <w:sz w:val="24"/>
          <w:lang w:bidi="ar"/>
        </w:rPr>
        <w:t>ignExchangeContractMemberus-gaap:NondesignatedMember2022-01-280001571996us-gaap:ForeignExchangeContractMember2022-07-290001571996us-gaap:ForeignExchangeContractMember2022-01-280001571996us-gaap:NondesignatedMemberus-gaap:InterestRateContractMember2022-07-2</w:t>
      </w:r>
      <w:r>
        <w:rPr>
          <w:rFonts w:ascii="宋体" w:eastAsia="宋体" w:hAnsi="宋体" w:cs="宋体" w:hint="eastAsia"/>
          <w:vanish/>
          <w:kern w:val="0"/>
          <w:sz w:val="24"/>
          <w:lang w:bidi="ar"/>
        </w:rPr>
        <w:t>90001571996us-gaap:NondesignatedMemberus-gaap:InterestRateContractMember2022-01-280001571996us-gaap:SalesMember2022-04-302022-07-290001571996us-gaap:ForeignExchangeContractMember2022-04-302022-07-290001571996us-gaap:CostOfSalesMember2022-04-302022-07-29000</w:t>
      </w:r>
      <w:r>
        <w:rPr>
          <w:rFonts w:ascii="宋体" w:eastAsia="宋体" w:hAnsi="宋体" w:cs="宋体" w:hint="eastAsia"/>
          <w:vanish/>
          <w:kern w:val="0"/>
          <w:sz w:val="24"/>
          <w:lang w:bidi="ar"/>
        </w:rPr>
        <w:t>1571996us-gaap:InterestRateContractMember2022-04-302022-07-290001571996us-gaap:NonoperatingIncomeExpenseMember2022-04-302022-07-290001571996us-gaap:SalesMember2021-05-012021-07-300001571996us-gaap:ForeignExchangeContractMember2021-05-012021-07-300001571996</w:t>
      </w:r>
      <w:r>
        <w:rPr>
          <w:rFonts w:ascii="宋体" w:eastAsia="宋体" w:hAnsi="宋体" w:cs="宋体" w:hint="eastAsia"/>
          <w:vanish/>
          <w:kern w:val="0"/>
          <w:sz w:val="24"/>
          <w:lang w:bidi="ar"/>
        </w:rPr>
        <w:t>us-gaap:CostOfSalesMember2021-05-012021-07-300001571996us-gaap:InterestRateContractMember2021-05-012021-07-300001571996us-gaap:NonoperatingIncomeExpenseMember2021-05-012021-07-300001571996us-gaap:SegmentDiscontinuedOperationsMember2021-05-012021-07-3000015</w:t>
      </w:r>
      <w:r>
        <w:rPr>
          <w:rFonts w:ascii="宋体" w:eastAsia="宋体" w:hAnsi="宋体" w:cs="宋体" w:hint="eastAsia"/>
          <w:vanish/>
          <w:kern w:val="0"/>
          <w:sz w:val="24"/>
          <w:lang w:bidi="ar"/>
        </w:rPr>
        <w:t>71996us-gaap:SalesMember2022-01-292022-07-290001571996us-gaap:ForeignExchangeContractMember2022-01-292022-07-290001571996us-gaap:CostOfSalesMember2022-01-292022-07-290001571996us-gaap:InterestRateContractMember2022-01-292022-07-290001571996us-gaap:Nonopera</w:t>
      </w:r>
      <w:r>
        <w:rPr>
          <w:rFonts w:ascii="宋体" w:eastAsia="宋体" w:hAnsi="宋体" w:cs="宋体" w:hint="eastAsia"/>
          <w:vanish/>
          <w:kern w:val="0"/>
          <w:sz w:val="24"/>
          <w:lang w:bidi="ar"/>
        </w:rPr>
        <w:t>tingIncomeExpenseMember2022-01-292022-07-290001571996us-gaap:SalesMember2021-01-302021-07-300001571996us-gaap:ForeignExchangeContractMember2021-01-302021-07-300001571996us-gaap:CostOfSalesMember2021-01-302021-07-300001571996us-gaap:InterestRateContractMemb</w:t>
      </w:r>
      <w:r>
        <w:rPr>
          <w:rFonts w:ascii="宋体" w:eastAsia="宋体" w:hAnsi="宋体" w:cs="宋体" w:hint="eastAsia"/>
          <w:vanish/>
          <w:kern w:val="0"/>
          <w:sz w:val="24"/>
          <w:lang w:bidi="ar"/>
        </w:rPr>
        <w:t>er2021-01-302021-07-300001571996us-gaap:NonoperatingIncomeExpenseMember2021-01-302021-07-300001571996us-gaap:SegmentDiscontinuedOperationsMember2021-01-302021-07-300001571996us-gaap:ForeignExchangeContractMemberus-gaap:NonoperatingIncomeExpenseMember2022-0</w:t>
      </w:r>
      <w:r>
        <w:rPr>
          <w:rFonts w:ascii="宋体" w:eastAsia="宋体" w:hAnsi="宋体" w:cs="宋体" w:hint="eastAsia"/>
          <w:vanish/>
          <w:kern w:val="0"/>
          <w:sz w:val="24"/>
          <w:lang w:bidi="ar"/>
        </w:rPr>
        <w:t>4-302022-07-290001571996us-gaap:ForeignExchangeContractMemberus-gaap:NonoperatingIncomeExpenseMember2021-05-012021-07-300001571996us-gaap:ForeignExchangeContractMemberus-gaap:NonoperatingIncomeExpenseMember2022-01-292022-07-290001571996us-gaap:ForeignExcha</w:t>
      </w:r>
      <w:r>
        <w:rPr>
          <w:rFonts w:ascii="宋体" w:eastAsia="宋体" w:hAnsi="宋体" w:cs="宋体" w:hint="eastAsia"/>
          <w:vanish/>
          <w:kern w:val="0"/>
          <w:sz w:val="24"/>
          <w:lang w:bidi="ar"/>
        </w:rPr>
        <w:t>ngeContractMemberus-gaap:NonoperatingIncomeExpenseMember2021-01-302021-07-300001571996us-gaap:NonoperatingIncomeExpenseMemberus-gaap:InterestRateContractMember2022-04-302022-07-290001571996us-gaap:NonoperatingIncomeExpenseMemberus-gaap:InterestRateContract</w:t>
      </w:r>
      <w:r>
        <w:rPr>
          <w:rFonts w:ascii="宋体" w:eastAsia="宋体" w:hAnsi="宋体" w:cs="宋体" w:hint="eastAsia"/>
          <w:vanish/>
          <w:kern w:val="0"/>
          <w:sz w:val="24"/>
          <w:lang w:bidi="ar"/>
        </w:rPr>
        <w:t>Member2021-05-012021-07-300001571996us-gaap:NonoperatingIncomeExpenseMemberus-gaap:InterestRateContractMember2022-01-292022-07-290001571996us-gaap:NonoperatingIncomeExpenseMemberus-gaap:InterestRateContractMember2021-01-302021-07-300001571996us-gaap:Foreig</w:t>
      </w:r>
      <w:r>
        <w:rPr>
          <w:rFonts w:ascii="宋体" w:eastAsia="宋体" w:hAnsi="宋体" w:cs="宋体" w:hint="eastAsia"/>
          <w:vanish/>
          <w:kern w:val="0"/>
          <w:sz w:val="24"/>
          <w:lang w:bidi="ar"/>
        </w:rPr>
        <w:t>nExchangeContractMemberus-gaap:SegmentDiscontinuedOperationsMember2022-04-302022-07-290001571996us-gaap:ForeignExchangeContractMemberus-gaap:SegmentDiscontinuedOperationsMember2021-05-012021-07-300001571996us-gaap:ForeignExchangeContractMemberus-gaap:Segme</w:t>
      </w:r>
      <w:r>
        <w:rPr>
          <w:rFonts w:ascii="宋体" w:eastAsia="宋体" w:hAnsi="宋体" w:cs="宋体" w:hint="eastAsia"/>
          <w:vanish/>
          <w:kern w:val="0"/>
          <w:sz w:val="24"/>
          <w:lang w:bidi="ar"/>
        </w:rPr>
        <w:t>ntDiscontinuedOperationsMember2022-01-292022-07-290001571996us-gaap:ForeignExchangeContractMemberus-gaap:SegmentDiscontinuedOperationsMember2021-01-302021-07-300001571996us-gaap:OtherCurrentAssetsMemberus-gaap:ForeignExchangeContractMemberus-gaap:Designate</w:t>
      </w:r>
      <w:r>
        <w:rPr>
          <w:rFonts w:ascii="宋体" w:eastAsia="宋体" w:hAnsi="宋体" w:cs="宋体" w:hint="eastAsia"/>
          <w:vanish/>
          <w:kern w:val="0"/>
          <w:sz w:val="24"/>
          <w:lang w:bidi="ar"/>
        </w:rPr>
        <w:t>dAsHedgingInstrumentMember2022-07-290001571996us-gaap:ForeignExchangeContractMemberus-gaap:OtherNoncurrentAssetsMemberus-gaap:DesignatedAsHedgingInstrumentMember2022-07-290001571996us-gaap:ForeignExchangeContractMemberus-gaap:OtherCurrentLiabilitiesMemberu</w:t>
      </w:r>
      <w:r>
        <w:rPr>
          <w:rFonts w:ascii="宋体" w:eastAsia="宋体" w:hAnsi="宋体" w:cs="宋体" w:hint="eastAsia"/>
          <w:vanish/>
          <w:kern w:val="0"/>
          <w:sz w:val="24"/>
          <w:lang w:bidi="ar"/>
        </w:rPr>
        <w:t>s-gaap:DesignatedAsHedgingInstrumentMember2022-07-290001571996us-gaap:ForeignExchangeContractMemberus-gaap:DesignatedAsHedgingInstrumentMemberus-gaap:OtherNoncurrentLiabilitiesMember2022-07-290001571996us-gaap:OtherCurrentAssetsMemberus-gaap:DesignatedAsHe</w:t>
      </w:r>
      <w:r>
        <w:rPr>
          <w:rFonts w:ascii="宋体" w:eastAsia="宋体" w:hAnsi="宋体" w:cs="宋体" w:hint="eastAsia"/>
          <w:vanish/>
          <w:kern w:val="0"/>
          <w:sz w:val="24"/>
          <w:lang w:bidi="ar"/>
        </w:rPr>
        <w:t>dgingInstrumentMember2022-07-290001571996us-gaap:OtherNoncurrentAssetsMemberus-gaap:DesignatedAsHedgingInstrumentMember2022-07-290001571996us-gaap:OtherCurrentLiabilitiesMemberus-gaap:DesignatedAsHedgingInstrumentMember2022-07-290001571996us-gaap:Designate</w:t>
      </w:r>
      <w:r>
        <w:rPr>
          <w:rFonts w:ascii="宋体" w:eastAsia="宋体" w:hAnsi="宋体" w:cs="宋体" w:hint="eastAsia"/>
          <w:vanish/>
          <w:kern w:val="0"/>
          <w:sz w:val="24"/>
          <w:lang w:bidi="ar"/>
        </w:rPr>
        <w:t>dAsHedgingInstrumentMemberus-gaap:OtherNoncurrentLiabilitiesMember2022-07-290001571996us-gaap:DesignatedAsHedgingInstrumentMember2022-07-290001571996us-gaap:OtherCurrentAssetsMemberus-gaap:ForeignExchangeContractMemberus-gaap:NondesignatedMember2022-07-290</w:t>
      </w:r>
      <w:r>
        <w:rPr>
          <w:rFonts w:ascii="宋体" w:eastAsia="宋体" w:hAnsi="宋体" w:cs="宋体" w:hint="eastAsia"/>
          <w:vanish/>
          <w:kern w:val="0"/>
          <w:sz w:val="24"/>
          <w:lang w:bidi="ar"/>
        </w:rPr>
        <w:t>001571996us-gaap:ForeignExchangeContractMemberus-gaap:OtherNoncurrentAssetsMemberus-gaap:NondesignatedMember2022-07-290001571996us-gaap:ForeignExchangeContractMemberus-gaap:OtherCurrentLiabilitiesMemberus-gaap:NondesignatedMember2022-07-290001571996us-gaap</w:t>
      </w:r>
      <w:r>
        <w:rPr>
          <w:rFonts w:ascii="宋体" w:eastAsia="宋体" w:hAnsi="宋体" w:cs="宋体" w:hint="eastAsia"/>
          <w:vanish/>
          <w:kern w:val="0"/>
          <w:sz w:val="24"/>
          <w:lang w:bidi="ar"/>
        </w:rPr>
        <w:t>:ForeignExchangeContractMemberus-gaap:NondesignatedMemberus-gaap:OtherNoncurrentLiabilitiesMember2022-07-290001571996us-gaap:OtherCurrentAssetsMemberus-gaap:NondesignatedMemberus-gaap:InterestRateContractMember2022-07-290001571996us-gaap:OtherNoncurrentAss</w:t>
      </w:r>
      <w:r>
        <w:rPr>
          <w:rFonts w:ascii="宋体" w:eastAsia="宋体" w:hAnsi="宋体" w:cs="宋体" w:hint="eastAsia"/>
          <w:vanish/>
          <w:kern w:val="0"/>
          <w:sz w:val="24"/>
          <w:lang w:bidi="ar"/>
        </w:rPr>
        <w:t>etsMemberus-gaap:NondesignatedMemberus-gaap:InterestRateContractMember2022-07-290001571996us-gaap:OtherCurrentLiabilitiesMemberus-gaap:NondesignatedMemberus-gaap:InterestRateContractMember2022-07-290001571996us-gaap:NondesignatedMemberus-gaap:InterestRateC</w:t>
      </w:r>
      <w:r>
        <w:rPr>
          <w:rFonts w:ascii="宋体" w:eastAsia="宋体" w:hAnsi="宋体" w:cs="宋体" w:hint="eastAsia"/>
          <w:vanish/>
          <w:kern w:val="0"/>
          <w:sz w:val="24"/>
          <w:lang w:bidi="ar"/>
        </w:rPr>
        <w:t>ontractMemberus-gaap:OtherNoncurrentLiabilitiesMember2022-07-290001571996us-gaap:OtherCurrentAssetsMemberus-gaap:NondesignatedMember2022-07-290001571996us-gaap:OtherNoncurrentAssetsMemberus-gaap:NondesignatedMember2022-07-290001571996us-gaap:OtherCurrentLi</w:t>
      </w:r>
      <w:r>
        <w:rPr>
          <w:rFonts w:ascii="宋体" w:eastAsia="宋体" w:hAnsi="宋体" w:cs="宋体" w:hint="eastAsia"/>
          <w:vanish/>
          <w:kern w:val="0"/>
          <w:sz w:val="24"/>
          <w:lang w:bidi="ar"/>
        </w:rPr>
        <w:t>abilitiesMemberus-gaap:NondesignatedMember2022-07-290001571996us-gaap:NondesignatedMemberus-gaap:OtherNoncurrentLiabilitiesMember2022-07-290001571996us-gaap:NondesignatedMember2022-07-290001571996us-gaap:OtherCurrentAssetsMember2022-07-290001571996us-gaap:</w:t>
      </w:r>
      <w:r>
        <w:rPr>
          <w:rFonts w:ascii="宋体" w:eastAsia="宋体" w:hAnsi="宋体" w:cs="宋体" w:hint="eastAsia"/>
          <w:vanish/>
          <w:kern w:val="0"/>
          <w:sz w:val="24"/>
          <w:lang w:bidi="ar"/>
        </w:rPr>
        <w:t>OtherNoncurrentAssetsMember2022-07-290001571996us-gaap:OtherCurrentLiabilitiesMember2022-07-290001571996us-gaap:OtherNoncurrentLiabilitiesMember2022-07-290001571996us-gaap:OtherCurrentAssetsMemberus-gaap:ForeignExchangeContractMemberus-gaap:DesignatedAsHed</w:t>
      </w:r>
      <w:r>
        <w:rPr>
          <w:rFonts w:ascii="宋体" w:eastAsia="宋体" w:hAnsi="宋体" w:cs="宋体" w:hint="eastAsia"/>
          <w:vanish/>
          <w:kern w:val="0"/>
          <w:sz w:val="24"/>
          <w:lang w:bidi="ar"/>
        </w:rPr>
        <w:t>gingInstrumentMember2022-01-280001571996us-gaap:ForeignExchangeContractMemberus-gaap:OtherNoncurrentAssetsMemberus-gaap:DesignatedAsHedgingInstrumentMember2022-01-280001571996us-gaap:ForeignExchangeContractMemberus-gaap:OtherCurrentLiabilitiesMemberus-gaap</w:t>
      </w:r>
      <w:r>
        <w:rPr>
          <w:rFonts w:ascii="宋体" w:eastAsia="宋体" w:hAnsi="宋体" w:cs="宋体" w:hint="eastAsia"/>
          <w:vanish/>
          <w:kern w:val="0"/>
          <w:sz w:val="24"/>
          <w:lang w:bidi="ar"/>
        </w:rPr>
        <w:t>:DesignatedAsHedgingInstrumentMember2022-01-280001571996us-gaap:ForeignExchangeContractMemberus-gaap:DesignatedAsHedgingInstrumentMemberus-gaap:OtherNoncurrentLiabilitiesMember2022-01-280001571996us-gaap:OtherCurrentAssetsMemberus-gaap:DesignatedAsHedgingI</w:t>
      </w:r>
      <w:r>
        <w:rPr>
          <w:rFonts w:ascii="宋体" w:eastAsia="宋体" w:hAnsi="宋体" w:cs="宋体" w:hint="eastAsia"/>
          <w:vanish/>
          <w:kern w:val="0"/>
          <w:sz w:val="24"/>
          <w:lang w:bidi="ar"/>
        </w:rPr>
        <w:t>nstrumentMember2022-01-280001571996us-gaap:OtherNoncurrentAssetsMemberus-gaap:DesignatedAsHedgingInstrumentMember2022-01-280001571996us-gaap:OtherCurrentLiabilitiesMemberus-gaap:DesignatedAsHedgingInstrumentMember2022-01-280001571996us-gaap:DesignatedAsHed</w:t>
      </w:r>
      <w:r>
        <w:rPr>
          <w:rFonts w:ascii="宋体" w:eastAsia="宋体" w:hAnsi="宋体" w:cs="宋体" w:hint="eastAsia"/>
          <w:vanish/>
          <w:kern w:val="0"/>
          <w:sz w:val="24"/>
          <w:lang w:bidi="ar"/>
        </w:rPr>
        <w:t>gingInstrumentMemberus-gaap:OtherNoncurrentLiabilitiesMember2022-01-280001571996us-gaap:DesignatedAsHedgingInstrumentMember2022-01-280001571996us-gaap:OtherCurrentAssetsMemberus-gaap:ForeignExchangeContractMemberus-gaap:NondesignatedMember2022-01-280001571</w:t>
      </w:r>
      <w:r>
        <w:rPr>
          <w:rFonts w:ascii="宋体" w:eastAsia="宋体" w:hAnsi="宋体" w:cs="宋体" w:hint="eastAsia"/>
          <w:vanish/>
          <w:kern w:val="0"/>
          <w:sz w:val="24"/>
          <w:lang w:bidi="ar"/>
        </w:rPr>
        <w:t>996us-gaap:ForeignExchangeContractMemberus-gaap:OtherNoncurrentAssetsMemberus-gaap:NondesignatedMember2022-01-280001571996us-gaap:ForeignExchangeContractMemberus-gaap:OtherCurrentLiabilitiesMemberus-gaap:NondesignatedMember2022-01-280001571996us-gaap:Forei</w:t>
      </w:r>
      <w:r>
        <w:rPr>
          <w:rFonts w:ascii="宋体" w:eastAsia="宋体" w:hAnsi="宋体" w:cs="宋体" w:hint="eastAsia"/>
          <w:vanish/>
          <w:kern w:val="0"/>
          <w:sz w:val="24"/>
          <w:lang w:bidi="ar"/>
        </w:rPr>
        <w:t>gnExchangeContractMemberus-gaap:NondesignatedMemberus-gaap:OtherNoncurrentLiabilitiesMember2022-01-280001571996us-gaap:OtherCurrentAssetsMemberus-gaap:NondesignatedMemberus-gaap:InterestRateContractMember2022-01-280001571996us-gaap:OtherNoncurrentAssetsMem</w:t>
      </w:r>
      <w:r>
        <w:rPr>
          <w:rFonts w:ascii="宋体" w:eastAsia="宋体" w:hAnsi="宋体" w:cs="宋体" w:hint="eastAsia"/>
          <w:vanish/>
          <w:kern w:val="0"/>
          <w:sz w:val="24"/>
          <w:lang w:bidi="ar"/>
        </w:rPr>
        <w:t>berus-gaap:NondesignatedMemberus-gaap:InterestRateContractMember2022-01-280001571996us-gaap:OtherCurrentLiabilitiesMemberus-gaap:NondesignatedMemberus-gaap:InterestRateContractMember2022-01-280001571996us-gaap:NondesignatedMemberus-gaap:InterestRateContrac</w:t>
      </w:r>
      <w:r>
        <w:rPr>
          <w:rFonts w:ascii="宋体" w:eastAsia="宋体" w:hAnsi="宋体" w:cs="宋体" w:hint="eastAsia"/>
          <w:vanish/>
          <w:kern w:val="0"/>
          <w:sz w:val="24"/>
          <w:lang w:bidi="ar"/>
        </w:rPr>
        <w:t>tMemberus-gaap:OtherNoncurrentLiabilitiesMember2022-01-280001571996us-gaap:OtherCurrentAssetsMemberus-gaap:NondesignatedMember2022-01-280001571996us-gaap:OtherNoncurrentAssetsMemberus-gaap:NondesignatedMember2022-01-280001571996us-gaap:OtherCurrentLiabilit</w:t>
      </w:r>
      <w:r>
        <w:rPr>
          <w:rFonts w:ascii="宋体" w:eastAsia="宋体" w:hAnsi="宋体" w:cs="宋体" w:hint="eastAsia"/>
          <w:vanish/>
          <w:kern w:val="0"/>
          <w:sz w:val="24"/>
          <w:lang w:bidi="ar"/>
        </w:rPr>
        <w:t>iesMemberus-gaap:NondesignatedMember2022-01-280001571996us-gaap:NondesignatedMemberus-gaap:OtherNoncurrentLiabilitiesMember2022-01-280001571996us-gaap:NondesignatedMember2022-01-280001571996us-gaap:OtherCurrentAssetsMember2022-01-280001571996us-gaap:OtherN</w:t>
      </w:r>
      <w:r>
        <w:rPr>
          <w:rFonts w:ascii="宋体" w:eastAsia="宋体" w:hAnsi="宋体" w:cs="宋体" w:hint="eastAsia"/>
          <w:vanish/>
          <w:kern w:val="0"/>
          <w:sz w:val="24"/>
          <w:lang w:bidi="ar"/>
        </w:rPr>
        <w:t>oncurrentAssetsMember2022-01-280001571996us-gaap:OtherCurrentLiabilitiesMember2022-01-280001571996us-gaap:OtherNoncurrentLiabilitiesMember2022-01-280001571996us-gaap:OperatingSegmentsMemberdell:InfrastructureSolutionsGroupMember2022-01-280001571996us-gaap:</w:t>
      </w:r>
      <w:r>
        <w:rPr>
          <w:rFonts w:ascii="宋体" w:eastAsia="宋体" w:hAnsi="宋体" w:cs="宋体" w:hint="eastAsia"/>
          <w:vanish/>
          <w:kern w:val="0"/>
          <w:sz w:val="24"/>
          <w:lang w:bidi="ar"/>
        </w:rPr>
        <w:t>OperatingSegmentsMemberdell:ClientSolutionsMember2022-01-280001571996us-gaap:OperatingSegmentsMemberus-gaap:AllOtherSegmentsMember2022-01-280001571996us-gaap:OperatingSegmentsMemberdell:InfrastructureSolutionsGroupMember2022-01-292022-07-290001571996us-gaa</w:t>
      </w:r>
      <w:r>
        <w:rPr>
          <w:rFonts w:ascii="宋体" w:eastAsia="宋体" w:hAnsi="宋体" w:cs="宋体" w:hint="eastAsia"/>
          <w:vanish/>
          <w:kern w:val="0"/>
          <w:sz w:val="24"/>
          <w:lang w:bidi="ar"/>
        </w:rPr>
        <w:t>p:OperatingSegmentsMemberdell:ClientSolutionsMember2022-01-292022-07-290001571996us-gaap:OperatingSegmentsMemberus-gaap:AllOtherSegmentsMember2022-01-292022-07-290001571996us-gaap:OperatingSegmentsMemberdell:InfrastructureSolutionsGroupMember2022-07-290001</w:t>
      </w:r>
      <w:r>
        <w:rPr>
          <w:rFonts w:ascii="宋体" w:eastAsia="宋体" w:hAnsi="宋体" w:cs="宋体" w:hint="eastAsia"/>
          <w:vanish/>
          <w:kern w:val="0"/>
          <w:sz w:val="24"/>
          <w:lang w:bidi="ar"/>
        </w:rPr>
        <w:t>571996us-gaap:OperatingSegmentsMemberdell:ClientSolutionsMember2022-07-290001571996us-gaap:OperatingSegmentsMemberus-gaap:AllOtherSegmentsMember2022-07-290001571996us-gaap:CustomerRelationshipsMember2022-07-290001571996us-gaap:CustomerRelationshipsMember20</w:t>
      </w:r>
      <w:r>
        <w:rPr>
          <w:rFonts w:ascii="宋体" w:eastAsia="宋体" w:hAnsi="宋体" w:cs="宋体" w:hint="eastAsia"/>
          <w:vanish/>
          <w:kern w:val="0"/>
          <w:sz w:val="24"/>
          <w:lang w:bidi="ar"/>
        </w:rPr>
        <w:t>22-01-280001571996us-gaap:TechnologyBasedIntangibleAssetsMember2022-07-290001571996us-gaap:TechnologyBasedIntangibleAssetsMember2022-01-280001571996us-gaap:TradeNamesMember2022-07-290001571996us-gaap:TradeNamesMember2022-01-280001571996us-gaap:TradeNamesMe</w:t>
      </w:r>
      <w:r>
        <w:rPr>
          <w:rFonts w:ascii="宋体" w:eastAsia="宋体" w:hAnsi="宋体" w:cs="宋体" w:hint="eastAsia"/>
          <w:vanish/>
          <w:kern w:val="0"/>
          <w:sz w:val="24"/>
          <w:lang w:bidi="ar"/>
        </w:rPr>
        <w:t>mber2022-07-290001571996us-gaap:TradeNamesMember2022-01-2800015719962022-07-302022-07-2900015719962023-07-302022-07-290001571996dell:ClassVTransactionClassActionCaseMember2018-12-282018-12-280001571996dell:ClassVTransactionClassActionCaseMember2018-11-0120</w:t>
      </w:r>
      <w:r>
        <w:rPr>
          <w:rFonts w:ascii="宋体" w:eastAsia="宋体" w:hAnsi="宋体" w:cs="宋体" w:hint="eastAsia"/>
          <w:vanish/>
          <w:kern w:val="0"/>
          <w:sz w:val="24"/>
          <w:lang w:bidi="ar"/>
        </w:rPr>
        <w:t>18-11-30dell:plaintiff0001571996dell:ClassActionsVMwareIncsAcquisitionOfPivotalSoftwareMember2019-12-302019-12-300001571996us-gaap:AccumulatedTranslationAdjustmentMember2022-01-280001571996us-gaap:AccumulatedGainLossNetCashFlowHedgeParentMember2022-01-2800</w:t>
      </w:r>
      <w:r>
        <w:rPr>
          <w:rFonts w:ascii="宋体" w:eastAsia="宋体" w:hAnsi="宋体" w:cs="宋体" w:hint="eastAsia"/>
          <w:vanish/>
          <w:kern w:val="0"/>
          <w:sz w:val="24"/>
          <w:lang w:bidi="ar"/>
        </w:rPr>
        <w:t>01571996us-gaap:AccumulatedDefinedBenefitPlansAdjustmentMember2022-01-280001571996us-gaap:AccumulatedTranslationAdjustmentMember2022-01-292022-07-290001571996us-gaap:AccumulatedGainLossNetCashFlowHedgeParentMember2022-01-292022-07-290001571996us-gaap:Accum</w:t>
      </w:r>
      <w:r>
        <w:rPr>
          <w:rFonts w:ascii="宋体" w:eastAsia="宋体" w:hAnsi="宋体" w:cs="宋体" w:hint="eastAsia"/>
          <w:vanish/>
          <w:kern w:val="0"/>
          <w:sz w:val="24"/>
          <w:lang w:bidi="ar"/>
        </w:rPr>
        <w:t>ulatedDefinedBenefitPlansAdjustmentMember2022-01-292022-07-290001571996us-gaap:AccumulatedTranslationAdjustmentMember2022-07-290001571996us-gaap:AccumulatedGainLossNetCashFlowHedgeParentMember2022-07-290001571996us-gaap:AccumulatedDefinedBenefitPlansAdjust</w:t>
      </w:r>
      <w:r>
        <w:rPr>
          <w:rFonts w:ascii="宋体" w:eastAsia="宋体" w:hAnsi="宋体" w:cs="宋体" w:hint="eastAsia"/>
          <w:vanish/>
          <w:kern w:val="0"/>
          <w:sz w:val="24"/>
          <w:lang w:bidi="ar"/>
        </w:rPr>
        <w:t>mentMember2022-07-290001571996us-gaap:ReclassificationOutOfAccumulatedOtherComprehensiveIncomeMemberus-gaap:AccumulatedGainLossNetCashFlowHedgeParentMember2022-04-302022-07-290001571996us-gaap:AccumulatedDefinedBenefitPlansAdjustmentMemberus-gaap:Reclassif</w:t>
      </w:r>
      <w:r>
        <w:rPr>
          <w:rFonts w:ascii="宋体" w:eastAsia="宋体" w:hAnsi="宋体" w:cs="宋体" w:hint="eastAsia"/>
          <w:vanish/>
          <w:kern w:val="0"/>
          <w:sz w:val="24"/>
          <w:lang w:bidi="ar"/>
        </w:rPr>
        <w:t>icationOutOfAccumulatedOtherComprehensiveIncomeMember2022-04-302022-07-290001571996us-gaap:ReclassificationOutOfAccumulatedOtherComprehensiveIncomeMember2022-04-302022-07-290001571996us-gaap:ReclassificationOutOfAccumulatedOtherComprehensiveIncomeMemberus-</w:t>
      </w:r>
      <w:r>
        <w:rPr>
          <w:rFonts w:ascii="宋体" w:eastAsia="宋体" w:hAnsi="宋体" w:cs="宋体" w:hint="eastAsia"/>
          <w:vanish/>
          <w:kern w:val="0"/>
          <w:sz w:val="24"/>
          <w:lang w:bidi="ar"/>
        </w:rPr>
        <w:t>gaap:AccumulatedGainLossNetCashFlowHedgeParentMember2021-05-012021-07-300001571996us-gaap:AccumulatedDefinedBenefitPlansAdjustmentMemberus-gaap:ReclassificationOutOfAccumulatedOtherComprehensiveIncomeMember2021-05-012021-07-300001571996us-gaap:Reclassifica</w:t>
      </w:r>
      <w:r>
        <w:rPr>
          <w:rFonts w:ascii="宋体" w:eastAsia="宋体" w:hAnsi="宋体" w:cs="宋体" w:hint="eastAsia"/>
          <w:vanish/>
          <w:kern w:val="0"/>
          <w:sz w:val="24"/>
          <w:lang w:bidi="ar"/>
        </w:rPr>
        <w:t>tionOutOfAccumulatedOtherComprehensiveIncomeMember2021-05-012021-07-300001571996us-gaap:ReclassificationOutOfAccumulatedOtherComprehensiveIncomeMemberus-gaap:AccumulatedGainLossNetCashFlowHedgeParentMember2022-01-292022-07-290001571996us-gaap:AccumulatedDe</w:t>
      </w:r>
      <w:r>
        <w:rPr>
          <w:rFonts w:ascii="宋体" w:eastAsia="宋体" w:hAnsi="宋体" w:cs="宋体" w:hint="eastAsia"/>
          <w:vanish/>
          <w:kern w:val="0"/>
          <w:sz w:val="24"/>
          <w:lang w:bidi="ar"/>
        </w:rPr>
        <w:t>finedBenefitPlansAdjustmentMemberus-gaap:ReclassificationOutOfAccumulatedOtherComprehensiveIncomeMember2022-01-292022-07-290001571996us-gaap:ReclassificationOutOfAccumulatedOtherComprehensiveIncomeMember2022-01-292022-07-290001571996us-gaap:Reclassificatio</w:t>
      </w:r>
      <w:r>
        <w:rPr>
          <w:rFonts w:ascii="宋体" w:eastAsia="宋体" w:hAnsi="宋体" w:cs="宋体" w:hint="eastAsia"/>
          <w:vanish/>
          <w:kern w:val="0"/>
          <w:sz w:val="24"/>
          <w:lang w:bidi="ar"/>
        </w:rPr>
        <w:t>nOutOfAccumulatedOtherComprehensiveIncomeMemberus-gaap:AccumulatedGainLossNetCashFlowHedgeParentMember2021-01-302021-07-300001571996us-gaap:AccumulatedDefinedBenefitPlansAdjustmentMemberus-gaap:ReclassificationOutOfAccumulatedOtherComprehensiveIncomeMember</w:t>
      </w:r>
      <w:r>
        <w:rPr>
          <w:rFonts w:ascii="宋体" w:eastAsia="宋体" w:hAnsi="宋体" w:cs="宋体" w:hint="eastAsia"/>
          <w:vanish/>
          <w:kern w:val="0"/>
          <w:sz w:val="24"/>
          <w:lang w:bidi="ar"/>
        </w:rPr>
        <w:t>2021-01-302021-07-300001571996us-gaap:ReclassificationOutOfAccumulatedOtherComprehensiveIncomeMember2021-01-302021-07-300001571996us-gaap:CommonClassAMember2022-07-290001571996us-gaap:CommonClassBMember2022-07-290001571996us-gaap:CommonClassCMember2022-07-</w:t>
      </w:r>
      <w:r>
        <w:rPr>
          <w:rFonts w:ascii="宋体" w:eastAsia="宋体" w:hAnsi="宋体" w:cs="宋体" w:hint="eastAsia"/>
          <w:vanish/>
          <w:kern w:val="0"/>
          <w:sz w:val="24"/>
          <w:lang w:bidi="ar"/>
        </w:rPr>
        <w:t>290001571996dell:CommonClassDMember2022-07-290001571996us-gaap:CommonClassAMember2022-01-280001571996us-gaap:CommonClassBMember2022-01-280001571996us-gaap:CommonClassCMember2022-01-280001571996dell:CommonClassDMember2022-01-280001571996dell:CommonClassVMem</w:t>
      </w:r>
      <w:r>
        <w:rPr>
          <w:rFonts w:ascii="宋体" w:eastAsia="宋体" w:hAnsi="宋体" w:cs="宋体" w:hint="eastAsia"/>
          <w:vanish/>
          <w:kern w:val="0"/>
          <w:sz w:val="24"/>
          <w:lang w:bidi="ar"/>
        </w:rPr>
        <w:t>ber2022-01-280001571996us-gaap:CommonClassAMember2022-01-292022-07-29dell:vote0001571996us-gaap:CommonClassBMember2022-01-292022-07-290001571996us-gaap:CommonClassCMember2022-01-292022-07-290001571996dell:CommonClassDMember2022-01-292022-07-290001571996202</w:t>
      </w:r>
      <w:r>
        <w:rPr>
          <w:rFonts w:ascii="宋体" w:eastAsia="宋体" w:hAnsi="宋体" w:cs="宋体" w:hint="eastAsia"/>
          <w:vanish/>
          <w:kern w:val="0"/>
          <w:sz w:val="24"/>
          <w:lang w:bidi="ar"/>
        </w:rPr>
        <w:t>2-02-242022-02-2400015719962022-04-292022-04-2900015719962022-06-072022-06-0700015719962022-07-292022-07-290001571996us-gaap:CommonClassCMember2021-09-230001571996us-gaap:ProductMemberdell:VMwareInc.Memberus-gaap:SalesMember2022-04-302022-07-290001571996us</w:t>
      </w:r>
      <w:r>
        <w:rPr>
          <w:rFonts w:ascii="宋体" w:eastAsia="宋体" w:hAnsi="宋体" w:cs="宋体" w:hint="eastAsia"/>
          <w:vanish/>
          <w:kern w:val="0"/>
          <w:sz w:val="24"/>
          <w:lang w:bidi="ar"/>
        </w:rPr>
        <w:t>-gaap:ProductMemberdell:VMwareInc.Memberus-gaap:SalesMember2021-05-012021-07-300001571996us-gaap:ProductMemberdell:VMwareInc.Memberus-gaap:SalesMember2022-01-292022-07-290001571996us-gaap:ProductMemberdell:VMwareInc.Memberus-gaap:SalesMember2021-01-302021-</w:t>
      </w:r>
      <w:r>
        <w:rPr>
          <w:rFonts w:ascii="宋体" w:eastAsia="宋体" w:hAnsi="宋体" w:cs="宋体" w:hint="eastAsia"/>
          <w:vanish/>
          <w:kern w:val="0"/>
          <w:sz w:val="24"/>
          <w:lang w:bidi="ar"/>
        </w:rPr>
        <w:t>07-300001571996us-gaap:OtherCurrentAssetsMemberdell:VMwareInc.Member2022-07-290001571996us-gaap:OtherCurrentAssetsMemberdell:VMwareInc.Member2022-01-280001571996us-gaap:OtherNoncurrentAssetsMemberdell:VMwareInc.Member2022-07-290001571996us-gaap:OtherNoncur</w:t>
      </w:r>
      <w:r>
        <w:rPr>
          <w:rFonts w:ascii="宋体" w:eastAsia="宋体" w:hAnsi="宋体" w:cs="宋体" w:hint="eastAsia"/>
          <w:vanish/>
          <w:kern w:val="0"/>
          <w:sz w:val="24"/>
          <w:lang w:bidi="ar"/>
        </w:rPr>
        <w:t>rentAssetsMemberdell:VMwareInc.Member2022-01-280001571996dell:VMwareInc.Memberdell:TaxAgreementMember2022-07-290001571996dell:VMwareInc.Memberdell:TaxAgreementMember2022-01-280001571996dell:VMwareInc.Member2022-01-292022-07-290001571996dell:VMwareInc.Membe</w:t>
      </w:r>
      <w:r>
        <w:rPr>
          <w:rFonts w:ascii="宋体" w:eastAsia="宋体" w:hAnsi="宋体" w:cs="宋体" w:hint="eastAsia"/>
          <w:vanish/>
          <w:kern w:val="0"/>
          <w:sz w:val="24"/>
          <w:lang w:bidi="ar"/>
        </w:rPr>
        <w:t>r2022-07-290001571996dell:VMwareInc.Member2022-01-280001571996dell:VMwareInc.Member2022-07-290001571996dell:VMwareInc.Member2022-01-28dell:segment0001571996us-gaap:OperatingSegmentsMemberdell:InfrastructureSolutionsGroupMember2022-04-302022-07-290001571996</w:t>
      </w:r>
      <w:r>
        <w:rPr>
          <w:rFonts w:ascii="宋体" w:eastAsia="宋体" w:hAnsi="宋体" w:cs="宋体" w:hint="eastAsia"/>
          <w:vanish/>
          <w:kern w:val="0"/>
          <w:sz w:val="24"/>
          <w:lang w:bidi="ar"/>
        </w:rPr>
        <w:t>us-gaap:OperatingSegmentsMemberdell:InfrastructureSolutionsGroupMember2021-05-012021-07-300001571996us-gaap:OperatingSegmentsMemberdell:InfrastructureSolutionsGroupMember2021-01-302021-07-300001571996us-gaap:OperatingSegmentsMemberdell:ClientSolutionsMembe</w:t>
      </w:r>
      <w:r>
        <w:rPr>
          <w:rFonts w:ascii="宋体" w:eastAsia="宋体" w:hAnsi="宋体" w:cs="宋体" w:hint="eastAsia"/>
          <w:vanish/>
          <w:kern w:val="0"/>
          <w:sz w:val="24"/>
          <w:lang w:bidi="ar"/>
        </w:rPr>
        <w:t>r2022-04-302022-07-290001571996us-gaap:OperatingSegmentsMemberdell:ClientSolutionsMember2021-05-012021-07-300001571996us-gaap:OperatingSegmentsMemberdell:ClientSolutionsMember2021-01-302021-07-300001571996us-gaap:OperatingSegmentsMember2022-04-302022-07-29</w:t>
      </w:r>
      <w:r>
        <w:rPr>
          <w:rFonts w:ascii="宋体" w:eastAsia="宋体" w:hAnsi="宋体" w:cs="宋体" w:hint="eastAsia"/>
          <w:vanish/>
          <w:kern w:val="0"/>
          <w:sz w:val="24"/>
          <w:lang w:bidi="ar"/>
        </w:rPr>
        <w:t>0001571996us-gaap:OperatingSegmentsMember2021-05-012021-07-300001571996us-gaap:OperatingSegmentsMember2022-01-292022-07-290001571996us-gaap:OperatingSegmentsMember2021-01-302021-07-300001571996us-gaap:OperatingSegmentsMemberus-gaap:AllOtherSegmentsMember20</w:t>
      </w:r>
      <w:r>
        <w:rPr>
          <w:rFonts w:ascii="宋体" w:eastAsia="宋体" w:hAnsi="宋体" w:cs="宋体" w:hint="eastAsia"/>
          <w:vanish/>
          <w:kern w:val="0"/>
          <w:sz w:val="24"/>
          <w:lang w:bidi="ar"/>
        </w:rPr>
        <w:t>22-04-302022-07-290001571996us-gaap:OperatingSegmentsMemberus-gaap:AllOtherSegmentsMember2021-05-012021-07-300001571996us-gaap:OperatingSegmentsMemberus-gaap:AllOtherSegmentsMember2021-01-302021-07-300001571996us-gaap:CorporateNonSegmentMember2022-04-30202</w:t>
      </w:r>
      <w:r>
        <w:rPr>
          <w:rFonts w:ascii="宋体" w:eastAsia="宋体" w:hAnsi="宋体" w:cs="宋体" w:hint="eastAsia"/>
          <w:vanish/>
          <w:kern w:val="0"/>
          <w:sz w:val="24"/>
          <w:lang w:bidi="ar"/>
        </w:rPr>
        <w:t>2-07-290001571996us-gaap:CorporateNonSegmentMember2021-05-012021-07-300001571996us-gaap:CorporateNonSegmentMember2022-01-292022-07-290001571996us-gaap:CorporateNonSegmentMember2021-01-302021-07-300001571996us-gaap:MaterialReconcilingItemsMember2022-04-3020</w:t>
      </w:r>
      <w:r>
        <w:rPr>
          <w:rFonts w:ascii="宋体" w:eastAsia="宋体" w:hAnsi="宋体" w:cs="宋体" w:hint="eastAsia"/>
          <w:vanish/>
          <w:kern w:val="0"/>
          <w:sz w:val="24"/>
          <w:lang w:bidi="ar"/>
        </w:rPr>
        <w:t>22-07-290001571996us-gaap:MaterialReconcilingItemsMember2021-05-012021-07-300001571996us-gaap:MaterialReconcilingItemsMember2022-01-292022-07-290001571996us-gaap:MaterialReconcilingItemsMember2021-01-302021-07-300001571996dell:ServersAndNetworkingMemberus-</w:t>
      </w:r>
      <w:r>
        <w:rPr>
          <w:rFonts w:ascii="宋体" w:eastAsia="宋体" w:hAnsi="宋体" w:cs="宋体" w:hint="eastAsia"/>
          <w:vanish/>
          <w:kern w:val="0"/>
          <w:sz w:val="24"/>
          <w:lang w:bidi="ar"/>
        </w:rPr>
        <w:t>gaap:OperatingSegmentsMemberdell:InfrastructureSolutionsGroupMember2022-04-302022-07-290001571996dell:ServersAndNetworkingMemberus-gaap:OperatingSegmentsMemberdell:InfrastructureSolutionsGroupMember2021-05-012021-07-300001571996dell:ServersAndNetworkingMem</w:t>
      </w:r>
      <w:r>
        <w:rPr>
          <w:rFonts w:ascii="宋体" w:eastAsia="宋体" w:hAnsi="宋体" w:cs="宋体" w:hint="eastAsia"/>
          <w:vanish/>
          <w:kern w:val="0"/>
          <w:sz w:val="24"/>
          <w:lang w:bidi="ar"/>
        </w:rPr>
        <w:t>berus-gaap:OperatingSegmentsMemberdell:InfrastructureSolutionsGroupMember2022-01-292022-07-290001571996dell:ServersAndNetworkingMemberus-gaap:OperatingSegmentsMemberdell:InfrastructureSolutionsGroupMember2021-01-302021-07-300001571996dell:StorageMemberus-g</w:t>
      </w:r>
      <w:r>
        <w:rPr>
          <w:rFonts w:ascii="宋体" w:eastAsia="宋体" w:hAnsi="宋体" w:cs="宋体" w:hint="eastAsia"/>
          <w:vanish/>
          <w:kern w:val="0"/>
          <w:sz w:val="24"/>
          <w:lang w:bidi="ar"/>
        </w:rPr>
        <w:t>aap:OperatingSegmentsMemberdell:InfrastructureSolutionsGroupMember2022-04-302022-07-290001571996dell:StorageMemberus-gaap:OperatingSegmentsMemberdell:InfrastructureSolutionsGroupMember2021-05-012021-07-300001571996dell:StorageMemberus-gaap:OperatingSegment</w:t>
      </w:r>
      <w:r>
        <w:rPr>
          <w:rFonts w:ascii="宋体" w:eastAsia="宋体" w:hAnsi="宋体" w:cs="宋体" w:hint="eastAsia"/>
          <w:vanish/>
          <w:kern w:val="0"/>
          <w:sz w:val="24"/>
          <w:lang w:bidi="ar"/>
        </w:rPr>
        <w:t>sMemberdell:InfrastructureSolutionsGroupMember2022-01-292022-07-290001571996dell:StorageMemberus-gaap:OperatingSegmentsMemberdell:InfrastructureSolutionsGroupMember2021-01-302021-07-300001571996dell:CommercialMemberus-gaap:OperatingSegmentsMemberdell:Clien</w:t>
      </w:r>
      <w:r>
        <w:rPr>
          <w:rFonts w:ascii="宋体" w:eastAsia="宋体" w:hAnsi="宋体" w:cs="宋体" w:hint="eastAsia"/>
          <w:vanish/>
          <w:kern w:val="0"/>
          <w:sz w:val="24"/>
          <w:lang w:bidi="ar"/>
        </w:rPr>
        <w:t>tSolutionsMember2022-04-302022-07-290001571996dell:CommercialMemberus-gaap:OperatingSegmentsMemberdell:ClientSolutionsMember2021-05-012021-07-300001571996dell:CommercialMemberus-gaap:OperatingSegmentsMemberdell:ClientSolutionsMember2022-01-292022-07-290001</w:t>
      </w:r>
      <w:r>
        <w:rPr>
          <w:rFonts w:ascii="宋体" w:eastAsia="宋体" w:hAnsi="宋体" w:cs="宋体" w:hint="eastAsia"/>
          <w:vanish/>
          <w:kern w:val="0"/>
          <w:sz w:val="24"/>
          <w:lang w:bidi="ar"/>
        </w:rPr>
        <w:t>571996dell:CommercialMemberus-gaap:OperatingSegmentsMemberdell:ClientSolutionsMember2021-01-302021-07-300001571996us-gaap:OperatingSegmentsMemberdell:ConsumerMemberdell:ClientSolutionsMember2022-04-302022-07-290001571996us-gaap:OperatingSegmentsMemberdell:</w:t>
      </w:r>
      <w:r>
        <w:rPr>
          <w:rFonts w:ascii="宋体" w:eastAsia="宋体" w:hAnsi="宋体" w:cs="宋体" w:hint="eastAsia"/>
          <w:vanish/>
          <w:kern w:val="0"/>
          <w:sz w:val="24"/>
          <w:lang w:bidi="ar"/>
        </w:rPr>
        <w:t>ConsumerMemberdell:ClientSolutionsMember2021-05-012021-07-300001571996us-gaap:OperatingSegmentsMemberdell:ConsumerMemberdell:ClientSolutionsMember2022-01-292022-07-290001571996us-gaap:OperatingSegmentsMemberdell:ConsumerMemberdell:ClientSolutionsMember2021</w:t>
      </w:r>
      <w:r>
        <w:rPr>
          <w:rFonts w:ascii="宋体" w:eastAsia="宋体" w:hAnsi="宋体" w:cs="宋体" w:hint="eastAsia"/>
          <w:vanish/>
          <w:kern w:val="0"/>
          <w:sz w:val="24"/>
          <w:lang w:bidi="ar"/>
        </w:rPr>
        <w:t>-01-302021-07-300001571996us-gaap:ComputerEquipmentMember2022-07-290001571996us-gaap:ComputerEquipmentMember2022-01-280001571996us-gaap:LandAndBuildingMember2022-07-290001571996us-gaap:LandAndBuildingMember2022-01-280001571996us-gaap:OtherMachineryAndEquip</w:t>
      </w:r>
      <w:r>
        <w:rPr>
          <w:rFonts w:ascii="宋体" w:eastAsia="宋体" w:hAnsi="宋体" w:cs="宋体" w:hint="eastAsia"/>
          <w:vanish/>
          <w:kern w:val="0"/>
          <w:sz w:val="24"/>
          <w:lang w:bidi="ar"/>
        </w:rPr>
        <w:t>mentMember2022-07-290001571996us-gaap:OtherMachineryAndEquipmentMember2022-01-28</w:t>
      </w:r>
    </w:p>
    <w:p w14:paraId="59E47ED5" w14:textId="77777777" w:rsidR="00D7560A" w:rsidRDefault="001E3CAB">
      <w:pPr>
        <w:widowControl/>
        <w:jc w:val="left"/>
        <w:rPr>
          <w:rFonts w:ascii="宋体" w:eastAsia="宋体" w:hAnsi="宋体" w:cs="宋体"/>
          <w:kern w:val="0"/>
          <w:sz w:val="24"/>
        </w:rPr>
      </w:pPr>
      <w:hyperlink w:anchor="if933dd1d5d004d2495dd7029e3ecad00_13" w:history="1">
        <w:r>
          <w:rPr>
            <w:rStyle w:val="a4"/>
            <w:rFonts w:ascii="Times New Roman" w:eastAsia="宋体" w:hAnsi="Times New Roman" w:cs="Times New Roman"/>
            <w:sz w:val="20"/>
            <w:szCs w:val="20"/>
          </w:rPr>
          <w:t>Table of Contents</w:t>
        </w:r>
      </w:hyperlink>
    </w:p>
    <w:p w14:paraId="59E47ED6"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shd w:val="clear" w:color="auto" w:fill="FFFFFF"/>
          <w:lang w:bidi="ar"/>
        </w:rPr>
        <w:t>UNITED STATES</w:t>
      </w:r>
    </w:p>
    <w:p w14:paraId="59E47ED7"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shd w:val="clear" w:color="auto" w:fill="FFFFFF"/>
          <w:lang w:bidi="ar"/>
        </w:rPr>
        <w:t>SECURITIES AND EXCHANGE COMMISSION</w:t>
      </w:r>
    </w:p>
    <w:p w14:paraId="59E47ED8"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shd w:val="clear" w:color="auto" w:fill="FFFFFF"/>
          <w:lang w:bidi="ar"/>
        </w:rPr>
        <w:t>Washington, D.C. 20549</w:t>
      </w:r>
    </w:p>
    <w:p w14:paraId="59E47ED9" w14:textId="77777777" w:rsidR="00D7560A" w:rsidRDefault="001E3CAB">
      <w:pPr>
        <w:widowControl/>
        <w:spacing w:before="60"/>
        <w:jc w:val="left"/>
        <w:rPr>
          <w:rFonts w:ascii="宋体" w:eastAsia="宋体" w:hAnsi="宋体" w:cs="宋体"/>
          <w:kern w:val="0"/>
          <w:sz w:val="24"/>
        </w:rPr>
      </w:pPr>
      <w:r>
        <w:rPr>
          <w:rFonts w:ascii="Times New Roman" w:eastAsia="宋体" w:hAnsi="Times New Roman" w:cs="Times New Roman"/>
          <w:color w:val="000000"/>
          <w:kern w:val="0"/>
          <w:sz w:val="2"/>
          <w:szCs w:val="2"/>
          <w:lang w:bidi="ar"/>
        </w:rPr>
        <w:t xml:space="preserve"> </w:t>
      </w:r>
    </w:p>
    <w:p w14:paraId="59E47EDA"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b/>
          <w:bCs/>
          <w:color w:val="000000"/>
          <w:kern w:val="0"/>
          <w:sz w:val="28"/>
          <w:szCs w:val="28"/>
          <w:shd w:val="clear" w:color="auto" w:fill="FFFFFF"/>
          <w:lang w:bidi="ar"/>
        </w:rPr>
        <w:t xml:space="preserve">Form 10-Q </w:t>
      </w:r>
    </w:p>
    <w:p w14:paraId="59E47EDB" w14:textId="77777777" w:rsidR="00D7560A" w:rsidRDefault="001E3CAB">
      <w:pPr>
        <w:widowControl/>
        <w:spacing w:before="60"/>
        <w:jc w:val="left"/>
        <w:rPr>
          <w:rFonts w:ascii="宋体" w:eastAsia="宋体" w:hAnsi="宋体" w:cs="宋体"/>
          <w:kern w:val="0"/>
          <w:sz w:val="24"/>
        </w:rPr>
      </w:pPr>
      <w:r>
        <w:rPr>
          <w:rFonts w:ascii="Times New Roman" w:eastAsia="宋体" w:hAnsi="Times New Roman" w:cs="Times New Roman"/>
          <w:color w:val="000000"/>
          <w:kern w:val="0"/>
          <w:sz w:val="2"/>
          <w:szCs w:val="2"/>
          <w:lang w:bidi="ar"/>
        </w:rPr>
        <w:t xml:space="preserve"> </w:t>
      </w:r>
    </w:p>
    <w:tbl>
      <w:tblPr>
        <w:tblW w:w="9750" w:type="dxa"/>
        <w:jc w:val="center"/>
        <w:tblCellMar>
          <w:top w:w="15" w:type="dxa"/>
          <w:left w:w="15" w:type="dxa"/>
          <w:bottom w:w="15" w:type="dxa"/>
          <w:right w:w="15" w:type="dxa"/>
        </w:tblCellMar>
        <w:tblLook w:val="04A0" w:firstRow="1" w:lastRow="0" w:firstColumn="1" w:lastColumn="0" w:noHBand="0" w:noVBand="1"/>
      </w:tblPr>
      <w:tblGrid>
        <w:gridCol w:w="36"/>
        <w:gridCol w:w="911"/>
        <w:gridCol w:w="36"/>
        <w:gridCol w:w="36"/>
        <w:gridCol w:w="224"/>
        <w:gridCol w:w="36"/>
        <w:gridCol w:w="39"/>
        <w:gridCol w:w="3882"/>
        <w:gridCol w:w="39"/>
        <w:gridCol w:w="39"/>
        <w:gridCol w:w="1905"/>
        <w:gridCol w:w="39"/>
        <w:gridCol w:w="39"/>
        <w:gridCol w:w="2450"/>
        <w:gridCol w:w="39"/>
      </w:tblGrid>
      <w:tr w:rsidR="00D7560A" w14:paraId="59E47EEB" w14:textId="77777777">
        <w:trPr>
          <w:jc w:val="center"/>
        </w:trPr>
        <w:tc>
          <w:tcPr>
            <w:tcW w:w="20" w:type="dxa"/>
            <w:tcBorders>
              <w:top w:val="nil"/>
              <w:left w:val="nil"/>
              <w:bottom w:val="nil"/>
              <w:right w:val="nil"/>
            </w:tcBorders>
            <w:shd w:val="clear" w:color="auto" w:fill="auto"/>
            <w:vAlign w:val="bottom"/>
          </w:tcPr>
          <w:p w14:paraId="59E47EDC" w14:textId="77777777" w:rsidR="00D7560A" w:rsidRDefault="00D7560A">
            <w:pPr>
              <w:widowControl/>
              <w:jc w:val="left"/>
              <w:rPr>
                <w:rFonts w:ascii="Times New Roman" w:eastAsia="宋体" w:hAnsi="宋体" w:cs="宋体"/>
                <w:kern w:val="0"/>
                <w:sz w:val="24"/>
              </w:rPr>
            </w:pPr>
          </w:p>
        </w:tc>
        <w:tc>
          <w:tcPr>
            <w:tcW w:w="965" w:type="dxa"/>
            <w:tcBorders>
              <w:top w:val="nil"/>
              <w:left w:val="nil"/>
              <w:bottom w:val="nil"/>
              <w:right w:val="nil"/>
            </w:tcBorders>
            <w:shd w:val="clear" w:color="auto" w:fill="auto"/>
            <w:vAlign w:val="bottom"/>
          </w:tcPr>
          <w:p w14:paraId="59E47EDD" w14:textId="77777777" w:rsidR="00D7560A" w:rsidRDefault="00D7560A">
            <w:pPr>
              <w:widowControl/>
              <w:jc w:val="left"/>
              <w:rPr>
                <w:rFonts w:ascii="Times New Roman" w:eastAsia="宋体" w:hAnsi="宋体" w:cs="宋体"/>
                <w:kern w:val="0"/>
                <w:sz w:val="24"/>
              </w:rPr>
            </w:pPr>
          </w:p>
        </w:tc>
        <w:tc>
          <w:tcPr>
            <w:tcW w:w="20" w:type="dxa"/>
            <w:tcBorders>
              <w:top w:val="nil"/>
              <w:left w:val="nil"/>
              <w:bottom w:val="nil"/>
              <w:right w:val="nil"/>
            </w:tcBorders>
            <w:shd w:val="clear" w:color="auto" w:fill="auto"/>
            <w:vAlign w:val="bottom"/>
          </w:tcPr>
          <w:p w14:paraId="59E47EDE" w14:textId="77777777" w:rsidR="00D7560A" w:rsidRDefault="00D7560A">
            <w:pPr>
              <w:widowControl/>
              <w:jc w:val="left"/>
              <w:rPr>
                <w:rFonts w:ascii="Times New Roman" w:eastAsia="宋体" w:hAnsi="宋体" w:cs="宋体"/>
                <w:kern w:val="0"/>
                <w:sz w:val="24"/>
              </w:rPr>
            </w:pPr>
          </w:p>
        </w:tc>
        <w:tc>
          <w:tcPr>
            <w:tcW w:w="20" w:type="dxa"/>
            <w:tcBorders>
              <w:top w:val="nil"/>
              <w:left w:val="nil"/>
              <w:bottom w:val="nil"/>
              <w:right w:val="nil"/>
            </w:tcBorders>
            <w:shd w:val="clear" w:color="auto" w:fill="auto"/>
            <w:vAlign w:val="bottom"/>
          </w:tcPr>
          <w:p w14:paraId="59E47EDF" w14:textId="77777777" w:rsidR="00D7560A" w:rsidRDefault="00D7560A">
            <w:pPr>
              <w:widowControl/>
              <w:jc w:val="left"/>
              <w:rPr>
                <w:rFonts w:ascii="Times New Roman" w:eastAsia="宋体" w:hAnsi="宋体" w:cs="宋体"/>
                <w:kern w:val="0"/>
                <w:sz w:val="24"/>
              </w:rPr>
            </w:pPr>
          </w:p>
        </w:tc>
        <w:tc>
          <w:tcPr>
            <w:tcW w:w="245" w:type="dxa"/>
            <w:tcBorders>
              <w:top w:val="nil"/>
              <w:left w:val="nil"/>
              <w:bottom w:val="nil"/>
              <w:right w:val="nil"/>
            </w:tcBorders>
            <w:shd w:val="clear" w:color="auto" w:fill="auto"/>
            <w:vAlign w:val="bottom"/>
          </w:tcPr>
          <w:p w14:paraId="59E47EE0" w14:textId="77777777" w:rsidR="00D7560A" w:rsidRDefault="00D7560A">
            <w:pPr>
              <w:widowControl/>
              <w:jc w:val="left"/>
              <w:rPr>
                <w:rFonts w:ascii="Times New Roman" w:eastAsia="宋体" w:hAnsi="宋体" w:cs="宋体"/>
                <w:kern w:val="0"/>
                <w:sz w:val="24"/>
              </w:rPr>
            </w:pPr>
          </w:p>
        </w:tc>
        <w:tc>
          <w:tcPr>
            <w:tcW w:w="20" w:type="dxa"/>
            <w:tcBorders>
              <w:top w:val="nil"/>
              <w:left w:val="nil"/>
              <w:bottom w:val="nil"/>
              <w:right w:val="nil"/>
            </w:tcBorders>
            <w:shd w:val="clear" w:color="auto" w:fill="auto"/>
            <w:vAlign w:val="bottom"/>
          </w:tcPr>
          <w:p w14:paraId="59E47EE1" w14:textId="77777777" w:rsidR="00D7560A" w:rsidRDefault="00D7560A">
            <w:pPr>
              <w:widowControl/>
              <w:jc w:val="left"/>
              <w:rPr>
                <w:rFonts w:ascii="Times New Roman" w:eastAsia="宋体" w:hAnsi="宋体" w:cs="宋体"/>
                <w:kern w:val="0"/>
                <w:sz w:val="24"/>
              </w:rPr>
            </w:pPr>
          </w:p>
        </w:tc>
        <w:tc>
          <w:tcPr>
            <w:tcW w:w="20" w:type="dxa"/>
            <w:tcBorders>
              <w:top w:val="nil"/>
              <w:left w:val="nil"/>
              <w:bottom w:val="nil"/>
              <w:right w:val="nil"/>
            </w:tcBorders>
            <w:shd w:val="clear" w:color="auto" w:fill="auto"/>
            <w:vAlign w:val="bottom"/>
          </w:tcPr>
          <w:p w14:paraId="59E47EE2" w14:textId="77777777" w:rsidR="00D7560A" w:rsidRDefault="00D7560A">
            <w:pPr>
              <w:widowControl/>
              <w:jc w:val="left"/>
              <w:rPr>
                <w:rFonts w:ascii="Times New Roman" w:eastAsia="宋体" w:hAnsi="宋体" w:cs="宋体"/>
                <w:kern w:val="0"/>
                <w:sz w:val="24"/>
              </w:rPr>
            </w:pPr>
          </w:p>
        </w:tc>
        <w:tc>
          <w:tcPr>
            <w:tcW w:w="3920" w:type="dxa"/>
            <w:tcBorders>
              <w:top w:val="nil"/>
              <w:left w:val="nil"/>
              <w:bottom w:val="nil"/>
              <w:right w:val="nil"/>
            </w:tcBorders>
            <w:shd w:val="clear" w:color="auto" w:fill="auto"/>
            <w:vAlign w:val="bottom"/>
          </w:tcPr>
          <w:p w14:paraId="59E47EE3" w14:textId="77777777" w:rsidR="00D7560A" w:rsidRDefault="00D7560A">
            <w:pPr>
              <w:widowControl/>
              <w:jc w:val="left"/>
              <w:rPr>
                <w:rFonts w:ascii="Times New Roman" w:eastAsia="宋体" w:hAnsi="宋体" w:cs="宋体"/>
                <w:kern w:val="0"/>
                <w:sz w:val="24"/>
              </w:rPr>
            </w:pPr>
          </w:p>
        </w:tc>
        <w:tc>
          <w:tcPr>
            <w:tcW w:w="20" w:type="dxa"/>
            <w:tcBorders>
              <w:top w:val="nil"/>
              <w:left w:val="nil"/>
              <w:bottom w:val="nil"/>
              <w:right w:val="nil"/>
            </w:tcBorders>
            <w:shd w:val="clear" w:color="auto" w:fill="auto"/>
            <w:vAlign w:val="bottom"/>
          </w:tcPr>
          <w:p w14:paraId="59E47EE4" w14:textId="77777777" w:rsidR="00D7560A" w:rsidRDefault="00D7560A">
            <w:pPr>
              <w:widowControl/>
              <w:jc w:val="left"/>
              <w:rPr>
                <w:rFonts w:ascii="Times New Roman" w:eastAsia="宋体" w:hAnsi="宋体" w:cs="宋体"/>
                <w:kern w:val="0"/>
                <w:sz w:val="24"/>
              </w:rPr>
            </w:pPr>
          </w:p>
        </w:tc>
        <w:tc>
          <w:tcPr>
            <w:tcW w:w="20" w:type="dxa"/>
            <w:tcBorders>
              <w:top w:val="nil"/>
              <w:left w:val="nil"/>
              <w:bottom w:val="nil"/>
              <w:right w:val="nil"/>
            </w:tcBorders>
            <w:shd w:val="clear" w:color="auto" w:fill="auto"/>
            <w:vAlign w:val="bottom"/>
          </w:tcPr>
          <w:p w14:paraId="59E47EE5" w14:textId="77777777" w:rsidR="00D7560A" w:rsidRDefault="00D7560A">
            <w:pPr>
              <w:widowControl/>
              <w:jc w:val="left"/>
              <w:rPr>
                <w:rFonts w:ascii="Times New Roman" w:eastAsia="宋体" w:hAnsi="宋体" w:cs="宋体"/>
                <w:kern w:val="0"/>
                <w:sz w:val="24"/>
              </w:rPr>
            </w:pPr>
          </w:p>
        </w:tc>
        <w:tc>
          <w:tcPr>
            <w:tcW w:w="1925" w:type="dxa"/>
            <w:tcBorders>
              <w:top w:val="nil"/>
              <w:left w:val="nil"/>
              <w:bottom w:val="nil"/>
              <w:right w:val="nil"/>
            </w:tcBorders>
            <w:shd w:val="clear" w:color="auto" w:fill="auto"/>
            <w:vAlign w:val="bottom"/>
          </w:tcPr>
          <w:p w14:paraId="59E47EE6" w14:textId="77777777" w:rsidR="00D7560A" w:rsidRDefault="00D7560A">
            <w:pPr>
              <w:widowControl/>
              <w:jc w:val="left"/>
              <w:rPr>
                <w:rFonts w:ascii="Times New Roman" w:eastAsia="宋体" w:hAnsi="宋体" w:cs="宋体"/>
                <w:kern w:val="0"/>
                <w:sz w:val="24"/>
              </w:rPr>
            </w:pPr>
          </w:p>
        </w:tc>
        <w:tc>
          <w:tcPr>
            <w:tcW w:w="20" w:type="dxa"/>
            <w:tcBorders>
              <w:top w:val="nil"/>
              <w:left w:val="nil"/>
              <w:bottom w:val="nil"/>
              <w:right w:val="nil"/>
            </w:tcBorders>
            <w:shd w:val="clear" w:color="auto" w:fill="auto"/>
            <w:vAlign w:val="bottom"/>
          </w:tcPr>
          <w:p w14:paraId="59E47EE7" w14:textId="77777777" w:rsidR="00D7560A" w:rsidRDefault="00D7560A">
            <w:pPr>
              <w:widowControl/>
              <w:jc w:val="left"/>
              <w:rPr>
                <w:rFonts w:ascii="Times New Roman" w:eastAsia="宋体" w:hAnsi="宋体" w:cs="宋体"/>
                <w:kern w:val="0"/>
                <w:sz w:val="24"/>
              </w:rPr>
            </w:pPr>
          </w:p>
        </w:tc>
        <w:tc>
          <w:tcPr>
            <w:tcW w:w="20" w:type="dxa"/>
            <w:tcBorders>
              <w:top w:val="nil"/>
              <w:left w:val="nil"/>
              <w:bottom w:val="nil"/>
              <w:right w:val="nil"/>
            </w:tcBorders>
            <w:shd w:val="clear" w:color="auto" w:fill="auto"/>
            <w:vAlign w:val="bottom"/>
          </w:tcPr>
          <w:p w14:paraId="59E47EE8" w14:textId="77777777" w:rsidR="00D7560A" w:rsidRDefault="00D7560A">
            <w:pPr>
              <w:widowControl/>
              <w:jc w:val="left"/>
              <w:rPr>
                <w:rFonts w:ascii="Times New Roman" w:eastAsia="宋体" w:hAnsi="宋体" w:cs="宋体"/>
                <w:kern w:val="0"/>
                <w:sz w:val="24"/>
              </w:rPr>
            </w:pPr>
          </w:p>
        </w:tc>
        <w:tc>
          <w:tcPr>
            <w:tcW w:w="2495" w:type="dxa"/>
            <w:tcBorders>
              <w:top w:val="nil"/>
              <w:left w:val="nil"/>
              <w:bottom w:val="nil"/>
              <w:right w:val="nil"/>
            </w:tcBorders>
            <w:shd w:val="clear" w:color="auto" w:fill="auto"/>
            <w:vAlign w:val="bottom"/>
          </w:tcPr>
          <w:p w14:paraId="59E47EE9" w14:textId="77777777" w:rsidR="00D7560A" w:rsidRDefault="00D7560A">
            <w:pPr>
              <w:widowControl/>
              <w:jc w:val="left"/>
              <w:rPr>
                <w:rFonts w:ascii="Times New Roman" w:eastAsia="宋体" w:hAnsi="宋体" w:cs="宋体"/>
                <w:kern w:val="0"/>
                <w:sz w:val="24"/>
              </w:rPr>
            </w:pPr>
          </w:p>
        </w:tc>
        <w:tc>
          <w:tcPr>
            <w:tcW w:w="20" w:type="dxa"/>
            <w:tcBorders>
              <w:top w:val="nil"/>
              <w:left w:val="nil"/>
              <w:bottom w:val="nil"/>
              <w:right w:val="nil"/>
            </w:tcBorders>
            <w:shd w:val="clear" w:color="auto" w:fill="auto"/>
            <w:vAlign w:val="bottom"/>
          </w:tcPr>
          <w:p w14:paraId="59E47EEA" w14:textId="77777777" w:rsidR="00D7560A" w:rsidRDefault="00D7560A">
            <w:pPr>
              <w:widowControl/>
              <w:jc w:val="left"/>
              <w:rPr>
                <w:rFonts w:ascii="Times New Roman" w:eastAsia="宋体" w:hAnsi="宋体" w:cs="宋体"/>
                <w:kern w:val="0"/>
                <w:sz w:val="24"/>
              </w:rPr>
            </w:pPr>
          </w:p>
        </w:tc>
      </w:tr>
      <w:tr w:rsidR="00D7560A" w14:paraId="59E47EF1" w14:textId="77777777">
        <w:trPr>
          <w:trHeight w:val="280"/>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9E47EEC"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(Mark One)</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9E47EED"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 </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9E47EEE"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 </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7EEF"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7EF0" w14:textId="77777777" w:rsidR="00D7560A" w:rsidRDefault="00D7560A">
            <w:pPr>
              <w:widowControl/>
              <w:jc w:val="left"/>
              <w:rPr>
                <w:rFonts w:ascii="Times New Roman" w:eastAsia="宋体" w:hAnsi="宋体" w:cs="宋体"/>
                <w:kern w:val="0"/>
                <w:sz w:val="24"/>
              </w:rPr>
            </w:pPr>
          </w:p>
        </w:tc>
      </w:tr>
      <w:tr w:rsidR="00D7560A" w14:paraId="59E47EF5" w14:textId="77777777">
        <w:trPr>
          <w:trHeight w:val="460"/>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59E47EF2" w14:textId="77777777" w:rsidR="00D7560A" w:rsidRDefault="001E3CAB">
            <w:pPr>
              <w:widowControl/>
              <w:jc w:val="right"/>
              <w:textAlignment w:val="center"/>
              <w:rPr>
                <w:rFonts w:ascii="宋体" w:eastAsia="宋体" w:hAnsi="宋体" w:cs="宋体"/>
                <w:kern w:val="0"/>
                <w:sz w:val="24"/>
              </w:rPr>
            </w:pPr>
            <w:r>
              <w:rPr>
                <w:rFonts w:ascii="Arial Unicode MS" w:eastAsia="Arial Unicode MS" w:hAnsi="Arial Unicode MS" w:cs="Arial Unicode MS" w:hint="eastAsia"/>
                <w:color w:val="000000"/>
                <w:kern w:val="0"/>
                <w:sz w:val="18"/>
                <w:szCs w:val="18"/>
                <w:lang w:bidi="ar"/>
              </w:rPr>
              <w:t>☑</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9E47EF3"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 </w:t>
            </w:r>
          </w:p>
        </w:tc>
        <w:tc>
          <w:tcPr>
            <w:tcW w:w="0" w:type="auto"/>
            <w:gridSpan w:val="9"/>
            <w:tcBorders>
              <w:top w:val="nil"/>
              <w:left w:val="nil"/>
              <w:bottom w:val="nil"/>
              <w:right w:val="nil"/>
            </w:tcBorders>
            <w:shd w:val="clear" w:color="auto" w:fill="auto"/>
            <w:tcMar>
              <w:top w:w="40" w:type="dxa"/>
              <w:left w:w="20" w:type="dxa"/>
              <w:bottom w:w="40" w:type="dxa"/>
              <w:right w:w="20" w:type="dxa"/>
            </w:tcMar>
          </w:tcPr>
          <w:p w14:paraId="59E47EF4" w14:textId="77777777" w:rsidR="00D7560A" w:rsidRDefault="001E3CAB">
            <w:pPr>
              <w:widowControl/>
              <w:jc w:val="left"/>
              <w:textAlignment w:val="top"/>
              <w:rPr>
                <w:rFonts w:ascii="宋体" w:eastAsia="宋体" w:hAnsi="宋体" w:cs="宋体"/>
                <w:kern w:val="0"/>
                <w:sz w:val="24"/>
              </w:rPr>
            </w:pPr>
            <w:r>
              <w:rPr>
                <w:rFonts w:ascii="Times New Roman" w:eastAsia="宋体" w:hAnsi="Times New Roman" w:cs="Times New Roman"/>
                <w:b/>
                <w:bCs/>
                <w:color w:val="000000"/>
                <w:kern w:val="0"/>
                <w:sz w:val="18"/>
                <w:szCs w:val="18"/>
                <w:lang w:bidi="ar"/>
              </w:rPr>
              <w:t>QUARTERLY REPORT PURSUANT TO SECTION 13 OR 15(d) OF THE SECURITIES EXCHANGE ACT OF 1934</w:t>
            </w:r>
          </w:p>
        </w:tc>
      </w:tr>
      <w:tr w:rsidR="00D7560A" w14:paraId="59E47EFB" w14:textId="77777777">
        <w:trPr>
          <w:trHeight w:val="300"/>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7EF6"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7EF7"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9E47EF8"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For the quarterly period ended</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9E47EF9"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July 29, 2022</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7EFA" w14:textId="77777777" w:rsidR="00D7560A" w:rsidRDefault="00D7560A">
            <w:pPr>
              <w:widowControl/>
              <w:jc w:val="left"/>
              <w:rPr>
                <w:rFonts w:ascii="Times New Roman" w:eastAsia="宋体" w:hAnsi="宋体" w:cs="宋体"/>
                <w:kern w:val="0"/>
                <w:sz w:val="24"/>
              </w:rPr>
            </w:pPr>
          </w:p>
        </w:tc>
      </w:tr>
      <w:tr w:rsidR="00D7560A" w14:paraId="59E47EFD" w14:textId="77777777">
        <w:trPr>
          <w:trHeight w:val="240"/>
          <w:jc w:val="center"/>
        </w:trPr>
        <w:tc>
          <w:tcPr>
            <w:tcW w:w="0" w:type="auto"/>
            <w:gridSpan w:val="15"/>
            <w:tcBorders>
              <w:top w:val="nil"/>
              <w:left w:val="nil"/>
              <w:bottom w:val="nil"/>
              <w:right w:val="nil"/>
            </w:tcBorders>
            <w:shd w:val="clear" w:color="auto" w:fill="auto"/>
            <w:tcMar>
              <w:top w:w="40" w:type="dxa"/>
              <w:left w:w="20" w:type="dxa"/>
              <w:bottom w:w="40" w:type="dxa"/>
              <w:right w:w="20" w:type="dxa"/>
            </w:tcMar>
          </w:tcPr>
          <w:p w14:paraId="59E47EFC" w14:textId="77777777" w:rsidR="00D7560A" w:rsidRDefault="001E3CAB">
            <w:pPr>
              <w:widowControl/>
              <w:jc w:val="center"/>
              <w:textAlignment w:val="top"/>
              <w:rPr>
                <w:rFonts w:ascii="宋体" w:eastAsia="宋体" w:hAnsi="宋体" w:cs="宋体"/>
                <w:kern w:val="0"/>
                <w:sz w:val="24"/>
              </w:rPr>
            </w:pPr>
            <w:r>
              <w:rPr>
                <w:rFonts w:ascii="Times New Roman" w:eastAsia="宋体" w:hAnsi="Times New Roman" w:cs="Times New Roman"/>
                <w:b/>
                <w:bCs/>
                <w:color w:val="000000"/>
                <w:kern w:val="0"/>
                <w:sz w:val="18"/>
                <w:szCs w:val="18"/>
                <w:lang w:bidi="ar"/>
              </w:rPr>
              <w:t>or</w:t>
            </w:r>
          </w:p>
        </w:tc>
      </w:tr>
      <w:tr w:rsidR="00D7560A" w14:paraId="59E47F01" w14:textId="77777777">
        <w:trPr>
          <w:trHeight w:val="460"/>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59E47EFE" w14:textId="77777777" w:rsidR="00D7560A" w:rsidRDefault="001E3CAB">
            <w:pPr>
              <w:widowControl/>
              <w:jc w:val="right"/>
              <w:textAlignment w:val="center"/>
              <w:rPr>
                <w:rFonts w:ascii="宋体" w:eastAsia="宋体" w:hAnsi="宋体" w:cs="宋体"/>
                <w:kern w:val="0"/>
                <w:sz w:val="24"/>
              </w:rPr>
            </w:pPr>
            <w:r>
              <w:rPr>
                <w:rFonts w:ascii="Arial Unicode MS" w:eastAsia="Arial Unicode MS" w:hAnsi="Arial Unicode MS" w:cs="Arial Unicode MS" w:hint="eastAsia"/>
                <w:color w:val="000000"/>
                <w:kern w:val="0"/>
                <w:sz w:val="18"/>
                <w:szCs w:val="18"/>
                <w:lang w:bidi="ar"/>
              </w:rPr>
              <w:t>☐</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9E47EFF"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 </w:t>
            </w: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59E47F00"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TRANSITION REPORT PURSUANT TO SECTION 13 OR 15(d) OF THE SECURITIES</w:t>
            </w:r>
            <w:r>
              <w:rPr>
                <w:rFonts w:ascii="Times New Roman" w:eastAsia="宋体" w:hAnsi="Times New Roman" w:cs="Times New Roman"/>
                <w:b/>
                <w:bCs/>
                <w:color w:val="000000"/>
                <w:kern w:val="0"/>
                <w:sz w:val="18"/>
                <w:szCs w:val="18"/>
                <w:lang w:bidi="ar"/>
              </w:rPr>
              <w:br/>
            </w:r>
            <w:r>
              <w:rPr>
                <w:rFonts w:ascii="Times New Roman" w:eastAsia="宋体" w:hAnsi="Times New Roman" w:cs="Times New Roman"/>
                <w:b/>
                <w:bCs/>
                <w:color w:val="000000"/>
                <w:kern w:val="0"/>
                <w:sz w:val="18"/>
                <w:szCs w:val="18"/>
                <w:lang w:bidi="ar"/>
              </w:rPr>
              <w:t>EXCHANGE ACT OF 1934</w:t>
            </w:r>
          </w:p>
        </w:tc>
      </w:tr>
      <w:tr w:rsidR="00D7560A" w14:paraId="59E47F03" w14:textId="77777777">
        <w:trPr>
          <w:trHeight w:val="280"/>
          <w:jc w:val="center"/>
        </w:trPr>
        <w:tc>
          <w:tcPr>
            <w:tcW w:w="0" w:type="auto"/>
            <w:gridSpan w:val="15"/>
            <w:tcBorders>
              <w:top w:val="nil"/>
              <w:left w:val="nil"/>
              <w:bottom w:val="nil"/>
              <w:right w:val="nil"/>
            </w:tcBorders>
            <w:shd w:val="clear" w:color="auto" w:fill="auto"/>
            <w:tcMar>
              <w:top w:w="40" w:type="dxa"/>
              <w:left w:w="20" w:type="dxa"/>
              <w:bottom w:w="40" w:type="dxa"/>
              <w:right w:w="20" w:type="dxa"/>
            </w:tcMar>
            <w:vAlign w:val="bottom"/>
          </w:tcPr>
          <w:p w14:paraId="59E47F02"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 xml:space="preserve">For the transition period from </w:t>
            </w:r>
            <w:r>
              <w:rPr>
                <w:rFonts w:ascii="Times New Roman" w:eastAsia="宋体" w:hAnsi="Times New Roman" w:cs="Times New Roman"/>
                <w:b/>
                <w:bCs/>
                <w:color w:val="000000"/>
                <w:kern w:val="0"/>
                <w:sz w:val="18"/>
                <w:szCs w:val="18"/>
                <w:u w:val="single"/>
                <w:lang w:bidi="ar"/>
              </w:rPr>
              <w:t>          </w:t>
            </w:r>
            <w:r>
              <w:rPr>
                <w:rFonts w:ascii="Times New Roman" w:eastAsia="宋体" w:hAnsi="Times New Roman" w:cs="Times New Roman"/>
                <w:b/>
                <w:bCs/>
                <w:color w:val="000000"/>
                <w:kern w:val="0"/>
                <w:sz w:val="18"/>
                <w:szCs w:val="18"/>
                <w:lang w:bidi="ar"/>
              </w:rPr>
              <w:t xml:space="preserve"> to </w:t>
            </w:r>
            <w:r>
              <w:rPr>
                <w:rFonts w:ascii="Times New Roman" w:eastAsia="宋体" w:hAnsi="Times New Roman" w:cs="Times New Roman"/>
                <w:b/>
                <w:bCs/>
                <w:color w:val="000000"/>
                <w:kern w:val="0"/>
                <w:sz w:val="18"/>
                <w:szCs w:val="18"/>
                <w:u w:val="single"/>
                <w:lang w:bidi="ar"/>
              </w:rPr>
              <w:t>          </w:t>
            </w:r>
          </w:p>
        </w:tc>
      </w:tr>
    </w:tbl>
    <w:p w14:paraId="59E47F04"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
          <w:szCs w:val="2"/>
          <w:lang w:bidi="ar"/>
        </w:rPr>
        <w:t xml:space="preserve"> </w:t>
      </w:r>
    </w:p>
    <w:p w14:paraId="59E47F05"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b/>
          <w:bCs/>
          <w:color w:val="000000"/>
          <w:kern w:val="0"/>
          <w:sz w:val="18"/>
          <w:szCs w:val="18"/>
          <w:shd w:val="clear" w:color="auto" w:fill="FFFFFF"/>
          <w:lang w:bidi="ar"/>
        </w:rPr>
        <w:t>Commission File Number:</w:t>
      </w:r>
      <w:r>
        <w:rPr>
          <w:rFonts w:ascii="Times New Roman" w:eastAsia="宋体" w:hAnsi="Times New Roman" w:cs="Times New Roman"/>
          <w:b/>
          <w:bCs/>
          <w:color w:val="000000"/>
          <w:kern w:val="0"/>
          <w:sz w:val="18"/>
          <w:szCs w:val="18"/>
          <w:lang w:bidi="ar"/>
        </w:rPr>
        <w:t xml:space="preserve"> 001-37867</w:t>
      </w:r>
      <w:r>
        <w:rPr>
          <w:rFonts w:ascii="Times New Roman" w:eastAsia="宋体" w:hAnsi="Times New Roman" w:cs="Times New Roman"/>
          <w:b/>
          <w:bCs/>
          <w:color w:val="000000"/>
          <w:kern w:val="0"/>
          <w:sz w:val="18"/>
          <w:szCs w:val="18"/>
          <w:shd w:val="clear" w:color="auto" w:fill="FFFFFF"/>
          <w:lang w:bidi="ar"/>
        </w:rPr>
        <w:t xml:space="preserve"> </w:t>
      </w:r>
    </w:p>
    <w:p w14:paraId="59E47F06" w14:textId="77777777" w:rsidR="00D7560A" w:rsidRDefault="001E3CAB">
      <w:pPr>
        <w:widowControl/>
        <w:spacing w:before="60"/>
        <w:jc w:val="left"/>
        <w:rPr>
          <w:rFonts w:ascii="宋体" w:eastAsia="宋体" w:hAnsi="宋体" w:cs="宋体"/>
          <w:kern w:val="0"/>
          <w:sz w:val="24"/>
        </w:rPr>
      </w:pPr>
      <w:r>
        <w:rPr>
          <w:rFonts w:ascii="Times New Roman" w:eastAsia="宋体" w:hAnsi="Times New Roman" w:cs="Times New Roman"/>
          <w:color w:val="000000"/>
          <w:kern w:val="0"/>
          <w:sz w:val="2"/>
          <w:szCs w:val="2"/>
          <w:lang w:bidi="ar"/>
        </w:rPr>
        <w:t xml:space="preserve"> </w:t>
      </w:r>
    </w:p>
    <w:p w14:paraId="59E47F07" w14:textId="77777777" w:rsidR="00D7560A" w:rsidRDefault="001E3CAB">
      <w:pPr>
        <w:widowControl/>
        <w:spacing w:after="120"/>
        <w:jc w:val="center"/>
        <w:rPr>
          <w:rFonts w:ascii="宋体" w:eastAsia="宋体" w:hAnsi="宋体" w:cs="宋体"/>
          <w:kern w:val="0"/>
          <w:sz w:val="24"/>
        </w:rPr>
      </w:pPr>
      <w:r>
        <w:rPr>
          <w:rFonts w:ascii="Times New Roman" w:eastAsia="宋体" w:hAnsi="Times New Roman" w:cs="Times New Roman"/>
          <w:b/>
          <w:bCs/>
          <w:color w:val="000000"/>
          <w:kern w:val="0"/>
          <w:sz w:val="32"/>
          <w:szCs w:val="32"/>
          <w:shd w:val="clear" w:color="auto" w:fill="FFFFFF"/>
          <w:lang w:bidi="ar"/>
        </w:rPr>
        <w:t xml:space="preserve">Dell Technologies Inc. </w:t>
      </w:r>
    </w:p>
    <w:p w14:paraId="59E47F08" w14:textId="77777777" w:rsidR="00D7560A" w:rsidRDefault="001E3CAB">
      <w:pPr>
        <w:widowControl/>
        <w:spacing w:before="60"/>
        <w:jc w:val="center"/>
        <w:rPr>
          <w:rFonts w:ascii="宋体" w:eastAsia="宋体" w:hAnsi="宋体" w:cs="宋体"/>
          <w:kern w:val="0"/>
          <w:sz w:val="24"/>
        </w:rPr>
      </w:pPr>
      <w:r>
        <w:rPr>
          <w:rFonts w:ascii="Times New Roman" w:eastAsia="宋体" w:hAnsi="Times New Roman" w:cs="Times New Roman"/>
          <w:color w:val="000000"/>
          <w:kern w:val="0"/>
          <w:sz w:val="16"/>
          <w:szCs w:val="16"/>
          <w:shd w:val="clear" w:color="auto" w:fill="FFFFFF"/>
          <w:lang w:bidi="ar"/>
        </w:rPr>
        <w:t>(Exact name of registrant as specified in its charter)</w:t>
      </w:r>
      <w:r>
        <w:rPr>
          <w:rFonts w:ascii="Times New Roman" w:eastAsia="宋体" w:hAnsi="Times New Roman" w:cs="Times New Roman"/>
          <w:color w:val="000000"/>
          <w:kern w:val="0"/>
          <w:sz w:val="2"/>
          <w:szCs w:val="2"/>
          <w:lang w:bidi="ar"/>
        </w:rPr>
        <w:t xml:space="preserve"> </w:t>
      </w:r>
    </w:p>
    <w:p w14:paraId="59E47F09" w14:textId="77777777" w:rsidR="00D7560A" w:rsidRDefault="001E3CAB">
      <w:pPr>
        <w:widowControl/>
        <w:spacing w:before="60" w:after="60"/>
        <w:jc w:val="left"/>
        <w:rPr>
          <w:rFonts w:ascii="宋体" w:eastAsia="宋体" w:hAnsi="宋体" w:cs="宋体"/>
          <w:kern w:val="0"/>
          <w:sz w:val="24"/>
        </w:rPr>
      </w:pPr>
      <w:r>
        <w:rPr>
          <w:rFonts w:ascii="Times New Roman" w:eastAsia="宋体" w:hAnsi="Times New Roman" w:cs="Times New Roman"/>
          <w:color w:val="000000"/>
          <w:kern w:val="0"/>
          <w:sz w:val="2"/>
          <w:szCs w:val="2"/>
          <w:lang w:bidi="ar"/>
        </w:rPr>
        <w:t xml:space="preserve"> </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60"/>
        <w:gridCol w:w="3933"/>
        <w:gridCol w:w="36"/>
        <w:gridCol w:w="36"/>
        <w:gridCol w:w="205"/>
        <w:gridCol w:w="36"/>
        <w:gridCol w:w="61"/>
        <w:gridCol w:w="3933"/>
        <w:gridCol w:w="36"/>
      </w:tblGrid>
      <w:tr w:rsidR="00D7560A" w14:paraId="59E47F13" w14:textId="77777777">
        <w:tc>
          <w:tcPr>
            <w:tcW w:w="50" w:type="pct"/>
            <w:tcBorders>
              <w:top w:val="nil"/>
              <w:left w:val="nil"/>
              <w:bottom w:val="nil"/>
              <w:right w:val="nil"/>
            </w:tcBorders>
            <w:shd w:val="clear" w:color="auto" w:fill="auto"/>
            <w:vAlign w:val="bottom"/>
          </w:tcPr>
          <w:p w14:paraId="59E47F0A" w14:textId="77777777" w:rsidR="00D7560A" w:rsidRDefault="00D7560A">
            <w:pPr>
              <w:widowControl/>
              <w:jc w:val="left"/>
              <w:rPr>
                <w:rFonts w:ascii="Times New Roman" w:eastAsia="宋体" w:hAnsi="宋体" w:cs="宋体"/>
                <w:kern w:val="0"/>
                <w:sz w:val="24"/>
              </w:rPr>
            </w:pPr>
          </w:p>
        </w:tc>
        <w:tc>
          <w:tcPr>
            <w:tcW w:w="2371" w:type="pct"/>
            <w:tcBorders>
              <w:top w:val="nil"/>
              <w:left w:val="nil"/>
              <w:bottom w:val="nil"/>
              <w:right w:val="nil"/>
            </w:tcBorders>
            <w:shd w:val="clear" w:color="auto" w:fill="auto"/>
            <w:vAlign w:val="bottom"/>
          </w:tcPr>
          <w:p w14:paraId="59E47F0B"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7F0C"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7F0D" w14:textId="77777777" w:rsidR="00D7560A" w:rsidRDefault="00D7560A">
            <w:pPr>
              <w:widowControl/>
              <w:jc w:val="left"/>
              <w:rPr>
                <w:rFonts w:ascii="Times New Roman" w:eastAsia="宋体" w:hAnsi="宋体" w:cs="宋体"/>
                <w:kern w:val="0"/>
                <w:sz w:val="24"/>
              </w:rPr>
            </w:pPr>
          </w:p>
        </w:tc>
        <w:tc>
          <w:tcPr>
            <w:tcW w:w="136" w:type="pct"/>
            <w:tcBorders>
              <w:top w:val="nil"/>
              <w:left w:val="nil"/>
              <w:bottom w:val="nil"/>
              <w:right w:val="nil"/>
            </w:tcBorders>
            <w:shd w:val="clear" w:color="auto" w:fill="auto"/>
            <w:vAlign w:val="bottom"/>
          </w:tcPr>
          <w:p w14:paraId="59E47F0E"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7F0F"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7F10" w14:textId="77777777" w:rsidR="00D7560A" w:rsidRDefault="00D7560A">
            <w:pPr>
              <w:widowControl/>
              <w:jc w:val="left"/>
              <w:rPr>
                <w:rFonts w:ascii="Times New Roman" w:eastAsia="宋体" w:hAnsi="宋体" w:cs="宋体"/>
                <w:kern w:val="0"/>
                <w:sz w:val="24"/>
              </w:rPr>
            </w:pPr>
          </w:p>
        </w:tc>
        <w:tc>
          <w:tcPr>
            <w:tcW w:w="2371" w:type="pct"/>
            <w:tcBorders>
              <w:top w:val="nil"/>
              <w:left w:val="nil"/>
              <w:bottom w:val="nil"/>
              <w:right w:val="nil"/>
            </w:tcBorders>
            <w:shd w:val="clear" w:color="auto" w:fill="auto"/>
            <w:vAlign w:val="bottom"/>
          </w:tcPr>
          <w:p w14:paraId="59E47F11"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7F12" w14:textId="77777777" w:rsidR="00D7560A" w:rsidRDefault="00D7560A">
            <w:pPr>
              <w:widowControl/>
              <w:jc w:val="left"/>
              <w:rPr>
                <w:rFonts w:ascii="Times New Roman" w:eastAsia="宋体" w:hAnsi="宋体" w:cs="宋体"/>
                <w:kern w:val="0"/>
                <w:sz w:val="24"/>
              </w:rPr>
            </w:pPr>
          </w:p>
        </w:tc>
      </w:tr>
      <w:tr w:rsidR="00D7560A" w14:paraId="59E47F17"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59E47F14" w14:textId="77777777" w:rsidR="00D7560A" w:rsidRDefault="001E3CAB">
            <w:pPr>
              <w:widowControl/>
              <w:jc w:val="center"/>
              <w:textAlignment w:val="top"/>
              <w:rPr>
                <w:rFonts w:ascii="宋体" w:eastAsia="宋体" w:hAnsi="宋体" w:cs="宋体"/>
                <w:kern w:val="0"/>
                <w:sz w:val="24"/>
              </w:rPr>
            </w:pPr>
            <w:r>
              <w:rPr>
                <w:rFonts w:ascii="Times New Roman" w:eastAsia="宋体" w:hAnsi="Times New Roman" w:cs="Times New Roman"/>
                <w:b/>
                <w:bCs/>
                <w:color w:val="000000"/>
                <w:kern w:val="0"/>
                <w:sz w:val="18"/>
                <w:szCs w:val="18"/>
                <w:lang w:bidi="ar"/>
              </w:rPr>
              <w:t>Delaware</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9E47F15"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 </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59E47F16" w14:textId="77777777" w:rsidR="00D7560A" w:rsidRDefault="001E3CAB">
            <w:pPr>
              <w:widowControl/>
              <w:jc w:val="center"/>
              <w:textAlignment w:val="top"/>
              <w:rPr>
                <w:rFonts w:ascii="宋体" w:eastAsia="宋体" w:hAnsi="宋体" w:cs="宋体"/>
                <w:kern w:val="0"/>
                <w:sz w:val="24"/>
              </w:rPr>
            </w:pPr>
            <w:r>
              <w:rPr>
                <w:rFonts w:ascii="Times New Roman" w:eastAsia="宋体" w:hAnsi="Times New Roman" w:cs="Times New Roman"/>
                <w:b/>
                <w:bCs/>
                <w:color w:val="000000"/>
                <w:kern w:val="0"/>
                <w:sz w:val="18"/>
                <w:szCs w:val="18"/>
                <w:lang w:bidi="ar"/>
              </w:rPr>
              <w:t>80-0890963</w:t>
            </w:r>
          </w:p>
        </w:tc>
      </w:tr>
      <w:tr w:rsidR="00D7560A" w14:paraId="59E47F1B"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9E47F18"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 xml:space="preserve">(State or other </w:t>
            </w:r>
            <w:r>
              <w:rPr>
                <w:rFonts w:ascii="Times New Roman" w:eastAsia="宋体" w:hAnsi="Times New Roman" w:cs="Times New Roman"/>
                <w:color w:val="000000"/>
                <w:kern w:val="0"/>
                <w:sz w:val="18"/>
                <w:szCs w:val="18"/>
                <w:lang w:bidi="ar"/>
              </w:rPr>
              <w:t>jurisdiction of incorporation or organization)</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9E47F19"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 </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9E47F1A"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(I.R.S. Employer Identification No.)</w:t>
            </w:r>
          </w:p>
        </w:tc>
      </w:tr>
    </w:tbl>
    <w:p w14:paraId="59E47F1C"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b/>
          <w:bCs/>
          <w:color w:val="000000"/>
          <w:kern w:val="0"/>
          <w:sz w:val="18"/>
          <w:szCs w:val="18"/>
          <w:shd w:val="clear" w:color="auto" w:fill="FFFFFF"/>
          <w:lang w:bidi="ar"/>
        </w:rPr>
        <w:t xml:space="preserve">One Dell Way, Round Rock, Texas 78682 </w:t>
      </w:r>
    </w:p>
    <w:p w14:paraId="59E47F1D"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color w:val="000000"/>
          <w:kern w:val="0"/>
          <w:sz w:val="18"/>
          <w:szCs w:val="18"/>
          <w:shd w:val="clear" w:color="auto" w:fill="FFFFFF"/>
          <w:lang w:bidi="ar"/>
        </w:rPr>
        <w:t>(Address of principal executive offices) (Zip Code)</w:t>
      </w:r>
    </w:p>
    <w:p w14:paraId="59E47F1E"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7F1F"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b/>
          <w:bCs/>
          <w:color w:val="000000"/>
          <w:kern w:val="0"/>
          <w:sz w:val="18"/>
          <w:szCs w:val="18"/>
          <w:shd w:val="clear" w:color="auto" w:fill="FFFFFF"/>
          <w:lang w:bidi="ar"/>
        </w:rPr>
        <w:t>1-800-289-3355</w:t>
      </w:r>
      <w:r>
        <w:rPr>
          <w:rFonts w:ascii="Times New Roman" w:eastAsia="宋体" w:hAnsi="Times New Roman" w:cs="Times New Roman"/>
          <w:color w:val="000000"/>
          <w:kern w:val="0"/>
          <w:sz w:val="18"/>
          <w:szCs w:val="18"/>
          <w:lang w:bidi="ar"/>
        </w:rPr>
        <w:t xml:space="preserve"> </w:t>
      </w:r>
    </w:p>
    <w:p w14:paraId="59E47F20"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color w:val="000000"/>
          <w:kern w:val="0"/>
          <w:sz w:val="18"/>
          <w:szCs w:val="18"/>
          <w:shd w:val="clear" w:color="auto" w:fill="FFFFFF"/>
          <w:lang w:bidi="ar"/>
        </w:rPr>
        <w:t>(Registrant’s telephone number, including area code)</w:t>
      </w:r>
    </w:p>
    <w:p w14:paraId="59E47F21"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7F22"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color w:val="000000"/>
          <w:kern w:val="0"/>
          <w:sz w:val="18"/>
          <w:szCs w:val="18"/>
          <w:shd w:val="clear" w:color="auto" w:fill="FFFFFF"/>
          <w:lang w:bidi="ar"/>
        </w:rPr>
        <w:lastRenderedPageBreak/>
        <w:t>Securities registered pursuant to Section 12(b) of the Act:</w:t>
      </w:r>
    </w:p>
    <w:tbl>
      <w:tblPr>
        <w:tblW w:w="4971" w:type="pct"/>
        <w:jc w:val="center"/>
        <w:tblCellMar>
          <w:top w:w="15" w:type="dxa"/>
          <w:left w:w="15" w:type="dxa"/>
          <w:bottom w:w="15" w:type="dxa"/>
          <w:right w:w="15" w:type="dxa"/>
        </w:tblCellMar>
        <w:tblLook w:val="04A0" w:firstRow="1" w:lastRow="0" w:firstColumn="1" w:lastColumn="0" w:noHBand="0" w:noVBand="1"/>
      </w:tblPr>
      <w:tblGrid>
        <w:gridCol w:w="69"/>
        <w:gridCol w:w="3271"/>
        <w:gridCol w:w="37"/>
        <w:gridCol w:w="69"/>
        <w:gridCol w:w="1405"/>
        <w:gridCol w:w="36"/>
        <w:gridCol w:w="69"/>
        <w:gridCol w:w="3296"/>
        <w:gridCol w:w="36"/>
      </w:tblGrid>
      <w:tr w:rsidR="00D7560A" w14:paraId="59E47F2C" w14:textId="77777777">
        <w:trPr>
          <w:jc w:val="center"/>
        </w:trPr>
        <w:tc>
          <w:tcPr>
            <w:tcW w:w="50" w:type="pct"/>
            <w:tcBorders>
              <w:top w:val="nil"/>
              <w:left w:val="nil"/>
              <w:bottom w:val="nil"/>
              <w:right w:val="nil"/>
            </w:tcBorders>
            <w:shd w:val="clear" w:color="auto" w:fill="auto"/>
            <w:vAlign w:val="bottom"/>
          </w:tcPr>
          <w:p w14:paraId="59E47F23" w14:textId="77777777" w:rsidR="00D7560A" w:rsidRDefault="00D7560A">
            <w:pPr>
              <w:widowControl/>
              <w:jc w:val="left"/>
              <w:rPr>
                <w:rFonts w:ascii="Times New Roman" w:eastAsia="宋体" w:hAnsi="宋体" w:cs="宋体"/>
                <w:kern w:val="0"/>
                <w:sz w:val="24"/>
              </w:rPr>
            </w:pPr>
          </w:p>
        </w:tc>
        <w:tc>
          <w:tcPr>
            <w:tcW w:w="1981" w:type="pct"/>
            <w:tcBorders>
              <w:top w:val="nil"/>
              <w:left w:val="nil"/>
              <w:bottom w:val="nil"/>
              <w:right w:val="nil"/>
            </w:tcBorders>
            <w:shd w:val="clear" w:color="auto" w:fill="auto"/>
            <w:vAlign w:val="bottom"/>
          </w:tcPr>
          <w:p w14:paraId="59E47F24"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7F25"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7F26" w14:textId="77777777" w:rsidR="00D7560A" w:rsidRDefault="00D7560A">
            <w:pPr>
              <w:widowControl/>
              <w:jc w:val="left"/>
              <w:rPr>
                <w:rFonts w:ascii="Times New Roman" w:eastAsia="宋体" w:hAnsi="宋体" w:cs="宋体"/>
                <w:kern w:val="0"/>
                <w:sz w:val="24"/>
              </w:rPr>
            </w:pPr>
          </w:p>
        </w:tc>
        <w:tc>
          <w:tcPr>
            <w:tcW w:w="856" w:type="pct"/>
            <w:tcBorders>
              <w:top w:val="nil"/>
              <w:left w:val="nil"/>
              <w:bottom w:val="nil"/>
              <w:right w:val="nil"/>
            </w:tcBorders>
            <w:shd w:val="clear" w:color="auto" w:fill="auto"/>
            <w:vAlign w:val="bottom"/>
          </w:tcPr>
          <w:p w14:paraId="59E47F27"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7F28"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7F29" w14:textId="77777777" w:rsidR="00D7560A" w:rsidRDefault="00D7560A">
            <w:pPr>
              <w:widowControl/>
              <w:jc w:val="left"/>
              <w:rPr>
                <w:rFonts w:ascii="Times New Roman" w:eastAsia="宋体" w:hAnsi="宋体" w:cs="宋体"/>
                <w:kern w:val="0"/>
                <w:sz w:val="24"/>
              </w:rPr>
            </w:pPr>
          </w:p>
        </w:tc>
        <w:tc>
          <w:tcPr>
            <w:tcW w:w="1996" w:type="pct"/>
            <w:tcBorders>
              <w:top w:val="nil"/>
              <w:left w:val="nil"/>
              <w:bottom w:val="nil"/>
              <w:right w:val="nil"/>
            </w:tcBorders>
            <w:shd w:val="clear" w:color="auto" w:fill="auto"/>
            <w:vAlign w:val="bottom"/>
          </w:tcPr>
          <w:p w14:paraId="59E47F2A"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7F2B" w14:textId="77777777" w:rsidR="00D7560A" w:rsidRDefault="00D7560A">
            <w:pPr>
              <w:widowControl/>
              <w:jc w:val="left"/>
              <w:rPr>
                <w:rFonts w:ascii="Times New Roman" w:eastAsia="宋体" w:hAnsi="宋体" w:cs="宋体"/>
                <w:kern w:val="0"/>
                <w:sz w:val="24"/>
              </w:rPr>
            </w:pPr>
          </w:p>
        </w:tc>
      </w:tr>
      <w:tr w:rsidR="00D7560A" w14:paraId="59E47F30"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9E47F2D"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u w:val="single"/>
                <w:lang w:bidi="ar"/>
              </w:rPr>
              <w:t>Title of each class</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9E47F2E"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u w:val="single"/>
                <w:lang w:bidi="ar"/>
              </w:rPr>
              <w:t>Trading Symbol(s)</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9E47F2F"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u w:val="single"/>
                <w:lang w:bidi="ar"/>
              </w:rPr>
              <w:t>Name of each exchange on which registered</w:t>
            </w:r>
          </w:p>
        </w:tc>
      </w:tr>
      <w:tr w:rsidR="00D7560A" w14:paraId="59E47F34"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9E47F31"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Class C Common Stock, par value of $0.01 per share</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9E47F32"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9"/>
                <w:szCs w:val="19"/>
                <w:lang w:bidi="ar"/>
              </w:rPr>
              <w:t>DELL</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9E47F33"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New York Stock Exchange</w:t>
            </w:r>
          </w:p>
        </w:tc>
      </w:tr>
    </w:tbl>
    <w:p w14:paraId="59E47F35" w14:textId="77777777" w:rsidR="00D7560A" w:rsidRDefault="001E3CAB">
      <w:pPr>
        <w:widowControl/>
        <w:spacing w:after="120"/>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7F36" w14:textId="77777777" w:rsidR="00D7560A" w:rsidRDefault="001E3CAB">
      <w:pPr>
        <w:widowControl/>
        <w:spacing w:after="120"/>
        <w:jc w:val="left"/>
        <w:rPr>
          <w:rFonts w:ascii="宋体" w:eastAsia="宋体" w:hAnsi="宋体" w:cs="宋体"/>
          <w:kern w:val="0"/>
          <w:sz w:val="24"/>
        </w:rPr>
      </w:pPr>
      <w:r>
        <w:rPr>
          <w:rFonts w:ascii="Times New Roman" w:eastAsia="宋体" w:hAnsi="Times New Roman" w:cs="Times New Roman"/>
          <w:color w:val="000000"/>
          <w:kern w:val="0"/>
          <w:sz w:val="18"/>
          <w:szCs w:val="18"/>
          <w:shd w:val="clear" w:color="auto" w:fill="FFFFFF"/>
          <w:lang w:bidi="ar"/>
        </w:rPr>
        <w:t>Indicate by check mark whether the registrant (1) has filed all reports required to be filed by Section 13 or 15(d) of the Securities Exchange Act of 1934 during the preceding 12 months (or for such shorter period that the registrant was required to file s</w:t>
      </w:r>
      <w:r>
        <w:rPr>
          <w:rFonts w:ascii="Times New Roman" w:eastAsia="宋体" w:hAnsi="Times New Roman" w:cs="Times New Roman"/>
          <w:color w:val="000000"/>
          <w:kern w:val="0"/>
          <w:sz w:val="18"/>
          <w:szCs w:val="18"/>
          <w:shd w:val="clear" w:color="auto" w:fill="FFFFFF"/>
          <w:lang w:bidi="ar"/>
        </w:rPr>
        <w:t xml:space="preserve">uch reports), and (2) has been subject to such filing requirements for the past 90 days. Yes </w:t>
      </w:r>
      <w:r>
        <w:rPr>
          <w:rFonts w:ascii="Wingdings" w:eastAsia="宋体" w:hAnsi="Wingdings" w:cs="Wingdings"/>
          <w:color w:val="000000"/>
          <w:kern w:val="0"/>
          <w:sz w:val="18"/>
          <w:szCs w:val="18"/>
          <w:lang w:bidi="ar"/>
        </w:rPr>
        <w:t>þ</w:t>
      </w:r>
      <w:r>
        <w:rPr>
          <w:rFonts w:ascii="Times New Roman" w:eastAsia="宋体" w:hAnsi="Times New Roman" w:cs="Times New Roman"/>
          <w:b/>
          <w:bCs/>
          <w:color w:val="000000"/>
          <w:kern w:val="0"/>
          <w:sz w:val="18"/>
          <w:szCs w:val="18"/>
          <w:lang w:bidi="ar"/>
        </w:rPr>
        <w:t xml:space="preserve"> </w:t>
      </w:r>
      <w:r>
        <w:rPr>
          <w:rFonts w:ascii="Times New Roman" w:eastAsia="宋体" w:hAnsi="Times New Roman" w:cs="Times New Roman"/>
          <w:color w:val="000000"/>
          <w:kern w:val="0"/>
          <w:sz w:val="18"/>
          <w:szCs w:val="18"/>
          <w:shd w:val="clear" w:color="auto" w:fill="FFFFFF"/>
          <w:lang w:bidi="ar"/>
        </w:rPr>
        <w:t xml:space="preserve">No </w:t>
      </w:r>
      <w:r>
        <w:rPr>
          <w:rFonts w:ascii="Wingdings" w:eastAsia="宋体" w:hAnsi="Wingdings" w:cs="Wingdings"/>
          <w:color w:val="000000"/>
          <w:kern w:val="0"/>
          <w:sz w:val="18"/>
          <w:szCs w:val="18"/>
          <w:shd w:val="clear" w:color="auto" w:fill="FFFFFF"/>
          <w:lang w:bidi="ar"/>
        </w:rPr>
        <w:t>¨</w:t>
      </w:r>
    </w:p>
    <w:p w14:paraId="59E47F37" w14:textId="77777777" w:rsidR="00D7560A" w:rsidRDefault="001E3CAB">
      <w:pPr>
        <w:widowControl/>
        <w:spacing w:after="120"/>
        <w:jc w:val="left"/>
        <w:rPr>
          <w:rFonts w:ascii="宋体" w:eastAsia="宋体" w:hAnsi="宋体" w:cs="宋体"/>
          <w:kern w:val="0"/>
          <w:sz w:val="24"/>
        </w:rPr>
      </w:pPr>
      <w:r>
        <w:rPr>
          <w:rFonts w:ascii="Times New Roman" w:eastAsia="宋体" w:hAnsi="Times New Roman" w:cs="Times New Roman"/>
          <w:color w:val="000000"/>
          <w:kern w:val="0"/>
          <w:sz w:val="18"/>
          <w:szCs w:val="18"/>
          <w:shd w:val="clear" w:color="auto" w:fill="FFFFFF"/>
          <w:lang w:bidi="ar"/>
        </w:rPr>
        <w:t>Indicate by check mark whether the registrant has submitted electronically every Interactive Data File required to be submitted pursuant to Rule 405 of Regulation S-T during the preceding 12 months (or for such shorter period that the registrant was requir</w:t>
      </w:r>
      <w:r>
        <w:rPr>
          <w:rFonts w:ascii="Times New Roman" w:eastAsia="宋体" w:hAnsi="Times New Roman" w:cs="Times New Roman"/>
          <w:color w:val="000000"/>
          <w:kern w:val="0"/>
          <w:sz w:val="18"/>
          <w:szCs w:val="18"/>
          <w:shd w:val="clear" w:color="auto" w:fill="FFFFFF"/>
          <w:lang w:bidi="ar"/>
        </w:rPr>
        <w:t xml:space="preserve">ed to submit such files). Yes </w:t>
      </w:r>
      <w:r>
        <w:rPr>
          <w:rFonts w:ascii="Wingdings" w:eastAsia="宋体" w:hAnsi="Wingdings" w:cs="Wingdings"/>
          <w:color w:val="000000"/>
          <w:kern w:val="0"/>
          <w:sz w:val="18"/>
          <w:szCs w:val="18"/>
          <w:lang w:bidi="ar"/>
        </w:rPr>
        <w:t>þ</w:t>
      </w:r>
      <w:r>
        <w:rPr>
          <w:rFonts w:ascii="Times New Roman" w:eastAsia="宋体" w:hAnsi="Times New Roman" w:cs="Times New Roman"/>
          <w:b/>
          <w:bCs/>
          <w:color w:val="000000"/>
          <w:kern w:val="0"/>
          <w:sz w:val="18"/>
          <w:szCs w:val="18"/>
          <w:lang w:bidi="ar"/>
        </w:rPr>
        <w:t xml:space="preserve"> </w:t>
      </w:r>
      <w:r>
        <w:rPr>
          <w:rFonts w:ascii="Times New Roman" w:eastAsia="宋体" w:hAnsi="Times New Roman" w:cs="Times New Roman"/>
          <w:color w:val="000000"/>
          <w:kern w:val="0"/>
          <w:sz w:val="18"/>
          <w:szCs w:val="18"/>
          <w:shd w:val="clear" w:color="auto" w:fill="FFFFFF"/>
          <w:lang w:bidi="ar"/>
        </w:rPr>
        <w:t xml:space="preserve">No </w:t>
      </w:r>
      <w:r>
        <w:rPr>
          <w:rFonts w:ascii="Wingdings" w:eastAsia="宋体" w:hAnsi="Wingdings" w:cs="Wingdings"/>
          <w:color w:val="000000"/>
          <w:kern w:val="0"/>
          <w:sz w:val="18"/>
          <w:szCs w:val="18"/>
          <w:shd w:val="clear" w:color="auto" w:fill="FFFFFF"/>
          <w:lang w:bidi="ar"/>
        </w:rPr>
        <w:t>¨</w:t>
      </w:r>
    </w:p>
    <w:p w14:paraId="59E47F38" w14:textId="77777777" w:rsidR="00D7560A" w:rsidRDefault="001E3CAB">
      <w:pPr>
        <w:widowControl/>
        <w:spacing w:after="120"/>
        <w:jc w:val="left"/>
        <w:rPr>
          <w:rFonts w:ascii="宋体" w:eastAsia="宋体" w:hAnsi="宋体" w:cs="宋体"/>
          <w:kern w:val="0"/>
          <w:sz w:val="24"/>
        </w:rPr>
      </w:pPr>
      <w:r>
        <w:rPr>
          <w:rFonts w:ascii="Times New Roman" w:eastAsia="宋体" w:hAnsi="Times New Roman" w:cs="Times New Roman"/>
          <w:color w:val="000000"/>
          <w:kern w:val="0"/>
          <w:sz w:val="18"/>
          <w:szCs w:val="18"/>
          <w:lang w:bidi="ar"/>
        </w:rPr>
        <w:t>Indicate by check mark whether the registrant is a large accelerated filer, an accelerated filer, a non-accelerated filer, a smaller reporting company, or an emerging growth company. See the definitions of “large accele</w:t>
      </w:r>
      <w:r>
        <w:rPr>
          <w:rFonts w:ascii="Times New Roman" w:eastAsia="宋体" w:hAnsi="Times New Roman" w:cs="Times New Roman"/>
          <w:color w:val="000000"/>
          <w:kern w:val="0"/>
          <w:sz w:val="18"/>
          <w:szCs w:val="18"/>
          <w:lang w:bidi="ar"/>
        </w:rPr>
        <w:t xml:space="preserve">rated filer,” “accelerated filer,” “smaller reporting company,” and “emerging growth company” in Rule 12b-2 of the Exchange Act. </w:t>
      </w:r>
    </w:p>
    <w:tbl>
      <w:tblPr>
        <w:tblW w:w="5000" w:type="pct"/>
        <w:jc w:val="center"/>
        <w:tblCellMar>
          <w:top w:w="15" w:type="dxa"/>
          <w:left w:w="15" w:type="dxa"/>
          <w:bottom w:w="15" w:type="dxa"/>
          <w:right w:w="15" w:type="dxa"/>
        </w:tblCellMar>
        <w:tblLook w:val="04A0" w:firstRow="1" w:lastRow="0" w:firstColumn="1" w:lastColumn="0" w:noHBand="0" w:noVBand="1"/>
      </w:tblPr>
      <w:tblGrid>
        <w:gridCol w:w="67"/>
        <w:gridCol w:w="1396"/>
        <w:gridCol w:w="37"/>
        <w:gridCol w:w="95"/>
        <w:gridCol w:w="184"/>
        <w:gridCol w:w="36"/>
        <w:gridCol w:w="57"/>
        <w:gridCol w:w="4213"/>
        <w:gridCol w:w="36"/>
        <w:gridCol w:w="36"/>
        <w:gridCol w:w="202"/>
        <w:gridCol w:w="36"/>
        <w:gridCol w:w="58"/>
        <w:gridCol w:w="1591"/>
        <w:gridCol w:w="36"/>
        <w:gridCol w:w="59"/>
        <w:gridCol w:w="161"/>
        <w:gridCol w:w="36"/>
      </w:tblGrid>
      <w:tr w:rsidR="00D7560A" w14:paraId="59E47F4B" w14:textId="77777777">
        <w:trPr>
          <w:jc w:val="center"/>
        </w:trPr>
        <w:tc>
          <w:tcPr>
            <w:tcW w:w="50" w:type="pct"/>
            <w:tcBorders>
              <w:top w:val="nil"/>
              <w:left w:val="nil"/>
              <w:bottom w:val="nil"/>
              <w:right w:val="nil"/>
            </w:tcBorders>
            <w:shd w:val="clear" w:color="auto" w:fill="auto"/>
            <w:vAlign w:val="bottom"/>
          </w:tcPr>
          <w:p w14:paraId="59E47F39" w14:textId="77777777" w:rsidR="00D7560A" w:rsidRDefault="00D7560A">
            <w:pPr>
              <w:widowControl/>
              <w:jc w:val="left"/>
              <w:rPr>
                <w:rFonts w:ascii="Times New Roman" w:eastAsia="宋体" w:hAnsi="宋体" w:cs="宋体"/>
                <w:kern w:val="0"/>
                <w:sz w:val="24"/>
              </w:rPr>
            </w:pPr>
          </w:p>
        </w:tc>
        <w:tc>
          <w:tcPr>
            <w:tcW w:w="858" w:type="pct"/>
            <w:tcBorders>
              <w:top w:val="nil"/>
              <w:left w:val="nil"/>
              <w:bottom w:val="nil"/>
              <w:right w:val="nil"/>
            </w:tcBorders>
            <w:shd w:val="clear" w:color="auto" w:fill="auto"/>
            <w:vAlign w:val="bottom"/>
          </w:tcPr>
          <w:p w14:paraId="59E47F3A"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7F3B"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7F3C" w14:textId="77777777" w:rsidR="00D7560A" w:rsidRDefault="00D7560A">
            <w:pPr>
              <w:widowControl/>
              <w:jc w:val="left"/>
              <w:rPr>
                <w:rFonts w:ascii="Times New Roman" w:eastAsia="宋体" w:hAnsi="宋体" w:cs="宋体"/>
                <w:kern w:val="0"/>
                <w:sz w:val="24"/>
              </w:rPr>
            </w:pPr>
          </w:p>
        </w:tc>
        <w:tc>
          <w:tcPr>
            <w:tcW w:w="98" w:type="pct"/>
            <w:tcBorders>
              <w:top w:val="nil"/>
              <w:left w:val="nil"/>
              <w:bottom w:val="nil"/>
              <w:right w:val="nil"/>
            </w:tcBorders>
            <w:shd w:val="clear" w:color="auto" w:fill="auto"/>
            <w:vAlign w:val="bottom"/>
          </w:tcPr>
          <w:p w14:paraId="59E47F3D"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7F3E"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7F3F" w14:textId="77777777" w:rsidR="00D7560A" w:rsidRDefault="00D7560A">
            <w:pPr>
              <w:widowControl/>
              <w:jc w:val="left"/>
              <w:rPr>
                <w:rFonts w:ascii="Times New Roman" w:eastAsia="宋体" w:hAnsi="宋体" w:cs="宋体"/>
                <w:kern w:val="0"/>
                <w:sz w:val="24"/>
              </w:rPr>
            </w:pPr>
          </w:p>
        </w:tc>
        <w:tc>
          <w:tcPr>
            <w:tcW w:w="2540" w:type="pct"/>
            <w:tcBorders>
              <w:top w:val="nil"/>
              <w:left w:val="nil"/>
              <w:bottom w:val="nil"/>
              <w:right w:val="nil"/>
            </w:tcBorders>
            <w:shd w:val="clear" w:color="auto" w:fill="auto"/>
            <w:vAlign w:val="bottom"/>
          </w:tcPr>
          <w:p w14:paraId="59E47F40"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7F41"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7F42" w14:textId="77777777" w:rsidR="00D7560A" w:rsidRDefault="00D7560A">
            <w:pPr>
              <w:widowControl/>
              <w:jc w:val="left"/>
              <w:rPr>
                <w:rFonts w:ascii="Times New Roman" w:eastAsia="宋体" w:hAnsi="宋体" w:cs="宋体"/>
                <w:kern w:val="0"/>
                <w:sz w:val="24"/>
              </w:rPr>
            </w:pPr>
          </w:p>
        </w:tc>
        <w:tc>
          <w:tcPr>
            <w:tcW w:w="136" w:type="pct"/>
            <w:tcBorders>
              <w:top w:val="nil"/>
              <w:left w:val="nil"/>
              <w:bottom w:val="nil"/>
              <w:right w:val="nil"/>
            </w:tcBorders>
            <w:shd w:val="clear" w:color="auto" w:fill="auto"/>
            <w:vAlign w:val="bottom"/>
          </w:tcPr>
          <w:p w14:paraId="59E47F43"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7F44"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7F45" w14:textId="77777777" w:rsidR="00D7560A" w:rsidRDefault="00D7560A">
            <w:pPr>
              <w:widowControl/>
              <w:jc w:val="left"/>
              <w:rPr>
                <w:rFonts w:ascii="Times New Roman" w:eastAsia="宋体" w:hAnsi="宋体" w:cs="宋体"/>
                <w:kern w:val="0"/>
                <w:sz w:val="24"/>
              </w:rPr>
            </w:pPr>
          </w:p>
        </w:tc>
        <w:tc>
          <w:tcPr>
            <w:tcW w:w="968" w:type="pct"/>
            <w:tcBorders>
              <w:top w:val="nil"/>
              <w:left w:val="nil"/>
              <w:bottom w:val="nil"/>
              <w:right w:val="nil"/>
            </w:tcBorders>
            <w:shd w:val="clear" w:color="auto" w:fill="auto"/>
            <w:vAlign w:val="bottom"/>
          </w:tcPr>
          <w:p w14:paraId="59E47F46"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7F47"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7F48" w14:textId="77777777" w:rsidR="00D7560A" w:rsidRDefault="00D7560A">
            <w:pPr>
              <w:widowControl/>
              <w:jc w:val="left"/>
              <w:rPr>
                <w:rFonts w:ascii="Times New Roman" w:eastAsia="宋体" w:hAnsi="宋体" w:cs="宋体"/>
                <w:kern w:val="0"/>
                <w:sz w:val="24"/>
              </w:rPr>
            </w:pPr>
          </w:p>
        </w:tc>
        <w:tc>
          <w:tcPr>
            <w:tcW w:w="112" w:type="pct"/>
            <w:tcBorders>
              <w:top w:val="nil"/>
              <w:left w:val="nil"/>
              <w:bottom w:val="nil"/>
              <w:right w:val="nil"/>
            </w:tcBorders>
            <w:shd w:val="clear" w:color="auto" w:fill="auto"/>
            <w:vAlign w:val="bottom"/>
          </w:tcPr>
          <w:p w14:paraId="59E47F49"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7F4A" w14:textId="77777777" w:rsidR="00D7560A" w:rsidRDefault="00D7560A">
            <w:pPr>
              <w:widowControl/>
              <w:jc w:val="left"/>
              <w:rPr>
                <w:rFonts w:ascii="Times New Roman" w:eastAsia="宋体" w:hAnsi="宋体" w:cs="宋体"/>
                <w:kern w:val="0"/>
                <w:sz w:val="24"/>
              </w:rPr>
            </w:pPr>
          </w:p>
        </w:tc>
      </w:tr>
      <w:tr w:rsidR="00D7560A" w14:paraId="59E47F52"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9E47F4C"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Large</w:t>
            </w:r>
            <w:r>
              <w:rPr>
                <w:rFonts w:ascii="Times New Roman" w:eastAsia="宋体" w:hAnsi="Times New Roman" w:cs="Times New Roman"/>
                <w:color w:val="000000"/>
                <w:kern w:val="0"/>
                <w:sz w:val="18"/>
                <w:szCs w:val="18"/>
                <w:lang w:bidi="ar"/>
              </w:rPr>
              <w:t xml:space="preserve"> accelerated filer</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9E47F4D" w14:textId="77777777" w:rsidR="00D7560A" w:rsidRDefault="001E3CAB">
            <w:pPr>
              <w:widowControl/>
              <w:jc w:val="left"/>
              <w:textAlignment w:val="bottom"/>
              <w:rPr>
                <w:rFonts w:ascii="宋体" w:eastAsia="宋体" w:hAnsi="宋体" w:cs="宋体"/>
                <w:kern w:val="0"/>
                <w:sz w:val="24"/>
              </w:rPr>
            </w:pPr>
            <w:r>
              <w:rPr>
                <w:rFonts w:ascii="Arial Unicode MS" w:eastAsia="Arial Unicode MS" w:hAnsi="Arial Unicode MS" w:cs="Arial Unicode MS" w:hint="eastAsia"/>
                <w:color w:val="000000"/>
                <w:kern w:val="0"/>
                <w:sz w:val="18"/>
                <w:szCs w:val="18"/>
                <w:lang w:bidi="ar"/>
              </w:rPr>
              <w:t>☑</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7F4E"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9E47F4F"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 </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9E47F50"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Accelerated filer </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9E47F51" w14:textId="77777777" w:rsidR="00D7560A" w:rsidRDefault="001E3CAB">
            <w:pPr>
              <w:widowControl/>
              <w:jc w:val="left"/>
              <w:textAlignment w:val="bottom"/>
              <w:rPr>
                <w:rFonts w:ascii="宋体" w:eastAsia="宋体" w:hAnsi="宋体" w:cs="宋体"/>
                <w:kern w:val="0"/>
                <w:sz w:val="24"/>
              </w:rPr>
            </w:pPr>
            <w:r>
              <w:rPr>
                <w:rFonts w:ascii="Arial Unicode MS" w:eastAsia="Arial Unicode MS" w:hAnsi="Arial Unicode MS" w:cs="Arial Unicode MS" w:hint="eastAsia"/>
                <w:color w:val="000000"/>
                <w:kern w:val="0"/>
                <w:sz w:val="18"/>
                <w:szCs w:val="18"/>
                <w:lang w:bidi="ar"/>
              </w:rPr>
              <w:t>☐</w:t>
            </w:r>
          </w:p>
        </w:tc>
      </w:tr>
      <w:tr w:rsidR="00D7560A" w14:paraId="59E47F59"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9E47F53"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Non-accelerated filer</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9E47F54" w14:textId="77777777" w:rsidR="00D7560A" w:rsidRDefault="001E3CAB">
            <w:pPr>
              <w:widowControl/>
              <w:jc w:val="left"/>
              <w:textAlignment w:val="bottom"/>
              <w:rPr>
                <w:rFonts w:ascii="宋体" w:eastAsia="宋体" w:hAnsi="宋体" w:cs="宋体"/>
                <w:kern w:val="0"/>
                <w:sz w:val="24"/>
              </w:rPr>
            </w:pPr>
            <w:r>
              <w:rPr>
                <w:rFonts w:ascii="Arial Unicode MS" w:eastAsia="Arial Unicode MS" w:hAnsi="Arial Unicode MS" w:cs="Arial Unicode MS" w:hint="eastAsia"/>
                <w:color w:val="000000"/>
                <w:kern w:val="0"/>
                <w:sz w:val="18"/>
                <w:szCs w:val="18"/>
                <w:lang w:bidi="ar"/>
              </w:rPr>
              <w:t>☐</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7F55"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9E47F56"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 </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9E47F57"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Smaller reporting company</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9E47F58" w14:textId="77777777" w:rsidR="00D7560A" w:rsidRDefault="001E3CAB">
            <w:pPr>
              <w:widowControl/>
              <w:jc w:val="left"/>
              <w:textAlignment w:val="bottom"/>
              <w:rPr>
                <w:rFonts w:ascii="宋体" w:eastAsia="宋体" w:hAnsi="宋体" w:cs="宋体"/>
                <w:kern w:val="0"/>
                <w:sz w:val="24"/>
              </w:rPr>
            </w:pPr>
            <w:r>
              <w:rPr>
                <w:rFonts w:ascii="Arial Unicode MS" w:eastAsia="Arial Unicode MS" w:hAnsi="Arial Unicode MS" w:cs="Arial Unicode MS" w:hint="eastAsia"/>
                <w:color w:val="000000"/>
                <w:kern w:val="0"/>
                <w:sz w:val="18"/>
                <w:szCs w:val="18"/>
                <w:lang w:bidi="ar"/>
              </w:rPr>
              <w:t>☐</w:t>
            </w:r>
          </w:p>
        </w:tc>
      </w:tr>
      <w:tr w:rsidR="00D7560A" w14:paraId="59E47F60"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7F5A"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7F5B"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7F5C"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7F5D"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9E47F5E"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Emerging growth company</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9E47F5F" w14:textId="77777777" w:rsidR="00D7560A" w:rsidRDefault="001E3CAB">
            <w:pPr>
              <w:widowControl/>
              <w:jc w:val="left"/>
              <w:textAlignment w:val="bottom"/>
              <w:rPr>
                <w:rFonts w:ascii="宋体" w:eastAsia="宋体" w:hAnsi="宋体" w:cs="宋体"/>
                <w:kern w:val="0"/>
                <w:sz w:val="24"/>
              </w:rPr>
            </w:pPr>
            <w:r>
              <w:rPr>
                <w:rFonts w:ascii="Arial Unicode MS" w:eastAsia="Arial Unicode MS" w:hAnsi="Arial Unicode MS" w:cs="Arial Unicode MS" w:hint="eastAsia"/>
                <w:color w:val="000000"/>
                <w:kern w:val="0"/>
                <w:sz w:val="18"/>
                <w:szCs w:val="18"/>
                <w:lang w:bidi="ar"/>
              </w:rPr>
              <w:t>☐</w:t>
            </w:r>
          </w:p>
        </w:tc>
      </w:tr>
    </w:tbl>
    <w:p w14:paraId="59E47F61" w14:textId="77777777" w:rsidR="00D7560A" w:rsidRDefault="001E3CAB">
      <w:pPr>
        <w:widowControl/>
        <w:spacing w:after="120"/>
        <w:jc w:val="left"/>
        <w:rPr>
          <w:rFonts w:ascii="宋体" w:eastAsia="宋体" w:hAnsi="宋体" w:cs="宋体"/>
          <w:kern w:val="0"/>
          <w:sz w:val="24"/>
        </w:rPr>
      </w:pPr>
      <w:r>
        <w:rPr>
          <w:rFonts w:ascii="Times New Roman" w:eastAsia="宋体" w:hAnsi="Times New Roman" w:cs="Times New Roman"/>
          <w:color w:val="000000"/>
          <w:kern w:val="0"/>
          <w:sz w:val="18"/>
          <w:szCs w:val="18"/>
          <w:shd w:val="clear" w:color="auto" w:fill="FFFFFF"/>
          <w:lang w:bidi="ar"/>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Arial Unicode MS" w:eastAsia="Arial Unicode MS" w:hAnsi="Arial Unicode MS" w:cs="Arial Unicode MS" w:hint="eastAsia"/>
          <w:color w:val="000000"/>
          <w:kern w:val="0"/>
          <w:sz w:val="18"/>
          <w:szCs w:val="18"/>
          <w:shd w:val="clear" w:color="auto" w:fill="FFFFFF"/>
          <w:lang w:bidi="ar"/>
        </w:rPr>
        <w:t>☐</w:t>
      </w:r>
    </w:p>
    <w:p w14:paraId="59E47F62" w14:textId="77777777" w:rsidR="00D7560A" w:rsidRDefault="001E3CAB">
      <w:pPr>
        <w:widowControl/>
        <w:spacing w:after="120"/>
        <w:jc w:val="left"/>
        <w:rPr>
          <w:rFonts w:ascii="宋体" w:eastAsia="宋体" w:hAnsi="宋体" w:cs="宋体"/>
          <w:kern w:val="0"/>
          <w:sz w:val="24"/>
        </w:rPr>
      </w:pPr>
      <w:r>
        <w:rPr>
          <w:rFonts w:ascii="Times New Roman" w:eastAsia="宋体" w:hAnsi="Times New Roman" w:cs="Times New Roman"/>
          <w:color w:val="000000"/>
          <w:kern w:val="0"/>
          <w:sz w:val="18"/>
          <w:szCs w:val="18"/>
          <w:shd w:val="clear" w:color="auto" w:fill="FFFFFF"/>
          <w:lang w:bidi="ar"/>
        </w:rPr>
        <w:t>Ind</w:t>
      </w:r>
      <w:r>
        <w:rPr>
          <w:rFonts w:ascii="Times New Roman" w:eastAsia="宋体" w:hAnsi="Times New Roman" w:cs="Times New Roman"/>
          <w:color w:val="000000"/>
          <w:kern w:val="0"/>
          <w:sz w:val="18"/>
          <w:szCs w:val="18"/>
          <w:shd w:val="clear" w:color="auto" w:fill="FFFFFF"/>
          <w:lang w:bidi="ar"/>
        </w:rPr>
        <w:t xml:space="preserve">icate by check mark whether the registrant is a shell company (as defined in Rule 12b-2 of the Act). Yes </w:t>
      </w:r>
      <w:r>
        <w:rPr>
          <w:rFonts w:ascii="Arial Unicode MS" w:eastAsia="Arial Unicode MS" w:hAnsi="Arial Unicode MS" w:cs="Arial Unicode MS" w:hint="eastAsia"/>
          <w:color w:val="000000"/>
          <w:kern w:val="0"/>
          <w:sz w:val="22"/>
          <w:szCs w:val="22"/>
          <w:shd w:val="clear" w:color="auto" w:fill="FFFFFF"/>
          <w:lang w:bidi="ar"/>
        </w:rPr>
        <w:t>☐</w:t>
      </w:r>
      <w:r>
        <w:rPr>
          <w:rFonts w:ascii="Times New Roman" w:eastAsia="宋体" w:hAnsi="Times New Roman" w:cs="Times New Roman"/>
          <w:b/>
          <w:bCs/>
          <w:color w:val="000000"/>
          <w:kern w:val="0"/>
          <w:sz w:val="18"/>
          <w:szCs w:val="18"/>
          <w:lang w:bidi="ar"/>
        </w:rPr>
        <w:t xml:space="preserve"> </w:t>
      </w:r>
      <w:r>
        <w:rPr>
          <w:rFonts w:ascii="Times New Roman" w:eastAsia="宋体" w:hAnsi="Times New Roman" w:cs="Times New Roman"/>
          <w:color w:val="000000"/>
          <w:kern w:val="0"/>
          <w:sz w:val="18"/>
          <w:szCs w:val="18"/>
          <w:shd w:val="clear" w:color="auto" w:fill="FFFFFF"/>
          <w:lang w:bidi="ar"/>
        </w:rPr>
        <w:t xml:space="preserve">No </w:t>
      </w:r>
      <w:r>
        <w:rPr>
          <w:rFonts w:ascii="Wingdings" w:eastAsia="宋体" w:hAnsi="Wingdings" w:cs="Wingdings"/>
          <w:color w:val="000000"/>
          <w:kern w:val="0"/>
          <w:sz w:val="18"/>
          <w:szCs w:val="18"/>
          <w:lang w:bidi="ar"/>
        </w:rPr>
        <w:t>þ</w:t>
      </w:r>
    </w:p>
    <w:p w14:paraId="59E47F63" w14:textId="77777777" w:rsidR="00D7560A" w:rsidRDefault="001E3CAB">
      <w:pPr>
        <w:widowControl/>
        <w:spacing w:after="120"/>
        <w:jc w:val="left"/>
        <w:rPr>
          <w:rFonts w:ascii="宋体" w:eastAsia="宋体" w:hAnsi="宋体" w:cs="宋体"/>
          <w:kern w:val="0"/>
          <w:sz w:val="24"/>
        </w:rPr>
      </w:pPr>
      <w:r>
        <w:rPr>
          <w:rFonts w:ascii="Times New Roman" w:eastAsia="宋体" w:hAnsi="Times New Roman" w:cs="Times New Roman"/>
          <w:color w:val="000000"/>
          <w:kern w:val="0"/>
          <w:sz w:val="18"/>
          <w:szCs w:val="18"/>
          <w:lang w:bidi="ar"/>
        </w:rPr>
        <w:t>As of August 26, 2022, there were 732,959,983 shares of the registrant’s common stock outstanding, consisting of 259,129,233</w:t>
      </w:r>
      <w:r>
        <w:rPr>
          <w:rFonts w:ascii="Times New Roman" w:eastAsia="宋体" w:hAnsi="Times New Roman" w:cs="Times New Roman"/>
          <w:color w:val="000000"/>
          <w:kern w:val="0"/>
          <w:sz w:val="20"/>
          <w:szCs w:val="20"/>
          <w:lang w:bidi="ar"/>
        </w:rPr>
        <w:t xml:space="preserve"> </w:t>
      </w:r>
      <w:r>
        <w:rPr>
          <w:rFonts w:ascii="Times New Roman" w:eastAsia="宋体" w:hAnsi="Times New Roman" w:cs="Times New Roman"/>
          <w:color w:val="000000"/>
          <w:kern w:val="0"/>
          <w:sz w:val="18"/>
          <w:szCs w:val="18"/>
          <w:lang w:bidi="ar"/>
        </w:rPr>
        <w:t>outstanding shares of Class C Common Stock, 378,480,523 outstanding shares of Class A Common Stock, and 95,350,227 outstanding shares of Class B Common Stock.</w:t>
      </w:r>
    </w:p>
    <w:p w14:paraId="59E47F64" w14:textId="77777777" w:rsidR="00D7560A" w:rsidRDefault="001E3CAB">
      <w:pPr>
        <w:widowControl/>
        <w:spacing w:after="120"/>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7F65"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7F66"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7F67"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w:t>
      </w:r>
    </w:p>
    <w:p w14:paraId="59E47F68"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7F69" w14:textId="77777777" w:rsidR="00D7560A" w:rsidRDefault="001E3CAB">
      <w:pPr>
        <w:widowControl/>
        <w:jc w:val="center"/>
      </w:pPr>
      <w:r>
        <w:rPr>
          <w:rFonts w:ascii="宋体" w:eastAsia="宋体" w:hAnsi="宋体" w:cs="宋体"/>
          <w:kern w:val="0"/>
          <w:sz w:val="24"/>
        </w:rPr>
        <w:pict w14:anchorId="59E4C7CC">
          <v:rect id="_x0000_i1025" style="width:6in;height:1.5pt" o:hralign="center" o:hrstd="t" o:hr="t" fillcolor="#a0a0a0" stroked="f"/>
        </w:pict>
      </w:r>
    </w:p>
    <w:p w14:paraId="59E47F6A" w14:textId="77777777" w:rsidR="00D7560A" w:rsidRDefault="001E3CAB">
      <w:pPr>
        <w:widowControl/>
        <w:jc w:val="left"/>
        <w:rPr>
          <w:rFonts w:ascii="宋体" w:eastAsia="宋体" w:hAnsi="宋体" w:cs="宋体"/>
          <w:kern w:val="0"/>
          <w:sz w:val="24"/>
        </w:rPr>
      </w:pPr>
      <w:hyperlink w:anchor="if933dd1d5d004d2495dd7029e3ecad00_13" w:history="1">
        <w:r>
          <w:rPr>
            <w:rStyle w:val="a4"/>
            <w:rFonts w:ascii="Times New Roman" w:eastAsia="宋体" w:hAnsi="Times New Roman" w:cs="Times New Roman"/>
            <w:sz w:val="20"/>
            <w:szCs w:val="20"/>
          </w:rPr>
          <w:t>Table of Contents</w:t>
        </w:r>
      </w:hyperlink>
    </w:p>
    <w:p w14:paraId="59E47F6B" w14:textId="77777777" w:rsidR="00D7560A" w:rsidRDefault="001E3CAB">
      <w:pPr>
        <w:widowControl/>
        <w:spacing w:after="120"/>
        <w:jc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CAUTIONARY NOTE REGARDING FORWARD-LOOKING STATEMENTS</w:t>
      </w:r>
    </w:p>
    <w:p w14:paraId="59E47F6C"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lastRenderedPageBreak/>
        <w:t xml:space="preserve">This report contains </w:t>
      </w:r>
      <w:r>
        <w:rPr>
          <w:rFonts w:ascii="Times New Roman" w:eastAsia="宋体" w:hAnsi="Times New Roman" w:cs="Times New Roman"/>
          <w:color w:val="000000"/>
          <w:kern w:val="0"/>
          <w:sz w:val="18"/>
          <w:szCs w:val="18"/>
          <w:shd w:val="clear" w:color="auto" w:fill="FFFFFF"/>
          <w:lang w:bidi="ar"/>
        </w:rPr>
        <w:t>“</w:t>
      </w:r>
      <w:r>
        <w:rPr>
          <w:rFonts w:ascii="Times New Roman" w:eastAsia="宋体" w:hAnsi="Times New Roman" w:cs="Times New Roman"/>
          <w:color w:val="000000"/>
          <w:kern w:val="0"/>
          <w:sz w:val="20"/>
          <w:szCs w:val="20"/>
          <w:lang w:bidi="ar"/>
        </w:rPr>
        <w:t>forward-looking statements</w:t>
      </w:r>
      <w:r>
        <w:rPr>
          <w:rFonts w:ascii="Times New Roman" w:eastAsia="宋体" w:hAnsi="Times New Roman" w:cs="Times New Roman"/>
          <w:color w:val="000000"/>
          <w:kern w:val="0"/>
          <w:sz w:val="18"/>
          <w:szCs w:val="18"/>
          <w:shd w:val="clear" w:color="auto" w:fill="FFFFFF"/>
          <w:lang w:bidi="ar"/>
        </w:rPr>
        <w:t>”</w:t>
      </w:r>
      <w:r>
        <w:rPr>
          <w:rFonts w:ascii="Times New Roman" w:eastAsia="宋体" w:hAnsi="Times New Roman" w:cs="Times New Roman"/>
          <w:color w:val="000000"/>
          <w:kern w:val="0"/>
          <w:sz w:val="20"/>
          <w:szCs w:val="20"/>
          <w:lang w:bidi="ar"/>
        </w:rPr>
        <w:t xml:space="preserve"> within the meaning of Section 27A of the Securities Act of 1933 and Section </w:t>
      </w:r>
      <w:r>
        <w:rPr>
          <w:rFonts w:ascii="Times New Roman" w:eastAsia="宋体" w:hAnsi="Times New Roman" w:cs="Times New Roman"/>
          <w:color w:val="000000"/>
          <w:kern w:val="0"/>
          <w:sz w:val="20"/>
          <w:szCs w:val="20"/>
          <w:lang w:bidi="ar"/>
        </w:rPr>
        <w:t xml:space="preserve">21E of the Securities Exchange Act of 1934. The words </w:t>
      </w:r>
      <w:r>
        <w:rPr>
          <w:rFonts w:ascii="Times New Roman" w:eastAsia="宋体" w:hAnsi="Times New Roman" w:cs="Times New Roman"/>
          <w:color w:val="000000"/>
          <w:kern w:val="0"/>
          <w:sz w:val="18"/>
          <w:szCs w:val="18"/>
          <w:shd w:val="clear" w:color="auto" w:fill="FFFFFF"/>
          <w:lang w:bidi="ar"/>
        </w:rPr>
        <w:t>“</w:t>
      </w:r>
      <w:r>
        <w:rPr>
          <w:rFonts w:ascii="Times New Roman" w:eastAsia="宋体" w:hAnsi="Times New Roman" w:cs="Times New Roman"/>
          <w:color w:val="000000"/>
          <w:kern w:val="0"/>
          <w:sz w:val="20"/>
          <w:szCs w:val="20"/>
          <w:lang w:bidi="ar"/>
        </w:rPr>
        <w:t>may,</w:t>
      </w:r>
      <w:r>
        <w:rPr>
          <w:rFonts w:ascii="Times New Roman" w:eastAsia="宋体" w:hAnsi="Times New Roman" w:cs="Times New Roman"/>
          <w:color w:val="000000"/>
          <w:kern w:val="0"/>
          <w:sz w:val="18"/>
          <w:szCs w:val="18"/>
          <w:shd w:val="clear" w:color="auto" w:fill="FFFFFF"/>
          <w:lang w:bidi="ar"/>
        </w:rPr>
        <w:t>”</w:t>
      </w:r>
      <w:r>
        <w:rPr>
          <w:rFonts w:ascii="Times New Roman" w:eastAsia="宋体" w:hAnsi="Times New Roman" w:cs="Times New Roman"/>
          <w:color w:val="000000"/>
          <w:kern w:val="0"/>
          <w:sz w:val="20"/>
          <w:szCs w:val="20"/>
          <w:lang w:bidi="ar"/>
        </w:rPr>
        <w:t xml:space="preserve"> </w:t>
      </w:r>
      <w:r>
        <w:rPr>
          <w:rFonts w:ascii="Times New Roman" w:eastAsia="宋体" w:hAnsi="Times New Roman" w:cs="Times New Roman"/>
          <w:color w:val="000000"/>
          <w:kern w:val="0"/>
          <w:sz w:val="18"/>
          <w:szCs w:val="18"/>
          <w:shd w:val="clear" w:color="auto" w:fill="FFFFFF"/>
          <w:lang w:bidi="ar"/>
        </w:rPr>
        <w:t>“</w:t>
      </w:r>
      <w:r>
        <w:rPr>
          <w:rFonts w:ascii="Times New Roman" w:eastAsia="宋体" w:hAnsi="Times New Roman" w:cs="Times New Roman"/>
          <w:color w:val="000000"/>
          <w:kern w:val="0"/>
          <w:sz w:val="20"/>
          <w:szCs w:val="20"/>
          <w:lang w:bidi="ar"/>
        </w:rPr>
        <w:t>will,</w:t>
      </w:r>
      <w:r>
        <w:rPr>
          <w:rFonts w:ascii="Times New Roman" w:eastAsia="宋体" w:hAnsi="Times New Roman" w:cs="Times New Roman"/>
          <w:color w:val="000000"/>
          <w:kern w:val="0"/>
          <w:sz w:val="18"/>
          <w:szCs w:val="18"/>
          <w:shd w:val="clear" w:color="auto" w:fill="FFFFFF"/>
          <w:lang w:bidi="ar"/>
        </w:rPr>
        <w:t>”</w:t>
      </w:r>
      <w:r>
        <w:rPr>
          <w:rFonts w:ascii="Times New Roman" w:eastAsia="宋体" w:hAnsi="Times New Roman" w:cs="Times New Roman"/>
          <w:color w:val="000000"/>
          <w:kern w:val="0"/>
          <w:sz w:val="20"/>
          <w:szCs w:val="20"/>
          <w:lang w:bidi="ar"/>
        </w:rPr>
        <w:t xml:space="preserve"> </w:t>
      </w:r>
      <w:r>
        <w:rPr>
          <w:rFonts w:ascii="Times New Roman" w:eastAsia="宋体" w:hAnsi="Times New Roman" w:cs="Times New Roman"/>
          <w:color w:val="000000"/>
          <w:kern w:val="0"/>
          <w:sz w:val="18"/>
          <w:szCs w:val="18"/>
          <w:shd w:val="clear" w:color="auto" w:fill="FFFFFF"/>
          <w:lang w:bidi="ar"/>
        </w:rPr>
        <w:t>“</w:t>
      </w:r>
      <w:r>
        <w:rPr>
          <w:rFonts w:ascii="Times New Roman" w:eastAsia="宋体" w:hAnsi="Times New Roman" w:cs="Times New Roman"/>
          <w:color w:val="000000"/>
          <w:kern w:val="0"/>
          <w:sz w:val="20"/>
          <w:szCs w:val="20"/>
          <w:lang w:bidi="ar"/>
        </w:rPr>
        <w:t>anticipate,</w:t>
      </w:r>
      <w:r>
        <w:rPr>
          <w:rFonts w:ascii="Times New Roman" w:eastAsia="宋体" w:hAnsi="Times New Roman" w:cs="Times New Roman"/>
          <w:color w:val="000000"/>
          <w:kern w:val="0"/>
          <w:sz w:val="18"/>
          <w:szCs w:val="18"/>
          <w:shd w:val="clear" w:color="auto" w:fill="FFFFFF"/>
          <w:lang w:bidi="ar"/>
        </w:rPr>
        <w:t>”</w:t>
      </w:r>
      <w:r>
        <w:rPr>
          <w:rFonts w:ascii="Times New Roman" w:eastAsia="宋体" w:hAnsi="Times New Roman" w:cs="Times New Roman"/>
          <w:color w:val="000000"/>
          <w:kern w:val="0"/>
          <w:sz w:val="20"/>
          <w:szCs w:val="20"/>
          <w:lang w:bidi="ar"/>
        </w:rPr>
        <w:t xml:space="preserve"> </w:t>
      </w:r>
      <w:r>
        <w:rPr>
          <w:rFonts w:ascii="Times New Roman" w:eastAsia="宋体" w:hAnsi="Times New Roman" w:cs="Times New Roman"/>
          <w:color w:val="000000"/>
          <w:kern w:val="0"/>
          <w:sz w:val="18"/>
          <w:szCs w:val="18"/>
          <w:shd w:val="clear" w:color="auto" w:fill="FFFFFF"/>
          <w:lang w:bidi="ar"/>
        </w:rPr>
        <w:t>“</w:t>
      </w:r>
      <w:r>
        <w:rPr>
          <w:rFonts w:ascii="Times New Roman" w:eastAsia="宋体" w:hAnsi="Times New Roman" w:cs="Times New Roman"/>
          <w:color w:val="000000"/>
          <w:kern w:val="0"/>
          <w:sz w:val="20"/>
          <w:szCs w:val="20"/>
          <w:lang w:bidi="ar"/>
        </w:rPr>
        <w:t>estimate,</w:t>
      </w:r>
      <w:r>
        <w:rPr>
          <w:rFonts w:ascii="Times New Roman" w:eastAsia="宋体" w:hAnsi="Times New Roman" w:cs="Times New Roman"/>
          <w:color w:val="000000"/>
          <w:kern w:val="0"/>
          <w:sz w:val="18"/>
          <w:szCs w:val="18"/>
          <w:shd w:val="clear" w:color="auto" w:fill="FFFFFF"/>
          <w:lang w:bidi="ar"/>
        </w:rPr>
        <w:t>”</w:t>
      </w:r>
      <w:r>
        <w:rPr>
          <w:rFonts w:ascii="Times New Roman" w:eastAsia="宋体" w:hAnsi="Times New Roman" w:cs="Times New Roman"/>
          <w:color w:val="000000"/>
          <w:kern w:val="0"/>
          <w:sz w:val="20"/>
          <w:szCs w:val="20"/>
          <w:lang w:bidi="ar"/>
        </w:rPr>
        <w:t xml:space="preserve"> </w:t>
      </w:r>
      <w:r>
        <w:rPr>
          <w:rFonts w:ascii="Times New Roman" w:eastAsia="宋体" w:hAnsi="Times New Roman" w:cs="Times New Roman"/>
          <w:color w:val="000000"/>
          <w:kern w:val="0"/>
          <w:sz w:val="18"/>
          <w:szCs w:val="18"/>
          <w:shd w:val="clear" w:color="auto" w:fill="FFFFFF"/>
          <w:lang w:bidi="ar"/>
        </w:rPr>
        <w:t>“</w:t>
      </w:r>
      <w:r>
        <w:rPr>
          <w:rFonts w:ascii="Times New Roman" w:eastAsia="宋体" w:hAnsi="Times New Roman" w:cs="Times New Roman"/>
          <w:color w:val="000000"/>
          <w:kern w:val="0"/>
          <w:sz w:val="20"/>
          <w:szCs w:val="20"/>
          <w:lang w:bidi="ar"/>
        </w:rPr>
        <w:t>expect,</w:t>
      </w:r>
      <w:r>
        <w:rPr>
          <w:rFonts w:ascii="Times New Roman" w:eastAsia="宋体" w:hAnsi="Times New Roman" w:cs="Times New Roman"/>
          <w:color w:val="000000"/>
          <w:kern w:val="0"/>
          <w:sz w:val="18"/>
          <w:szCs w:val="18"/>
          <w:shd w:val="clear" w:color="auto" w:fill="FFFFFF"/>
          <w:lang w:bidi="ar"/>
        </w:rPr>
        <w:t>”</w:t>
      </w:r>
      <w:r>
        <w:rPr>
          <w:rFonts w:ascii="Times New Roman" w:eastAsia="宋体" w:hAnsi="Times New Roman" w:cs="Times New Roman"/>
          <w:color w:val="000000"/>
          <w:kern w:val="0"/>
          <w:sz w:val="20"/>
          <w:szCs w:val="20"/>
          <w:lang w:bidi="ar"/>
        </w:rPr>
        <w:t xml:space="preserve"> </w:t>
      </w:r>
      <w:r>
        <w:rPr>
          <w:rFonts w:ascii="Times New Roman" w:eastAsia="宋体" w:hAnsi="Times New Roman" w:cs="Times New Roman"/>
          <w:color w:val="000000"/>
          <w:kern w:val="0"/>
          <w:sz w:val="18"/>
          <w:szCs w:val="18"/>
          <w:shd w:val="clear" w:color="auto" w:fill="FFFFFF"/>
          <w:lang w:bidi="ar"/>
        </w:rPr>
        <w:t>“</w:t>
      </w:r>
      <w:r>
        <w:rPr>
          <w:rFonts w:ascii="Times New Roman" w:eastAsia="宋体" w:hAnsi="Times New Roman" w:cs="Times New Roman"/>
          <w:color w:val="000000"/>
          <w:kern w:val="0"/>
          <w:sz w:val="20"/>
          <w:szCs w:val="20"/>
          <w:lang w:bidi="ar"/>
        </w:rPr>
        <w:t>intend,</w:t>
      </w:r>
      <w:r>
        <w:rPr>
          <w:rFonts w:ascii="Times New Roman" w:eastAsia="宋体" w:hAnsi="Times New Roman" w:cs="Times New Roman"/>
          <w:color w:val="000000"/>
          <w:kern w:val="0"/>
          <w:sz w:val="18"/>
          <w:szCs w:val="18"/>
          <w:shd w:val="clear" w:color="auto" w:fill="FFFFFF"/>
          <w:lang w:bidi="ar"/>
        </w:rPr>
        <w:t>”</w:t>
      </w:r>
      <w:r>
        <w:rPr>
          <w:rFonts w:ascii="Times New Roman" w:eastAsia="宋体" w:hAnsi="Times New Roman" w:cs="Times New Roman"/>
          <w:color w:val="000000"/>
          <w:kern w:val="0"/>
          <w:sz w:val="20"/>
          <w:szCs w:val="20"/>
          <w:lang w:bidi="ar"/>
        </w:rPr>
        <w:t xml:space="preserve"> </w:t>
      </w:r>
      <w:r>
        <w:rPr>
          <w:rFonts w:ascii="Times New Roman" w:eastAsia="宋体" w:hAnsi="Times New Roman" w:cs="Times New Roman"/>
          <w:color w:val="000000"/>
          <w:kern w:val="0"/>
          <w:sz w:val="18"/>
          <w:szCs w:val="18"/>
          <w:shd w:val="clear" w:color="auto" w:fill="FFFFFF"/>
          <w:lang w:bidi="ar"/>
        </w:rPr>
        <w:t>“</w:t>
      </w:r>
      <w:r>
        <w:rPr>
          <w:rFonts w:ascii="Times New Roman" w:eastAsia="宋体" w:hAnsi="Times New Roman" w:cs="Times New Roman"/>
          <w:color w:val="000000"/>
          <w:kern w:val="0"/>
          <w:sz w:val="20"/>
          <w:szCs w:val="20"/>
          <w:lang w:bidi="ar"/>
        </w:rPr>
        <w:t>plan,</w:t>
      </w:r>
      <w:r>
        <w:rPr>
          <w:rFonts w:ascii="Times New Roman" w:eastAsia="宋体" w:hAnsi="Times New Roman" w:cs="Times New Roman"/>
          <w:color w:val="000000"/>
          <w:kern w:val="0"/>
          <w:sz w:val="18"/>
          <w:szCs w:val="18"/>
          <w:shd w:val="clear" w:color="auto" w:fill="FFFFFF"/>
          <w:lang w:bidi="ar"/>
        </w:rPr>
        <w:t>”</w:t>
      </w:r>
      <w:r>
        <w:rPr>
          <w:rFonts w:ascii="Times New Roman" w:eastAsia="宋体" w:hAnsi="Times New Roman" w:cs="Times New Roman"/>
          <w:color w:val="000000"/>
          <w:kern w:val="0"/>
          <w:sz w:val="20"/>
          <w:szCs w:val="20"/>
          <w:lang w:bidi="ar"/>
        </w:rPr>
        <w:t xml:space="preserve"> </w:t>
      </w:r>
      <w:r>
        <w:rPr>
          <w:rFonts w:ascii="Times New Roman" w:eastAsia="宋体" w:hAnsi="Times New Roman" w:cs="Times New Roman"/>
          <w:color w:val="000000"/>
          <w:kern w:val="0"/>
          <w:sz w:val="18"/>
          <w:szCs w:val="18"/>
          <w:shd w:val="clear" w:color="auto" w:fill="FFFFFF"/>
          <w:lang w:bidi="ar"/>
        </w:rPr>
        <w:t>“</w:t>
      </w:r>
      <w:r>
        <w:rPr>
          <w:rFonts w:ascii="Times New Roman" w:eastAsia="宋体" w:hAnsi="Times New Roman" w:cs="Times New Roman"/>
          <w:color w:val="000000"/>
          <w:kern w:val="0"/>
          <w:sz w:val="20"/>
          <w:szCs w:val="20"/>
          <w:lang w:bidi="ar"/>
        </w:rPr>
        <w:t>aim,</w:t>
      </w:r>
      <w:r>
        <w:rPr>
          <w:rFonts w:ascii="Times New Roman" w:eastAsia="宋体" w:hAnsi="Times New Roman" w:cs="Times New Roman"/>
          <w:color w:val="000000"/>
          <w:kern w:val="0"/>
          <w:sz w:val="18"/>
          <w:szCs w:val="18"/>
          <w:shd w:val="clear" w:color="auto" w:fill="FFFFFF"/>
          <w:lang w:bidi="ar"/>
        </w:rPr>
        <w:t>”</w:t>
      </w:r>
      <w:r>
        <w:rPr>
          <w:rFonts w:ascii="Times New Roman" w:eastAsia="宋体" w:hAnsi="Times New Roman" w:cs="Times New Roman"/>
          <w:color w:val="000000"/>
          <w:kern w:val="0"/>
          <w:sz w:val="20"/>
          <w:szCs w:val="20"/>
          <w:lang w:bidi="ar"/>
        </w:rPr>
        <w:t xml:space="preserve"> </w:t>
      </w:r>
      <w:r>
        <w:rPr>
          <w:rFonts w:ascii="Times New Roman" w:eastAsia="宋体" w:hAnsi="Times New Roman" w:cs="Times New Roman"/>
          <w:color w:val="000000"/>
          <w:kern w:val="0"/>
          <w:sz w:val="18"/>
          <w:szCs w:val="18"/>
          <w:shd w:val="clear" w:color="auto" w:fill="FFFFFF"/>
          <w:lang w:bidi="ar"/>
        </w:rPr>
        <w:t>“</w:t>
      </w:r>
      <w:r>
        <w:rPr>
          <w:rFonts w:ascii="Times New Roman" w:eastAsia="宋体" w:hAnsi="Times New Roman" w:cs="Times New Roman"/>
          <w:color w:val="000000"/>
          <w:kern w:val="0"/>
          <w:sz w:val="20"/>
          <w:szCs w:val="20"/>
          <w:lang w:bidi="ar"/>
        </w:rPr>
        <w:t>seek,</w:t>
      </w:r>
      <w:r>
        <w:rPr>
          <w:rFonts w:ascii="Times New Roman" w:eastAsia="宋体" w:hAnsi="Times New Roman" w:cs="Times New Roman"/>
          <w:color w:val="000000"/>
          <w:kern w:val="0"/>
          <w:sz w:val="18"/>
          <w:szCs w:val="18"/>
          <w:shd w:val="clear" w:color="auto" w:fill="FFFFFF"/>
          <w:lang w:bidi="ar"/>
        </w:rPr>
        <w:t>”</w:t>
      </w:r>
      <w:r>
        <w:rPr>
          <w:rFonts w:ascii="Times New Roman" w:eastAsia="宋体" w:hAnsi="Times New Roman" w:cs="Times New Roman"/>
          <w:color w:val="000000"/>
          <w:kern w:val="0"/>
          <w:sz w:val="20"/>
          <w:szCs w:val="20"/>
          <w:lang w:bidi="ar"/>
        </w:rPr>
        <w:t xml:space="preserve"> and similar expressions as they relate to us or our management are intended to identify these forward-looking statements. All statements by us regarding our expected financial position, revenues, cash flows and other operating results, business strategy, </w:t>
      </w:r>
      <w:r>
        <w:rPr>
          <w:rFonts w:ascii="Times New Roman" w:eastAsia="宋体" w:hAnsi="Times New Roman" w:cs="Times New Roman"/>
          <w:color w:val="000000"/>
          <w:kern w:val="0"/>
          <w:sz w:val="20"/>
          <w:szCs w:val="20"/>
          <w:lang w:bidi="ar"/>
        </w:rPr>
        <w:t>legal proceedings, future responses to and effects of the coronavirus disease 2019 (“COVID-19”), and similar matters are forward-looking statements. Our expectations expressed or implied in these forward-looking statements may not turn out to be correct. O</w:t>
      </w:r>
      <w:r>
        <w:rPr>
          <w:rFonts w:ascii="Times New Roman" w:eastAsia="宋体" w:hAnsi="Times New Roman" w:cs="Times New Roman"/>
          <w:color w:val="000000"/>
          <w:kern w:val="0"/>
          <w:sz w:val="20"/>
          <w:szCs w:val="20"/>
          <w:lang w:bidi="ar"/>
        </w:rPr>
        <w:t xml:space="preserve">ur results could be materially different from our expectations because of various risks, including the risks discussed in “Part I — Item 1A — Risk Factors” in our Annual Report on Form 10-K for the fiscal year ended January 28, 2022, in this report and in </w:t>
      </w:r>
      <w:r>
        <w:rPr>
          <w:rFonts w:ascii="Times New Roman" w:eastAsia="宋体" w:hAnsi="Times New Roman" w:cs="Times New Roman"/>
          <w:color w:val="000000"/>
          <w:kern w:val="0"/>
          <w:sz w:val="20"/>
          <w:szCs w:val="20"/>
          <w:lang w:bidi="ar"/>
        </w:rPr>
        <w:t>our other periodic and current reports filed with the Securities and Exchange Commission (“SEC”). Any forward-looking statement speaks only as of the date as of which such statement is made, and, except as required by law, we undertake no obligation to upd</w:t>
      </w:r>
      <w:r>
        <w:rPr>
          <w:rFonts w:ascii="Times New Roman" w:eastAsia="宋体" w:hAnsi="Times New Roman" w:cs="Times New Roman"/>
          <w:color w:val="000000"/>
          <w:kern w:val="0"/>
          <w:sz w:val="20"/>
          <w:szCs w:val="20"/>
          <w:lang w:bidi="ar"/>
        </w:rPr>
        <w:t>ate any forward-looking statement after the date as of which such statement was made, whether to reflect changes in circumstances or our expectations, the occurrence of unanticipated events, or otherwise.</w:t>
      </w:r>
    </w:p>
    <w:p w14:paraId="59E47F6D"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7F6E"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2</w:t>
      </w:r>
    </w:p>
    <w:p w14:paraId="59E47F6F"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7F70" w14:textId="77777777" w:rsidR="00D7560A" w:rsidRDefault="001E3CAB">
      <w:pPr>
        <w:widowControl/>
        <w:jc w:val="center"/>
      </w:pPr>
      <w:r>
        <w:rPr>
          <w:rFonts w:ascii="宋体" w:eastAsia="宋体" w:hAnsi="宋体" w:cs="宋体"/>
          <w:kern w:val="0"/>
          <w:sz w:val="24"/>
        </w:rPr>
        <w:pict w14:anchorId="59E4C7CD">
          <v:rect id="_x0000_i1026" style="width:6in;height:1.5pt" o:hralign="center" o:hrstd="t" o:hr="t" fillcolor="#a0a0a0" stroked="f"/>
        </w:pict>
      </w:r>
    </w:p>
    <w:p w14:paraId="59E47F71" w14:textId="77777777" w:rsidR="00D7560A" w:rsidRDefault="001E3CAB">
      <w:pPr>
        <w:widowControl/>
        <w:jc w:val="left"/>
        <w:rPr>
          <w:rFonts w:ascii="宋体" w:eastAsia="宋体" w:hAnsi="宋体" w:cs="宋体"/>
          <w:kern w:val="0"/>
          <w:sz w:val="24"/>
        </w:rPr>
      </w:pPr>
      <w:hyperlink w:anchor="if933dd1d5d004d2495dd7029e3ecad00_13" w:history="1">
        <w:r>
          <w:rPr>
            <w:rStyle w:val="a4"/>
            <w:rFonts w:ascii="Times New Roman" w:eastAsia="宋体" w:hAnsi="Times New Roman" w:cs="Times New Roman"/>
            <w:sz w:val="20"/>
            <w:szCs w:val="20"/>
          </w:rPr>
          <w:t>Table of Contents</w:t>
        </w:r>
      </w:hyperlink>
    </w:p>
    <w:p w14:paraId="59E47F72"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DELL TECHNOLOGIES INC.</w:t>
      </w:r>
    </w:p>
    <w:p w14:paraId="59E47F73"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7F74"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TABLE OF CONTENTS</w:t>
      </w:r>
    </w:p>
    <w:tbl>
      <w:tblPr>
        <w:tblW w:w="4978" w:type="pct"/>
        <w:jc w:val="center"/>
        <w:tblCellMar>
          <w:top w:w="15" w:type="dxa"/>
          <w:left w:w="15" w:type="dxa"/>
          <w:bottom w:w="15" w:type="dxa"/>
          <w:right w:w="15" w:type="dxa"/>
        </w:tblCellMar>
        <w:tblLook w:val="04A0" w:firstRow="1" w:lastRow="0" w:firstColumn="1" w:lastColumn="0" w:noHBand="0" w:noVBand="1"/>
      </w:tblPr>
      <w:tblGrid>
        <w:gridCol w:w="68"/>
        <w:gridCol w:w="1172"/>
        <w:gridCol w:w="38"/>
        <w:gridCol w:w="69"/>
        <w:gridCol w:w="6380"/>
        <w:gridCol w:w="36"/>
        <w:gridCol w:w="70"/>
        <w:gridCol w:w="430"/>
        <w:gridCol w:w="36"/>
      </w:tblGrid>
      <w:tr w:rsidR="00D7560A" w14:paraId="59E47F7E" w14:textId="77777777">
        <w:trPr>
          <w:jc w:val="center"/>
        </w:trPr>
        <w:tc>
          <w:tcPr>
            <w:tcW w:w="50" w:type="pct"/>
            <w:tcBorders>
              <w:top w:val="nil"/>
              <w:left w:val="nil"/>
              <w:bottom w:val="nil"/>
              <w:right w:val="nil"/>
            </w:tcBorders>
            <w:shd w:val="clear" w:color="auto" w:fill="auto"/>
            <w:vAlign w:val="bottom"/>
          </w:tcPr>
          <w:p w14:paraId="59E47F75" w14:textId="77777777" w:rsidR="00D7560A" w:rsidRDefault="00D7560A">
            <w:pPr>
              <w:widowControl/>
              <w:jc w:val="left"/>
              <w:rPr>
                <w:rFonts w:ascii="Times New Roman" w:eastAsia="宋体" w:hAnsi="宋体" w:cs="宋体"/>
                <w:kern w:val="0"/>
                <w:sz w:val="24"/>
              </w:rPr>
            </w:pPr>
          </w:p>
        </w:tc>
        <w:tc>
          <w:tcPr>
            <w:tcW w:w="715" w:type="pct"/>
            <w:tcBorders>
              <w:top w:val="nil"/>
              <w:left w:val="nil"/>
              <w:bottom w:val="nil"/>
              <w:right w:val="nil"/>
            </w:tcBorders>
            <w:shd w:val="clear" w:color="auto" w:fill="auto"/>
            <w:vAlign w:val="bottom"/>
          </w:tcPr>
          <w:p w14:paraId="59E47F76"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7F77"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7F78" w14:textId="77777777" w:rsidR="00D7560A" w:rsidRDefault="00D7560A">
            <w:pPr>
              <w:widowControl/>
              <w:jc w:val="left"/>
              <w:rPr>
                <w:rFonts w:ascii="Times New Roman" w:eastAsia="宋体" w:hAnsi="宋体" w:cs="宋体"/>
                <w:kern w:val="0"/>
                <w:sz w:val="24"/>
              </w:rPr>
            </w:pPr>
          </w:p>
        </w:tc>
        <w:tc>
          <w:tcPr>
            <w:tcW w:w="3851" w:type="pct"/>
            <w:tcBorders>
              <w:top w:val="nil"/>
              <w:left w:val="nil"/>
              <w:bottom w:val="nil"/>
              <w:right w:val="nil"/>
            </w:tcBorders>
            <w:shd w:val="clear" w:color="auto" w:fill="auto"/>
            <w:vAlign w:val="bottom"/>
          </w:tcPr>
          <w:p w14:paraId="59E47F79"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7F7A"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7F7B" w14:textId="77777777" w:rsidR="00D7560A" w:rsidRDefault="00D7560A">
            <w:pPr>
              <w:widowControl/>
              <w:jc w:val="left"/>
              <w:rPr>
                <w:rFonts w:ascii="Times New Roman" w:eastAsia="宋体" w:hAnsi="宋体" w:cs="宋体"/>
                <w:kern w:val="0"/>
                <w:sz w:val="24"/>
              </w:rPr>
            </w:pPr>
          </w:p>
        </w:tc>
        <w:tc>
          <w:tcPr>
            <w:tcW w:w="268" w:type="pct"/>
            <w:tcBorders>
              <w:top w:val="nil"/>
              <w:left w:val="nil"/>
              <w:bottom w:val="nil"/>
              <w:right w:val="nil"/>
            </w:tcBorders>
            <w:shd w:val="clear" w:color="auto" w:fill="auto"/>
            <w:vAlign w:val="bottom"/>
          </w:tcPr>
          <w:p w14:paraId="59E47F7C"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7F7D" w14:textId="77777777" w:rsidR="00D7560A" w:rsidRDefault="00D7560A">
            <w:pPr>
              <w:widowControl/>
              <w:jc w:val="left"/>
              <w:rPr>
                <w:rFonts w:ascii="Times New Roman" w:eastAsia="宋体" w:hAnsi="宋体" w:cs="宋体"/>
                <w:kern w:val="0"/>
                <w:sz w:val="24"/>
              </w:rPr>
            </w:pPr>
          </w:p>
        </w:tc>
      </w:tr>
      <w:tr w:rsidR="00D7560A" w14:paraId="59E47F82"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7F7F"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7F80"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9E47F81"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Page</w:t>
            </w:r>
          </w:p>
        </w:tc>
      </w:tr>
      <w:tr w:rsidR="00D7560A" w14:paraId="59E47F84" w14:textId="77777777">
        <w:trPr>
          <w:jc w:val="center"/>
        </w:trPr>
        <w:tc>
          <w:tcPr>
            <w:tcW w:w="0" w:type="auto"/>
            <w:gridSpan w:val="9"/>
            <w:tcBorders>
              <w:top w:val="nil"/>
              <w:left w:val="nil"/>
              <w:bottom w:val="nil"/>
              <w:right w:val="nil"/>
            </w:tcBorders>
            <w:shd w:val="clear" w:color="auto" w:fill="auto"/>
            <w:tcMar>
              <w:top w:w="40" w:type="dxa"/>
              <w:left w:w="20" w:type="dxa"/>
              <w:bottom w:w="40" w:type="dxa"/>
              <w:right w:w="20" w:type="dxa"/>
            </w:tcMar>
          </w:tcPr>
          <w:p w14:paraId="59E47F83" w14:textId="77777777" w:rsidR="00D7560A" w:rsidRDefault="001E3CAB">
            <w:pPr>
              <w:widowControl/>
              <w:jc w:val="center"/>
              <w:textAlignment w:val="top"/>
              <w:rPr>
                <w:rFonts w:ascii="宋体" w:eastAsia="宋体" w:hAnsi="宋体" w:cs="宋体"/>
                <w:kern w:val="0"/>
                <w:sz w:val="24"/>
              </w:rPr>
            </w:pPr>
            <w:hyperlink w:anchor="if933dd1d5d004d2495dd7029e3ecad00_16" w:history="1">
              <w:r>
                <w:rPr>
                  <w:rStyle w:val="a4"/>
                  <w:rFonts w:ascii="Times New Roman" w:eastAsia="宋体" w:hAnsi="Times New Roman" w:cs="Times New Roman"/>
                  <w:b/>
                  <w:bCs/>
                  <w:kern w:val="0"/>
                  <w:sz w:val="20"/>
                  <w:szCs w:val="20"/>
                </w:rPr>
                <w:t>PART I — FINANCIAL INFORMATION</w:t>
              </w:r>
            </w:hyperlink>
          </w:p>
        </w:tc>
      </w:tr>
      <w:tr w:rsidR="00D7560A" w14:paraId="59E47F88"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59E47F85" w14:textId="77777777" w:rsidR="00D7560A" w:rsidRDefault="001E3CAB">
            <w:pPr>
              <w:widowControl/>
              <w:jc w:val="left"/>
              <w:textAlignment w:val="top"/>
              <w:rPr>
                <w:rFonts w:ascii="宋体" w:eastAsia="宋体" w:hAnsi="宋体" w:cs="宋体"/>
                <w:kern w:val="0"/>
                <w:sz w:val="24"/>
              </w:rPr>
            </w:pPr>
            <w:hyperlink w:anchor="if933dd1d5d004d2495dd7029e3ecad00_19" w:history="1">
              <w:r>
                <w:rPr>
                  <w:rStyle w:val="a4"/>
                  <w:rFonts w:ascii="Times New Roman" w:eastAsia="宋体" w:hAnsi="Times New Roman" w:cs="Times New Roman"/>
                  <w:kern w:val="0"/>
                  <w:sz w:val="20"/>
                  <w:szCs w:val="20"/>
                </w:rPr>
                <w:t>Item 1.</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59E47F86" w14:textId="77777777" w:rsidR="00D7560A" w:rsidRDefault="001E3CAB">
            <w:pPr>
              <w:widowControl/>
              <w:jc w:val="left"/>
              <w:textAlignment w:val="top"/>
              <w:rPr>
                <w:rFonts w:ascii="宋体" w:eastAsia="宋体" w:hAnsi="宋体" w:cs="宋体"/>
                <w:kern w:val="0"/>
                <w:sz w:val="24"/>
              </w:rPr>
            </w:pPr>
            <w:hyperlink w:anchor="if933dd1d5d004d2495dd7029e3ecad00_19" w:history="1">
              <w:r>
                <w:rPr>
                  <w:rStyle w:val="a4"/>
                  <w:rFonts w:ascii="Times New Roman" w:eastAsia="宋体" w:hAnsi="Times New Roman" w:cs="Times New Roman"/>
                  <w:kern w:val="0"/>
                  <w:sz w:val="20"/>
                  <w:szCs w:val="20"/>
                </w:rPr>
                <w:t>Financial Statements (unaudited)</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59E47F87" w14:textId="77777777" w:rsidR="00D7560A" w:rsidRDefault="001E3CAB">
            <w:pPr>
              <w:widowControl/>
              <w:jc w:val="center"/>
              <w:textAlignment w:val="top"/>
              <w:rPr>
                <w:rFonts w:ascii="宋体" w:eastAsia="宋体" w:hAnsi="宋体" w:cs="宋体"/>
                <w:kern w:val="0"/>
                <w:sz w:val="24"/>
              </w:rPr>
            </w:pPr>
            <w:hyperlink w:anchor="if933dd1d5d004d2495dd7029e3ecad00_19" w:history="1">
              <w:r>
                <w:rPr>
                  <w:rStyle w:val="a4"/>
                  <w:rFonts w:ascii="Times New Roman" w:eastAsia="宋体" w:hAnsi="Times New Roman" w:cs="Times New Roman"/>
                  <w:kern w:val="0"/>
                  <w:sz w:val="20"/>
                  <w:szCs w:val="20"/>
                </w:rPr>
                <w:t>4</w:t>
              </w:r>
            </w:hyperlink>
          </w:p>
        </w:tc>
      </w:tr>
      <w:tr w:rsidR="00D7560A" w14:paraId="59E47F8C"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59E47F89" w14:textId="77777777" w:rsidR="00D7560A" w:rsidRDefault="001E3CAB">
            <w:pPr>
              <w:widowControl/>
              <w:jc w:val="left"/>
              <w:textAlignment w:val="top"/>
              <w:rPr>
                <w:rFonts w:ascii="宋体" w:eastAsia="宋体" w:hAnsi="宋体" w:cs="宋体"/>
                <w:kern w:val="0"/>
                <w:sz w:val="24"/>
              </w:rPr>
            </w:pPr>
            <w:hyperlink w:anchor="if933dd1d5d004d2495dd7029e3ecad00_136" w:history="1">
              <w:r>
                <w:rPr>
                  <w:rStyle w:val="a4"/>
                  <w:rFonts w:ascii="Times New Roman" w:eastAsia="宋体" w:hAnsi="Times New Roman" w:cs="Times New Roman"/>
                  <w:kern w:val="0"/>
                  <w:sz w:val="20"/>
                  <w:szCs w:val="20"/>
                </w:rPr>
                <w:t>Item 2.</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59E47F8A" w14:textId="77777777" w:rsidR="00D7560A" w:rsidRDefault="001E3CAB">
            <w:pPr>
              <w:widowControl/>
              <w:jc w:val="left"/>
              <w:textAlignment w:val="top"/>
              <w:rPr>
                <w:rFonts w:ascii="宋体" w:eastAsia="宋体" w:hAnsi="宋体" w:cs="宋体"/>
                <w:kern w:val="0"/>
                <w:sz w:val="24"/>
              </w:rPr>
            </w:pPr>
            <w:hyperlink w:anchor="if933dd1d5d004d2495dd7029e3ecad00_136" w:history="1">
              <w:r>
                <w:rPr>
                  <w:rStyle w:val="a4"/>
                  <w:rFonts w:ascii="Times New Roman" w:eastAsia="宋体" w:hAnsi="Times New Roman" w:cs="Times New Roman"/>
                  <w:kern w:val="0"/>
                  <w:sz w:val="20"/>
                  <w:szCs w:val="20"/>
                </w:rPr>
                <w:t xml:space="preserve">Management’s Discussion and Analysis of Financial Condition and </w:t>
              </w:r>
              <w:r>
                <w:rPr>
                  <w:rStyle w:val="a4"/>
                  <w:rFonts w:ascii="Times New Roman" w:eastAsia="宋体" w:hAnsi="Times New Roman" w:cs="Times New Roman"/>
                  <w:kern w:val="0"/>
                  <w:sz w:val="20"/>
                  <w:szCs w:val="20"/>
                </w:rPr>
                <w:t>Results of Operations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59E47F8B" w14:textId="77777777" w:rsidR="00D7560A" w:rsidRDefault="001E3CAB">
            <w:pPr>
              <w:widowControl/>
              <w:jc w:val="center"/>
              <w:textAlignment w:val="top"/>
              <w:rPr>
                <w:rFonts w:ascii="宋体" w:eastAsia="宋体" w:hAnsi="宋体" w:cs="宋体"/>
                <w:kern w:val="0"/>
                <w:sz w:val="24"/>
              </w:rPr>
            </w:pPr>
            <w:hyperlink w:anchor="if933dd1d5d004d2495dd7029e3ecad00_136" w:history="1">
              <w:r>
                <w:rPr>
                  <w:rStyle w:val="a4"/>
                  <w:rFonts w:ascii="Times New Roman" w:eastAsia="宋体" w:hAnsi="Times New Roman" w:cs="Times New Roman"/>
                  <w:kern w:val="0"/>
                  <w:sz w:val="20"/>
                  <w:szCs w:val="20"/>
                </w:rPr>
                <w:t>58</w:t>
              </w:r>
            </w:hyperlink>
          </w:p>
        </w:tc>
      </w:tr>
      <w:tr w:rsidR="00D7560A" w14:paraId="59E47F90"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59E47F8D" w14:textId="77777777" w:rsidR="00D7560A" w:rsidRDefault="001E3CAB">
            <w:pPr>
              <w:widowControl/>
              <w:jc w:val="left"/>
              <w:textAlignment w:val="top"/>
              <w:rPr>
                <w:rFonts w:ascii="宋体" w:eastAsia="宋体" w:hAnsi="宋体" w:cs="宋体"/>
                <w:kern w:val="0"/>
                <w:sz w:val="24"/>
              </w:rPr>
            </w:pPr>
            <w:hyperlink w:anchor="if933dd1d5d004d2495dd7029e3ecad00_163" w:history="1">
              <w:r>
                <w:rPr>
                  <w:rStyle w:val="a4"/>
                  <w:rFonts w:ascii="Times New Roman" w:eastAsia="宋体" w:hAnsi="Times New Roman" w:cs="Times New Roman"/>
                  <w:kern w:val="0"/>
                  <w:sz w:val="20"/>
                  <w:szCs w:val="20"/>
                </w:rPr>
                <w:t>Item 3.</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59E47F8E" w14:textId="77777777" w:rsidR="00D7560A" w:rsidRDefault="001E3CAB">
            <w:pPr>
              <w:widowControl/>
              <w:jc w:val="left"/>
              <w:textAlignment w:val="top"/>
              <w:rPr>
                <w:rFonts w:ascii="宋体" w:eastAsia="宋体" w:hAnsi="宋体" w:cs="宋体"/>
                <w:kern w:val="0"/>
                <w:sz w:val="24"/>
              </w:rPr>
            </w:pPr>
            <w:hyperlink w:anchor="if933dd1d5d004d2495dd7029e3ecad00_163" w:history="1">
              <w:r>
                <w:rPr>
                  <w:rStyle w:val="a4"/>
                  <w:rFonts w:ascii="Times New Roman" w:eastAsia="宋体" w:hAnsi="Times New Roman" w:cs="Times New Roman"/>
                  <w:kern w:val="0"/>
                  <w:sz w:val="20"/>
                  <w:szCs w:val="20"/>
                </w:rPr>
                <w:t>Quantitative and Qualitative Disclosures A</w:t>
              </w:r>
              <w:r>
                <w:rPr>
                  <w:rStyle w:val="a4"/>
                  <w:rFonts w:ascii="Times New Roman" w:eastAsia="宋体" w:hAnsi="Times New Roman" w:cs="Times New Roman"/>
                  <w:kern w:val="0"/>
                  <w:sz w:val="20"/>
                  <w:szCs w:val="20"/>
                </w:rPr>
                <w:t>bout Market Risk</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59E47F8F" w14:textId="77777777" w:rsidR="00D7560A" w:rsidRDefault="001E3CAB">
            <w:pPr>
              <w:widowControl/>
              <w:jc w:val="center"/>
              <w:textAlignment w:val="top"/>
              <w:rPr>
                <w:rFonts w:ascii="宋体" w:eastAsia="宋体" w:hAnsi="宋体" w:cs="宋体"/>
                <w:kern w:val="0"/>
                <w:sz w:val="24"/>
              </w:rPr>
            </w:pPr>
            <w:hyperlink w:anchor="if933dd1d5d004d2495dd7029e3ecad00_163" w:history="1">
              <w:r>
                <w:rPr>
                  <w:rStyle w:val="a4"/>
                  <w:rFonts w:ascii="Times New Roman" w:eastAsia="宋体" w:hAnsi="Times New Roman" w:cs="Times New Roman"/>
                  <w:kern w:val="0"/>
                  <w:sz w:val="20"/>
                  <w:szCs w:val="20"/>
                </w:rPr>
                <w:t>88</w:t>
              </w:r>
            </w:hyperlink>
          </w:p>
        </w:tc>
      </w:tr>
      <w:tr w:rsidR="00D7560A" w14:paraId="59E47F94"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59E47F91" w14:textId="77777777" w:rsidR="00D7560A" w:rsidRDefault="001E3CAB">
            <w:pPr>
              <w:widowControl/>
              <w:jc w:val="left"/>
              <w:textAlignment w:val="top"/>
              <w:rPr>
                <w:rFonts w:ascii="宋体" w:eastAsia="宋体" w:hAnsi="宋体" w:cs="宋体"/>
                <w:kern w:val="0"/>
                <w:sz w:val="24"/>
              </w:rPr>
            </w:pPr>
            <w:hyperlink w:anchor="if933dd1d5d004d2495dd7029e3ecad00_166" w:history="1">
              <w:r>
                <w:rPr>
                  <w:rStyle w:val="a4"/>
                  <w:rFonts w:ascii="Times New Roman" w:eastAsia="宋体" w:hAnsi="Times New Roman" w:cs="Times New Roman"/>
                  <w:kern w:val="0"/>
                  <w:sz w:val="20"/>
                  <w:szCs w:val="20"/>
                </w:rPr>
                <w:t>Item 4.</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59E47F92" w14:textId="77777777" w:rsidR="00D7560A" w:rsidRDefault="001E3CAB">
            <w:pPr>
              <w:widowControl/>
              <w:jc w:val="left"/>
              <w:textAlignment w:val="top"/>
              <w:rPr>
                <w:rFonts w:ascii="宋体" w:eastAsia="宋体" w:hAnsi="宋体" w:cs="宋体"/>
                <w:kern w:val="0"/>
                <w:sz w:val="24"/>
              </w:rPr>
            </w:pPr>
            <w:hyperlink w:anchor="if933dd1d5d004d2495dd7029e3ecad00_166" w:history="1">
              <w:r>
                <w:rPr>
                  <w:rStyle w:val="a4"/>
                  <w:rFonts w:ascii="Times New Roman" w:eastAsia="宋体" w:hAnsi="Times New Roman" w:cs="Times New Roman"/>
                  <w:kern w:val="0"/>
                  <w:sz w:val="20"/>
                  <w:szCs w:val="20"/>
                </w:rPr>
                <w:t>Controls and Procedures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59E47F93" w14:textId="77777777" w:rsidR="00D7560A" w:rsidRDefault="001E3CAB">
            <w:pPr>
              <w:widowControl/>
              <w:jc w:val="center"/>
              <w:textAlignment w:val="top"/>
              <w:rPr>
                <w:rFonts w:ascii="宋体" w:eastAsia="宋体" w:hAnsi="宋体" w:cs="宋体"/>
                <w:kern w:val="0"/>
                <w:sz w:val="24"/>
              </w:rPr>
            </w:pPr>
            <w:hyperlink w:anchor="if933dd1d5d004d2495dd7029e3ecad00_166" w:history="1">
              <w:r>
                <w:rPr>
                  <w:rStyle w:val="a4"/>
                  <w:rFonts w:ascii="Times New Roman" w:eastAsia="宋体" w:hAnsi="Times New Roman" w:cs="Times New Roman"/>
                  <w:kern w:val="0"/>
                  <w:sz w:val="20"/>
                  <w:szCs w:val="20"/>
                </w:rPr>
                <w:t>88</w:t>
              </w:r>
            </w:hyperlink>
          </w:p>
        </w:tc>
      </w:tr>
      <w:tr w:rsidR="00D7560A" w14:paraId="59E47F96" w14:textId="77777777">
        <w:trPr>
          <w:jc w:val="center"/>
        </w:trPr>
        <w:tc>
          <w:tcPr>
            <w:tcW w:w="0" w:type="auto"/>
            <w:gridSpan w:val="9"/>
            <w:tcBorders>
              <w:top w:val="nil"/>
              <w:left w:val="nil"/>
              <w:bottom w:val="nil"/>
              <w:right w:val="nil"/>
            </w:tcBorders>
            <w:shd w:val="clear" w:color="auto" w:fill="auto"/>
            <w:tcMar>
              <w:top w:w="40" w:type="dxa"/>
              <w:left w:w="20" w:type="dxa"/>
              <w:bottom w:w="40" w:type="dxa"/>
              <w:right w:w="20" w:type="dxa"/>
            </w:tcMar>
          </w:tcPr>
          <w:p w14:paraId="59E47F95" w14:textId="77777777" w:rsidR="00D7560A" w:rsidRDefault="001E3CAB">
            <w:pPr>
              <w:widowControl/>
              <w:jc w:val="center"/>
              <w:textAlignment w:val="top"/>
              <w:rPr>
                <w:rFonts w:ascii="宋体" w:eastAsia="宋体" w:hAnsi="宋体" w:cs="宋体"/>
                <w:kern w:val="0"/>
                <w:sz w:val="24"/>
              </w:rPr>
            </w:pPr>
            <w:hyperlink w:anchor="if933dd1d5d004d2495dd7029e3ecad00_184" w:history="1">
              <w:r>
                <w:rPr>
                  <w:rStyle w:val="a4"/>
                  <w:rFonts w:ascii="Times New Roman" w:eastAsia="宋体" w:hAnsi="Times New Roman" w:cs="Times New Roman"/>
                  <w:b/>
                  <w:bCs/>
                  <w:kern w:val="0"/>
                  <w:sz w:val="20"/>
                  <w:szCs w:val="20"/>
                </w:rPr>
                <w:t>PART II — OTHER INFORMATION</w:t>
              </w:r>
            </w:hyperlink>
          </w:p>
        </w:tc>
      </w:tr>
      <w:tr w:rsidR="00D7560A" w14:paraId="59E47F9A"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59E47F97" w14:textId="77777777" w:rsidR="00D7560A" w:rsidRDefault="001E3CAB">
            <w:pPr>
              <w:widowControl/>
              <w:jc w:val="left"/>
              <w:textAlignment w:val="top"/>
              <w:rPr>
                <w:rFonts w:ascii="宋体" w:eastAsia="宋体" w:hAnsi="宋体" w:cs="宋体"/>
                <w:kern w:val="0"/>
                <w:sz w:val="24"/>
              </w:rPr>
            </w:pPr>
            <w:hyperlink w:anchor="if933dd1d5d004d2495dd7029e3ecad00_187" w:history="1">
              <w:r>
                <w:rPr>
                  <w:rStyle w:val="a4"/>
                  <w:rFonts w:ascii="Times New Roman" w:eastAsia="宋体" w:hAnsi="Times New Roman" w:cs="Times New Roman"/>
                  <w:kern w:val="0"/>
                  <w:sz w:val="20"/>
                  <w:szCs w:val="20"/>
                </w:rPr>
                <w:t>Item 1.</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59E47F98" w14:textId="77777777" w:rsidR="00D7560A" w:rsidRDefault="001E3CAB">
            <w:pPr>
              <w:widowControl/>
              <w:jc w:val="left"/>
              <w:textAlignment w:val="top"/>
              <w:rPr>
                <w:rFonts w:ascii="宋体" w:eastAsia="宋体" w:hAnsi="宋体" w:cs="宋体"/>
                <w:kern w:val="0"/>
                <w:sz w:val="24"/>
              </w:rPr>
            </w:pPr>
            <w:hyperlink w:anchor="if933dd1d5d004d2495dd7029e3ecad00_187" w:history="1">
              <w:r>
                <w:rPr>
                  <w:rStyle w:val="a4"/>
                  <w:rFonts w:ascii="Times New Roman" w:eastAsia="宋体" w:hAnsi="Times New Roman" w:cs="Times New Roman"/>
                  <w:kern w:val="0"/>
                  <w:sz w:val="20"/>
                  <w:szCs w:val="20"/>
                </w:rPr>
                <w:t>Legal Proceedings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59E47F99" w14:textId="77777777" w:rsidR="00D7560A" w:rsidRDefault="001E3CAB">
            <w:pPr>
              <w:widowControl/>
              <w:jc w:val="center"/>
              <w:textAlignment w:val="top"/>
              <w:rPr>
                <w:rFonts w:ascii="宋体" w:eastAsia="宋体" w:hAnsi="宋体" w:cs="宋体"/>
                <w:kern w:val="0"/>
                <w:sz w:val="24"/>
              </w:rPr>
            </w:pPr>
            <w:hyperlink w:anchor="if933dd1d5d004d2495dd7029e3ecad00_187" w:history="1">
              <w:r>
                <w:rPr>
                  <w:rStyle w:val="a4"/>
                  <w:rFonts w:ascii="Times New Roman" w:eastAsia="宋体" w:hAnsi="Times New Roman" w:cs="Times New Roman"/>
                  <w:kern w:val="0"/>
                  <w:sz w:val="20"/>
                  <w:szCs w:val="20"/>
                </w:rPr>
                <w:t>89</w:t>
              </w:r>
            </w:hyperlink>
          </w:p>
        </w:tc>
      </w:tr>
      <w:tr w:rsidR="00D7560A" w14:paraId="59E47F9E"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59E47F9B" w14:textId="77777777" w:rsidR="00D7560A" w:rsidRDefault="001E3CAB">
            <w:pPr>
              <w:widowControl/>
              <w:jc w:val="left"/>
              <w:textAlignment w:val="top"/>
              <w:rPr>
                <w:rFonts w:ascii="宋体" w:eastAsia="宋体" w:hAnsi="宋体" w:cs="宋体"/>
                <w:kern w:val="0"/>
                <w:sz w:val="24"/>
              </w:rPr>
            </w:pPr>
            <w:hyperlink w:anchor="if933dd1d5d004d2495dd7029e3ecad00_190" w:history="1">
              <w:r>
                <w:rPr>
                  <w:rStyle w:val="a4"/>
                  <w:rFonts w:ascii="Times New Roman" w:eastAsia="宋体" w:hAnsi="Times New Roman" w:cs="Times New Roman"/>
                  <w:kern w:val="0"/>
                  <w:sz w:val="20"/>
                  <w:szCs w:val="20"/>
                </w:rPr>
                <w:t>Item 1A.</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59E47F9C" w14:textId="77777777" w:rsidR="00D7560A" w:rsidRDefault="001E3CAB">
            <w:pPr>
              <w:widowControl/>
              <w:jc w:val="left"/>
              <w:textAlignment w:val="top"/>
              <w:rPr>
                <w:rFonts w:ascii="宋体" w:eastAsia="宋体" w:hAnsi="宋体" w:cs="宋体"/>
                <w:kern w:val="0"/>
                <w:sz w:val="24"/>
              </w:rPr>
            </w:pPr>
            <w:hyperlink w:anchor="if933dd1d5d004d2495dd7029e3ecad00_190" w:history="1">
              <w:r>
                <w:rPr>
                  <w:rStyle w:val="a4"/>
                  <w:rFonts w:ascii="Times New Roman" w:eastAsia="宋体" w:hAnsi="Times New Roman" w:cs="Times New Roman"/>
                  <w:kern w:val="0"/>
                  <w:sz w:val="20"/>
                  <w:szCs w:val="20"/>
                </w:rPr>
                <w:t>Risk Factors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59E47F9D" w14:textId="77777777" w:rsidR="00D7560A" w:rsidRDefault="001E3CAB">
            <w:pPr>
              <w:widowControl/>
              <w:jc w:val="center"/>
              <w:textAlignment w:val="top"/>
              <w:rPr>
                <w:rFonts w:ascii="宋体" w:eastAsia="宋体" w:hAnsi="宋体" w:cs="宋体"/>
                <w:kern w:val="0"/>
                <w:sz w:val="24"/>
              </w:rPr>
            </w:pPr>
            <w:hyperlink w:anchor="if933dd1d5d004d2495dd7029e3ecad00_190" w:history="1">
              <w:r>
                <w:rPr>
                  <w:rStyle w:val="a4"/>
                  <w:rFonts w:ascii="Times New Roman" w:eastAsia="宋体" w:hAnsi="Times New Roman" w:cs="Times New Roman"/>
                  <w:kern w:val="0"/>
                  <w:sz w:val="20"/>
                  <w:szCs w:val="20"/>
                </w:rPr>
                <w:t>89</w:t>
              </w:r>
            </w:hyperlink>
          </w:p>
        </w:tc>
      </w:tr>
      <w:tr w:rsidR="00D7560A" w14:paraId="59E47FA2"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59E47F9F" w14:textId="77777777" w:rsidR="00D7560A" w:rsidRDefault="001E3CAB">
            <w:pPr>
              <w:widowControl/>
              <w:jc w:val="left"/>
              <w:textAlignment w:val="top"/>
              <w:rPr>
                <w:rFonts w:ascii="宋体" w:eastAsia="宋体" w:hAnsi="宋体" w:cs="宋体"/>
                <w:kern w:val="0"/>
                <w:sz w:val="24"/>
              </w:rPr>
            </w:pPr>
            <w:hyperlink w:anchor="if933dd1d5d004d2495dd7029e3ecad00_196" w:history="1">
              <w:r>
                <w:rPr>
                  <w:rStyle w:val="a4"/>
                  <w:rFonts w:ascii="Times New Roman" w:eastAsia="宋体" w:hAnsi="Times New Roman" w:cs="Times New Roman"/>
                  <w:kern w:val="0"/>
                  <w:sz w:val="20"/>
                  <w:szCs w:val="20"/>
                </w:rPr>
                <w:t>Item 2.</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59E47FA0" w14:textId="77777777" w:rsidR="00D7560A" w:rsidRDefault="001E3CAB">
            <w:pPr>
              <w:widowControl/>
              <w:jc w:val="left"/>
              <w:textAlignment w:val="top"/>
              <w:rPr>
                <w:rFonts w:ascii="宋体" w:eastAsia="宋体" w:hAnsi="宋体" w:cs="宋体"/>
                <w:kern w:val="0"/>
                <w:sz w:val="24"/>
              </w:rPr>
            </w:pPr>
            <w:hyperlink w:anchor="if933dd1d5d004d2495dd7029e3ecad00_196" w:history="1">
              <w:r>
                <w:rPr>
                  <w:rStyle w:val="a4"/>
                  <w:rFonts w:ascii="Times New Roman" w:eastAsia="宋体" w:hAnsi="Times New Roman" w:cs="Times New Roman"/>
                  <w:kern w:val="0"/>
                  <w:sz w:val="20"/>
                  <w:szCs w:val="20"/>
                </w:rPr>
                <w:t>Unregistered Sales of Equity Securities and Use of Proceeds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59E47FA1" w14:textId="77777777" w:rsidR="00D7560A" w:rsidRDefault="001E3CAB">
            <w:pPr>
              <w:widowControl/>
              <w:jc w:val="center"/>
              <w:textAlignment w:val="top"/>
              <w:rPr>
                <w:rFonts w:ascii="宋体" w:eastAsia="宋体" w:hAnsi="宋体" w:cs="宋体"/>
                <w:kern w:val="0"/>
                <w:sz w:val="24"/>
              </w:rPr>
            </w:pPr>
            <w:hyperlink w:anchor="if933dd1d5d004d2495dd7029e3ecad00_196" w:history="1">
              <w:r>
                <w:rPr>
                  <w:rStyle w:val="a4"/>
                  <w:rFonts w:ascii="Times New Roman" w:eastAsia="宋体" w:hAnsi="Times New Roman" w:cs="Times New Roman"/>
                  <w:kern w:val="0"/>
                  <w:sz w:val="20"/>
                  <w:szCs w:val="20"/>
                </w:rPr>
                <w:t>90</w:t>
              </w:r>
            </w:hyperlink>
          </w:p>
        </w:tc>
      </w:tr>
      <w:tr w:rsidR="00D7560A" w14:paraId="59E47FA6" w14:textId="77777777">
        <w:trPr>
          <w:jc w:val="center"/>
          <w:hidden/>
        </w:trPr>
        <w:tc>
          <w:tcPr>
            <w:tcW w:w="0" w:type="auto"/>
            <w:gridSpan w:val="3"/>
            <w:tcBorders>
              <w:top w:val="nil"/>
              <w:left w:val="nil"/>
              <w:bottom w:val="nil"/>
              <w:right w:val="nil"/>
            </w:tcBorders>
            <w:shd w:val="clear" w:color="auto" w:fill="auto"/>
            <w:vAlign w:val="bottom"/>
          </w:tcPr>
          <w:p w14:paraId="59E47FA3"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7FA4"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7FA5" w14:textId="77777777" w:rsidR="00D7560A" w:rsidRDefault="00D7560A">
            <w:pPr>
              <w:widowControl/>
              <w:jc w:val="left"/>
              <w:rPr>
                <w:rFonts w:ascii="Times New Roman" w:eastAsia="宋体" w:hAnsi="宋体" w:cs="宋体"/>
                <w:vanish/>
                <w:kern w:val="0"/>
                <w:sz w:val="24"/>
              </w:rPr>
            </w:pPr>
          </w:p>
        </w:tc>
      </w:tr>
      <w:tr w:rsidR="00D7560A" w14:paraId="59E47FAA"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59E47FA7" w14:textId="77777777" w:rsidR="00D7560A" w:rsidRDefault="001E3CAB">
            <w:pPr>
              <w:widowControl/>
              <w:jc w:val="left"/>
              <w:textAlignment w:val="top"/>
              <w:rPr>
                <w:rFonts w:ascii="宋体" w:eastAsia="宋体" w:hAnsi="宋体" w:cs="宋体"/>
                <w:kern w:val="0"/>
                <w:sz w:val="24"/>
              </w:rPr>
            </w:pPr>
            <w:hyperlink w:anchor="if933dd1d5d004d2495dd7029e3ecad00_202" w:history="1">
              <w:r>
                <w:rPr>
                  <w:rStyle w:val="a4"/>
                  <w:rFonts w:ascii="Times New Roman" w:eastAsia="宋体" w:hAnsi="Times New Roman" w:cs="Times New Roman"/>
                  <w:kern w:val="0"/>
                  <w:sz w:val="20"/>
                  <w:szCs w:val="20"/>
                </w:rPr>
                <w:t>Item 6.</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59E47FA8" w14:textId="77777777" w:rsidR="00D7560A" w:rsidRDefault="001E3CAB">
            <w:pPr>
              <w:widowControl/>
              <w:jc w:val="left"/>
              <w:textAlignment w:val="top"/>
              <w:rPr>
                <w:rFonts w:ascii="宋体" w:eastAsia="宋体" w:hAnsi="宋体" w:cs="宋体"/>
                <w:kern w:val="0"/>
                <w:sz w:val="24"/>
              </w:rPr>
            </w:pPr>
            <w:hyperlink w:anchor="if933dd1d5d004d2495dd7029e3ecad00_202" w:history="1">
              <w:r>
                <w:rPr>
                  <w:rStyle w:val="a4"/>
                  <w:rFonts w:ascii="Times New Roman" w:eastAsia="宋体" w:hAnsi="Times New Roman" w:cs="Times New Roman"/>
                  <w:kern w:val="0"/>
                  <w:sz w:val="20"/>
                  <w:szCs w:val="20"/>
                </w:rPr>
                <w:t>Exhibits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59E47FA9" w14:textId="77777777" w:rsidR="00D7560A" w:rsidRDefault="001E3CAB">
            <w:pPr>
              <w:widowControl/>
              <w:jc w:val="center"/>
              <w:textAlignment w:val="top"/>
              <w:rPr>
                <w:rFonts w:ascii="宋体" w:eastAsia="宋体" w:hAnsi="宋体" w:cs="宋体"/>
                <w:kern w:val="0"/>
                <w:sz w:val="24"/>
              </w:rPr>
            </w:pPr>
            <w:hyperlink w:anchor="if933dd1d5d004d2495dd7029e3ecad00_202" w:history="1">
              <w:r>
                <w:rPr>
                  <w:rStyle w:val="a4"/>
                  <w:rFonts w:ascii="Times New Roman" w:eastAsia="宋体" w:hAnsi="Times New Roman" w:cs="Times New Roman"/>
                  <w:kern w:val="0"/>
                  <w:sz w:val="20"/>
                  <w:szCs w:val="20"/>
                </w:rPr>
                <w:t>91</w:t>
              </w:r>
            </w:hyperlink>
          </w:p>
        </w:tc>
      </w:tr>
      <w:tr w:rsidR="00D7560A" w14:paraId="59E47FAE"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59E47FAB" w14:textId="77777777" w:rsidR="00D7560A" w:rsidRDefault="001E3CAB">
            <w:pPr>
              <w:widowControl/>
              <w:jc w:val="left"/>
              <w:textAlignment w:val="top"/>
              <w:rPr>
                <w:rFonts w:ascii="宋体" w:eastAsia="宋体" w:hAnsi="宋体" w:cs="宋体"/>
                <w:kern w:val="0"/>
                <w:sz w:val="24"/>
              </w:rPr>
            </w:pPr>
            <w:hyperlink w:anchor="if933dd1d5d004d2495dd7029e3ecad00_244" w:history="1">
              <w:r>
                <w:rPr>
                  <w:rStyle w:val="a4"/>
                  <w:rFonts w:ascii="Times New Roman" w:eastAsia="宋体" w:hAnsi="Times New Roman" w:cs="Times New Roman"/>
                  <w:kern w:val="0"/>
                  <w:sz w:val="20"/>
                  <w:szCs w:val="20"/>
                </w:rPr>
                <w:t>Signatures</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7FAC"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59E47FAD" w14:textId="77777777" w:rsidR="00D7560A" w:rsidRDefault="001E3CAB">
            <w:pPr>
              <w:widowControl/>
              <w:jc w:val="center"/>
              <w:textAlignment w:val="top"/>
              <w:rPr>
                <w:rFonts w:ascii="宋体" w:eastAsia="宋体" w:hAnsi="宋体" w:cs="宋体"/>
                <w:kern w:val="0"/>
                <w:sz w:val="24"/>
              </w:rPr>
            </w:pPr>
            <w:hyperlink w:anchor="if933dd1d5d004d2495dd7029e3ecad00_244" w:history="1">
              <w:r>
                <w:rPr>
                  <w:rStyle w:val="a4"/>
                  <w:rFonts w:ascii="Times New Roman" w:eastAsia="宋体" w:hAnsi="Times New Roman" w:cs="Times New Roman"/>
                  <w:kern w:val="0"/>
                  <w:sz w:val="20"/>
                  <w:szCs w:val="20"/>
                </w:rPr>
                <w:t>92</w:t>
              </w:r>
            </w:hyperlink>
          </w:p>
        </w:tc>
      </w:tr>
    </w:tbl>
    <w:p w14:paraId="59E47FAF"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7FB0"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7FB1"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3</w:t>
      </w:r>
    </w:p>
    <w:p w14:paraId="59E47FB2"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7FB3" w14:textId="77777777" w:rsidR="00D7560A" w:rsidRDefault="001E3CAB">
      <w:pPr>
        <w:widowControl/>
        <w:jc w:val="center"/>
      </w:pPr>
      <w:r>
        <w:rPr>
          <w:rFonts w:ascii="宋体" w:eastAsia="宋体" w:hAnsi="宋体" w:cs="宋体"/>
          <w:kern w:val="0"/>
          <w:sz w:val="24"/>
        </w:rPr>
        <w:pict w14:anchorId="59E4C7CE">
          <v:rect id="_x0000_i1027" style="width:6in;height:1.5pt" o:hralign="center" o:hrstd="t" o:hr="t" fillcolor="#a0a0a0" stroked="f"/>
        </w:pict>
      </w:r>
    </w:p>
    <w:p w14:paraId="59E47FB4" w14:textId="77777777" w:rsidR="00D7560A" w:rsidRDefault="001E3CAB">
      <w:pPr>
        <w:widowControl/>
        <w:jc w:val="left"/>
        <w:rPr>
          <w:rFonts w:ascii="宋体" w:eastAsia="宋体" w:hAnsi="宋体" w:cs="宋体"/>
          <w:kern w:val="0"/>
          <w:sz w:val="24"/>
        </w:rPr>
      </w:pPr>
      <w:hyperlink w:anchor="if933dd1d5d004d2495dd7029e3ecad00_13" w:history="1">
        <w:r>
          <w:rPr>
            <w:rStyle w:val="a4"/>
            <w:rFonts w:ascii="Times New Roman" w:eastAsia="宋体" w:hAnsi="Times New Roman" w:cs="Times New Roman"/>
            <w:sz w:val="20"/>
            <w:szCs w:val="20"/>
          </w:rPr>
          <w:t>Table of Contents</w:t>
        </w:r>
      </w:hyperlink>
    </w:p>
    <w:p w14:paraId="59E47FB5"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7FB6"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PART I — FINANCIAL INFORMATION</w:t>
      </w:r>
    </w:p>
    <w:p w14:paraId="59E47FB7"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7FB8"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 xml:space="preserve">ITEM 1 </w:t>
      </w:r>
      <w:r>
        <w:rPr>
          <w:rFonts w:ascii="Times New Roman" w:eastAsia="宋体" w:hAnsi="Times New Roman" w:cs="Times New Roman"/>
          <w:b/>
          <w:bCs/>
          <w:i/>
          <w:iCs/>
          <w:color w:val="000000"/>
          <w:kern w:val="0"/>
          <w:sz w:val="20"/>
          <w:szCs w:val="20"/>
          <w:lang w:bidi="ar"/>
        </w:rPr>
        <w:t>—</w:t>
      </w:r>
      <w:r>
        <w:rPr>
          <w:rFonts w:ascii="Times New Roman" w:eastAsia="宋体" w:hAnsi="Times New Roman" w:cs="Times New Roman"/>
          <w:b/>
          <w:bCs/>
          <w:color w:val="000000"/>
          <w:kern w:val="0"/>
          <w:sz w:val="20"/>
          <w:szCs w:val="20"/>
          <w:lang w:bidi="ar"/>
        </w:rPr>
        <w:t xml:space="preserve"> FINANCIAL STATEMENTS (UNAUDITED)</w:t>
      </w:r>
    </w:p>
    <w:p w14:paraId="59E47FB9"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7FBA"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Index</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7537"/>
        <w:gridCol w:w="37"/>
        <w:gridCol w:w="69"/>
        <w:gridCol w:w="588"/>
        <w:gridCol w:w="36"/>
      </w:tblGrid>
      <w:tr w:rsidR="00D7560A" w14:paraId="59E47FC1" w14:textId="77777777">
        <w:trPr>
          <w:jc w:val="center"/>
        </w:trPr>
        <w:tc>
          <w:tcPr>
            <w:tcW w:w="50" w:type="pct"/>
            <w:tcBorders>
              <w:top w:val="nil"/>
              <w:left w:val="nil"/>
              <w:bottom w:val="nil"/>
              <w:right w:val="nil"/>
            </w:tcBorders>
            <w:shd w:val="clear" w:color="auto" w:fill="auto"/>
            <w:vAlign w:val="bottom"/>
          </w:tcPr>
          <w:p w14:paraId="59E47FBB" w14:textId="77777777" w:rsidR="00D7560A" w:rsidRDefault="00D7560A">
            <w:pPr>
              <w:widowControl/>
              <w:jc w:val="left"/>
              <w:rPr>
                <w:rFonts w:ascii="Times New Roman" w:eastAsia="宋体" w:hAnsi="宋体" w:cs="宋体"/>
                <w:kern w:val="0"/>
                <w:sz w:val="24"/>
              </w:rPr>
            </w:pPr>
          </w:p>
        </w:tc>
        <w:tc>
          <w:tcPr>
            <w:tcW w:w="4528" w:type="pct"/>
            <w:tcBorders>
              <w:top w:val="nil"/>
              <w:left w:val="nil"/>
              <w:bottom w:val="nil"/>
              <w:right w:val="nil"/>
            </w:tcBorders>
            <w:shd w:val="clear" w:color="auto" w:fill="auto"/>
            <w:vAlign w:val="bottom"/>
          </w:tcPr>
          <w:p w14:paraId="59E47FBC"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7FBD"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7FBE" w14:textId="77777777" w:rsidR="00D7560A" w:rsidRDefault="00D7560A">
            <w:pPr>
              <w:widowControl/>
              <w:jc w:val="left"/>
              <w:rPr>
                <w:rFonts w:ascii="Times New Roman" w:eastAsia="宋体" w:hAnsi="宋体" w:cs="宋体"/>
                <w:kern w:val="0"/>
                <w:sz w:val="24"/>
              </w:rPr>
            </w:pPr>
          </w:p>
        </w:tc>
        <w:tc>
          <w:tcPr>
            <w:tcW w:w="361" w:type="pct"/>
            <w:tcBorders>
              <w:top w:val="nil"/>
              <w:left w:val="nil"/>
              <w:bottom w:val="nil"/>
              <w:right w:val="nil"/>
            </w:tcBorders>
            <w:shd w:val="clear" w:color="auto" w:fill="auto"/>
            <w:vAlign w:val="bottom"/>
          </w:tcPr>
          <w:p w14:paraId="59E47FBF"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7FC0" w14:textId="77777777" w:rsidR="00D7560A" w:rsidRDefault="00D7560A">
            <w:pPr>
              <w:widowControl/>
              <w:jc w:val="left"/>
              <w:rPr>
                <w:rFonts w:ascii="Times New Roman" w:eastAsia="宋体" w:hAnsi="宋体" w:cs="宋体"/>
                <w:kern w:val="0"/>
                <w:sz w:val="24"/>
              </w:rPr>
            </w:pPr>
          </w:p>
        </w:tc>
      </w:tr>
      <w:tr w:rsidR="00D7560A" w14:paraId="59E47FC4"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7FC2"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9E47FC3"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Page</w:t>
            </w:r>
          </w:p>
        </w:tc>
      </w:tr>
      <w:tr w:rsidR="00D7560A" w14:paraId="59E47FC7"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9E47FC5" w14:textId="77777777" w:rsidR="00D7560A" w:rsidRDefault="001E3CAB">
            <w:pPr>
              <w:widowControl/>
              <w:jc w:val="left"/>
              <w:textAlignment w:val="bottom"/>
              <w:rPr>
                <w:rFonts w:ascii="宋体" w:eastAsia="宋体" w:hAnsi="宋体" w:cs="宋体"/>
                <w:kern w:val="0"/>
                <w:sz w:val="24"/>
              </w:rPr>
            </w:pPr>
            <w:hyperlink w:anchor="if933dd1d5d004d2495dd7029e3ecad00_25" w:history="1">
              <w:r>
                <w:rPr>
                  <w:rStyle w:val="a4"/>
                  <w:rFonts w:ascii="Times New Roman" w:eastAsia="宋体" w:hAnsi="Times New Roman" w:cs="Times New Roman"/>
                  <w:kern w:val="0"/>
                  <w:sz w:val="20"/>
                  <w:szCs w:val="20"/>
                </w:rPr>
                <w:t xml:space="preserve">Condensed Consolidated Statements of Financial Position as of </w:t>
              </w:r>
            </w:hyperlink>
            <w:hyperlink w:anchor="if933dd1d5d004d2495dd7029e3ecad00_25" w:history="1">
              <w:r>
                <w:rPr>
                  <w:rStyle w:val="a4"/>
                  <w:rFonts w:ascii="Times New Roman" w:eastAsia="宋体" w:hAnsi="Times New Roman" w:cs="Times New Roman"/>
                  <w:kern w:val="0"/>
                  <w:sz w:val="20"/>
                  <w:szCs w:val="20"/>
                </w:rPr>
                <w:t>July</w:t>
              </w:r>
            </w:hyperlink>
            <w:hyperlink w:anchor="if933dd1d5d004d2495dd7029e3ecad00_25" w:history="1">
              <w:r>
                <w:rPr>
                  <w:rStyle w:val="a4"/>
                  <w:rFonts w:ascii="Times New Roman" w:eastAsia="宋体" w:hAnsi="Times New Roman" w:cs="Times New Roman"/>
                  <w:kern w:val="0"/>
                  <w:sz w:val="20"/>
                  <w:szCs w:val="20"/>
                </w:rPr>
                <w:t> </w:t>
              </w:r>
              <w:r>
                <w:rPr>
                  <w:rStyle w:val="a4"/>
                  <w:rFonts w:ascii="Times New Roman" w:eastAsia="宋体" w:hAnsi="Times New Roman" w:cs="Times New Roman"/>
                  <w:kern w:val="0"/>
                  <w:sz w:val="20"/>
                  <w:szCs w:val="20"/>
                </w:rPr>
                <w:t>29, 2022 and January 28, 2022</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9E47FC6" w14:textId="77777777" w:rsidR="00D7560A" w:rsidRDefault="001E3CAB">
            <w:pPr>
              <w:widowControl/>
              <w:jc w:val="center"/>
              <w:textAlignment w:val="bottom"/>
              <w:rPr>
                <w:rFonts w:ascii="宋体" w:eastAsia="宋体" w:hAnsi="宋体" w:cs="宋体"/>
                <w:kern w:val="0"/>
                <w:sz w:val="24"/>
              </w:rPr>
            </w:pPr>
            <w:hyperlink w:anchor="if933dd1d5d004d2495dd7029e3ecad00_25" w:history="1">
              <w:r>
                <w:rPr>
                  <w:rStyle w:val="a4"/>
                  <w:rFonts w:ascii="Times New Roman" w:eastAsia="宋体" w:hAnsi="Times New Roman" w:cs="Times New Roman"/>
                  <w:kern w:val="0"/>
                  <w:sz w:val="20"/>
                  <w:szCs w:val="20"/>
                </w:rPr>
                <w:t>5</w:t>
              </w:r>
            </w:hyperlink>
          </w:p>
        </w:tc>
      </w:tr>
      <w:tr w:rsidR="00D7560A" w14:paraId="59E47FCA"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9E47FC8" w14:textId="77777777" w:rsidR="00D7560A" w:rsidRDefault="001E3CAB">
            <w:pPr>
              <w:widowControl/>
              <w:jc w:val="left"/>
              <w:textAlignment w:val="bottom"/>
              <w:rPr>
                <w:rFonts w:ascii="宋体" w:eastAsia="宋体" w:hAnsi="宋体" w:cs="宋体"/>
                <w:kern w:val="0"/>
                <w:sz w:val="24"/>
              </w:rPr>
            </w:pPr>
            <w:hyperlink w:anchor="if933dd1d5d004d2495dd7029e3ecad00_28" w:history="1">
              <w:r>
                <w:rPr>
                  <w:rStyle w:val="a4"/>
                  <w:rFonts w:ascii="Times New Roman" w:eastAsia="宋体" w:hAnsi="Times New Roman" w:cs="Times New Roman"/>
                  <w:kern w:val="0"/>
                  <w:sz w:val="20"/>
                  <w:szCs w:val="20"/>
                </w:rPr>
                <w:t>Condensed Consolidated Statements of Income for the three</w:t>
              </w:r>
            </w:hyperlink>
            <w:hyperlink w:anchor="if933dd1d5d004d2495dd7029e3ecad00_28" w:history="1">
              <w:r>
                <w:rPr>
                  <w:rStyle w:val="a4"/>
                  <w:rFonts w:ascii="Times New Roman" w:eastAsia="宋体" w:hAnsi="Times New Roman" w:cs="Times New Roman"/>
                  <w:kern w:val="0"/>
                  <w:sz w:val="20"/>
                  <w:szCs w:val="20"/>
                </w:rPr>
                <w:t> </w:t>
              </w:r>
              <w:r>
                <w:rPr>
                  <w:rStyle w:val="a4"/>
                  <w:rFonts w:ascii="Times New Roman" w:eastAsia="宋体" w:hAnsi="Times New Roman" w:cs="Times New Roman"/>
                  <w:kern w:val="0"/>
                  <w:sz w:val="20"/>
                  <w:szCs w:val="20"/>
                </w:rPr>
                <w:t>and six</w:t>
              </w:r>
            </w:hyperlink>
            <w:hyperlink w:anchor="if933dd1d5d004d2495dd7029e3ecad00_28" w:history="1">
              <w:r>
                <w:rPr>
                  <w:rStyle w:val="a4"/>
                  <w:rFonts w:ascii="Times New Roman" w:eastAsia="宋体" w:hAnsi="Times New Roman" w:cs="Times New Roman"/>
                  <w:kern w:val="0"/>
                  <w:sz w:val="20"/>
                  <w:szCs w:val="20"/>
                </w:rPr>
                <w:t> </w:t>
              </w:r>
              <w:r>
                <w:rPr>
                  <w:rStyle w:val="a4"/>
                  <w:rFonts w:ascii="Times New Roman" w:eastAsia="宋体" w:hAnsi="Times New Roman" w:cs="Times New Roman"/>
                  <w:kern w:val="0"/>
                  <w:sz w:val="20"/>
                  <w:szCs w:val="20"/>
                </w:rPr>
                <w:t xml:space="preserve">months ended </w:t>
              </w:r>
            </w:hyperlink>
            <w:hyperlink w:anchor="if933dd1d5d004d2495dd7029e3ecad00_25" w:history="1">
              <w:r>
                <w:rPr>
                  <w:rStyle w:val="a4"/>
                  <w:rFonts w:ascii="Times New Roman" w:eastAsia="宋体" w:hAnsi="Times New Roman" w:cs="Times New Roman"/>
                  <w:kern w:val="0"/>
                  <w:sz w:val="20"/>
                  <w:szCs w:val="20"/>
                </w:rPr>
                <w:t>July 29, 2022</w:t>
              </w:r>
            </w:hyperlink>
            <w:hyperlink w:anchor="if933dd1d5d004d2495dd7029e3ecad00_28" w:history="1">
              <w:r>
                <w:rPr>
                  <w:rStyle w:val="a4"/>
                  <w:rFonts w:ascii="Times New Roman" w:eastAsia="宋体" w:hAnsi="Times New Roman" w:cs="Times New Roman"/>
                  <w:kern w:val="0"/>
                  <w:sz w:val="20"/>
                  <w:szCs w:val="20"/>
                </w:rPr>
                <w:t> </w:t>
              </w:r>
              <w:r>
                <w:rPr>
                  <w:rStyle w:val="a4"/>
                  <w:rFonts w:ascii="Times New Roman" w:eastAsia="宋体" w:hAnsi="Times New Roman" w:cs="Times New Roman"/>
                  <w:kern w:val="0"/>
                  <w:sz w:val="20"/>
                  <w:szCs w:val="20"/>
                </w:rPr>
                <w:t xml:space="preserve">and </w:t>
              </w:r>
            </w:hyperlink>
            <w:hyperlink w:anchor="if933dd1d5d004d2495dd7029e3ecad00_28" w:history="1">
              <w:r>
                <w:rPr>
                  <w:rStyle w:val="a4"/>
                  <w:rFonts w:ascii="Times New Roman" w:eastAsia="宋体" w:hAnsi="Times New Roman" w:cs="Times New Roman"/>
                  <w:kern w:val="0"/>
                  <w:sz w:val="20"/>
                  <w:szCs w:val="20"/>
                </w:rPr>
                <w:t>July</w:t>
              </w:r>
            </w:hyperlink>
            <w:hyperlink w:anchor="if933dd1d5d004d2495dd7029e3ecad00_28" w:history="1">
              <w:r>
                <w:rPr>
                  <w:rStyle w:val="a4"/>
                  <w:rFonts w:ascii="Times New Roman" w:eastAsia="宋体" w:hAnsi="Times New Roman" w:cs="Times New Roman"/>
                  <w:kern w:val="0"/>
                  <w:sz w:val="20"/>
                  <w:szCs w:val="20"/>
                </w:rPr>
                <w:t> </w:t>
              </w:r>
              <w:r>
                <w:rPr>
                  <w:rStyle w:val="a4"/>
                  <w:rFonts w:ascii="Times New Roman" w:eastAsia="宋体" w:hAnsi="Times New Roman" w:cs="Times New Roman"/>
                  <w:kern w:val="0"/>
                  <w:sz w:val="20"/>
                  <w:szCs w:val="20"/>
                </w:rPr>
                <w:t>30, 2021</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9E47FC9" w14:textId="77777777" w:rsidR="00D7560A" w:rsidRDefault="001E3CAB">
            <w:pPr>
              <w:widowControl/>
              <w:jc w:val="center"/>
              <w:textAlignment w:val="bottom"/>
              <w:rPr>
                <w:rFonts w:ascii="宋体" w:eastAsia="宋体" w:hAnsi="宋体" w:cs="宋体"/>
                <w:kern w:val="0"/>
                <w:sz w:val="24"/>
              </w:rPr>
            </w:pPr>
            <w:hyperlink w:anchor="if933dd1d5d004d2495dd7029e3ecad00_28" w:history="1">
              <w:r>
                <w:rPr>
                  <w:rStyle w:val="a4"/>
                  <w:rFonts w:ascii="Times New Roman" w:eastAsia="宋体" w:hAnsi="Times New Roman" w:cs="Times New Roman"/>
                  <w:kern w:val="0"/>
                  <w:sz w:val="20"/>
                  <w:szCs w:val="20"/>
                </w:rPr>
                <w:t>6</w:t>
              </w:r>
            </w:hyperlink>
          </w:p>
        </w:tc>
      </w:tr>
      <w:tr w:rsidR="00D7560A" w14:paraId="59E47FCD"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9E47FCB" w14:textId="77777777" w:rsidR="00D7560A" w:rsidRDefault="001E3CAB">
            <w:pPr>
              <w:widowControl/>
              <w:jc w:val="left"/>
              <w:textAlignment w:val="bottom"/>
              <w:rPr>
                <w:rFonts w:ascii="宋体" w:eastAsia="宋体" w:hAnsi="宋体" w:cs="宋体"/>
                <w:kern w:val="0"/>
                <w:sz w:val="24"/>
              </w:rPr>
            </w:pPr>
            <w:hyperlink w:anchor="if933dd1d5d004d2495dd7029e3ecad00_34" w:history="1">
              <w:r>
                <w:rPr>
                  <w:rStyle w:val="a4"/>
                  <w:rFonts w:ascii="Times New Roman" w:eastAsia="宋体" w:hAnsi="Times New Roman" w:cs="Times New Roman"/>
                  <w:kern w:val="0"/>
                  <w:sz w:val="20"/>
                  <w:szCs w:val="20"/>
                </w:rPr>
                <w:t>Condensed Consolidated Statements of Comprehensive Income for the three</w:t>
              </w:r>
            </w:hyperlink>
            <w:hyperlink w:anchor="if933dd1d5d004d2495dd7029e3ecad00_34" w:history="1">
              <w:r>
                <w:rPr>
                  <w:rStyle w:val="a4"/>
                  <w:rFonts w:ascii="Times New Roman" w:eastAsia="宋体" w:hAnsi="Times New Roman" w:cs="Times New Roman"/>
                  <w:kern w:val="0"/>
                  <w:sz w:val="20"/>
                  <w:szCs w:val="20"/>
                </w:rPr>
                <w:t> </w:t>
              </w:r>
              <w:r>
                <w:rPr>
                  <w:rStyle w:val="a4"/>
                  <w:rFonts w:ascii="Times New Roman" w:eastAsia="宋体" w:hAnsi="Times New Roman" w:cs="Times New Roman"/>
                  <w:kern w:val="0"/>
                  <w:sz w:val="20"/>
                  <w:szCs w:val="20"/>
                </w:rPr>
                <w:t>and six</w:t>
              </w:r>
            </w:hyperlink>
            <w:hyperlink w:anchor="if933dd1d5d004d2495dd7029e3ecad00_34" w:history="1">
              <w:r>
                <w:rPr>
                  <w:rStyle w:val="a4"/>
                  <w:rFonts w:ascii="Times New Roman" w:eastAsia="宋体" w:hAnsi="Times New Roman" w:cs="Times New Roman"/>
                  <w:kern w:val="0"/>
                  <w:sz w:val="20"/>
                  <w:szCs w:val="20"/>
                </w:rPr>
                <w:t> </w:t>
              </w:r>
              <w:r>
                <w:rPr>
                  <w:rStyle w:val="a4"/>
                  <w:rFonts w:ascii="Times New Roman" w:eastAsia="宋体" w:hAnsi="Times New Roman" w:cs="Times New Roman"/>
                  <w:kern w:val="0"/>
                  <w:sz w:val="20"/>
                  <w:szCs w:val="20"/>
                </w:rPr>
                <w:t xml:space="preserve">months ended </w:t>
              </w:r>
            </w:hyperlink>
            <w:hyperlink w:anchor="if933dd1d5d004d2495dd7029e3ecad00_25" w:history="1">
              <w:r>
                <w:rPr>
                  <w:rStyle w:val="a4"/>
                  <w:rFonts w:ascii="Times New Roman" w:eastAsia="宋体" w:hAnsi="Times New Roman" w:cs="Times New Roman"/>
                  <w:kern w:val="0"/>
                  <w:sz w:val="20"/>
                  <w:szCs w:val="20"/>
                </w:rPr>
                <w:t>July 29, 2022</w:t>
              </w:r>
            </w:hyperlink>
            <w:hyperlink w:anchor="if933dd1d5d004d2495dd7029e3ecad00_34" w:history="1">
              <w:r>
                <w:rPr>
                  <w:rStyle w:val="a4"/>
                  <w:rFonts w:ascii="Times New Roman" w:eastAsia="宋体" w:hAnsi="Times New Roman" w:cs="Times New Roman"/>
                  <w:kern w:val="0"/>
                  <w:sz w:val="20"/>
                  <w:szCs w:val="20"/>
                </w:rPr>
                <w:t> </w:t>
              </w:r>
              <w:r>
                <w:rPr>
                  <w:rStyle w:val="a4"/>
                  <w:rFonts w:ascii="Times New Roman" w:eastAsia="宋体" w:hAnsi="Times New Roman" w:cs="Times New Roman"/>
                  <w:kern w:val="0"/>
                  <w:sz w:val="20"/>
                  <w:szCs w:val="20"/>
                </w:rPr>
                <w:t xml:space="preserve">and </w:t>
              </w:r>
            </w:hyperlink>
            <w:hyperlink w:anchor="if933dd1d5d004d2495dd7029e3ecad00_28" w:history="1">
              <w:r>
                <w:rPr>
                  <w:rStyle w:val="a4"/>
                  <w:rFonts w:ascii="Times New Roman" w:eastAsia="宋体" w:hAnsi="Times New Roman" w:cs="Times New Roman"/>
                  <w:kern w:val="0"/>
                  <w:sz w:val="20"/>
                  <w:szCs w:val="20"/>
                </w:rPr>
                <w:t>July 30, 2021</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9E47FCC" w14:textId="77777777" w:rsidR="00D7560A" w:rsidRDefault="001E3CAB">
            <w:pPr>
              <w:widowControl/>
              <w:jc w:val="center"/>
              <w:textAlignment w:val="bottom"/>
              <w:rPr>
                <w:rFonts w:ascii="宋体" w:eastAsia="宋体" w:hAnsi="宋体" w:cs="宋体"/>
                <w:kern w:val="0"/>
                <w:sz w:val="24"/>
              </w:rPr>
            </w:pPr>
            <w:hyperlink w:anchor="if933dd1d5d004d2495dd7029e3ecad00_34" w:history="1">
              <w:r>
                <w:rPr>
                  <w:rStyle w:val="a4"/>
                  <w:rFonts w:ascii="Times New Roman" w:eastAsia="宋体" w:hAnsi="Times New Roman" w:cs="Times New Roman"/>
                  <w:kern w:val="0"/>
                  <w:sz w:val="20"/>
                  <w:szCs w:val="20"/>
                </w:rPr>
                <w:t>7</w:t>
              </w:r>
            </w:hyperlink>
          </w:p>
        </w:tc>
      </w:tr>
      <w:tr w:rsidR="00D7560A" w14:paraId="59E47FD0"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9E47FCE" w14:textId="77777777" w:rsidR="00D7560A" w:rsidRDefault="001E3CAB">
            <w:pPr>
              <w:widowControl/>
              <w:jc w:val="left"/>
              <w:textAlignment w:val="bottom"/>
              <w:rPr>
                <w:rFonts w:ascii="宋体" w:eastAsia="宋体" w:hAnsi="宋体" w:cs="宋体"/>
                <w:kern w:val="0"/>
                <w:sz w:val="24"/>
              </w:rPr>
            </w:pPr>
            <w:hyperlink w:anchor="if933dd1d5d004d2495dd7029e3ecad00_37" w:history="1">
              <w:r>
                <w:rPr>
                  <w:rStyle w:val="a4"/>
                  <w:rFonts w:ascii="Times New Roman" w:eastAsia="宋体" w:hAnsi="Times New Roman" w:cs="Times New Roman"/>
                  <w:kern w:val="0"/>
                  <w:sz w:val="20"/>
                  <w:szCs w:val="20"/>
                </w:rPr>
                <w:t>Condensed Consolidated Statements of Cash Flo</w:t>
              </w:r>
              <w:r>
                <w:rPr>
                  <w:rStyle w:val="a4"/>
                  <w:rFonts w:ascii="Times New Roman" w:eastAsia="宋体" w:hAnsi="Times New Roman" w:cs="Times New Roman"/>
                  <w:kern w:val="0"/>
                  <w:sz w:val="20"/>
                  <w:szCs w:val="20"/>
                </w:rPr>
                <w:t xml:space="preserve">ws for the </w:t>
              </w:r>
            </w:hyperlink>
            <w:hyperlink w:anchor="if933dd1d5d004d2495dd7029e3ecad00_37" w:history="1">
              <w:r>
                <w:rPr>
                  <w:rStyle w:val="a4"/>
                  <w:rFonts w:ascii="Times New Roman" w:eastAsia="宋体" w:hAnsi="Times New Roman" w:cs="Times New Roman"/>
                  <w:kern w:val="0"/>
                  <w:sz w:val="20"/>
                  <w:szCs w:val="20"/>
                </w:rPr>
                <w:t>six</w:t>
              </w:r>
            </w:hyperlink>
            <w:hyperlink w:anchor="if933dd1d5d004d2495dd7029e3ecad00_37" w:history="1">
              <w:r>
                <w:rPr>
                  <w:rStyle w:val="a4"/>
                  <w:rFonts w:ascii="Times New Roman" w:eastAsia="宋体" w:hAnsi="Times New Roman" w:cs="Times New Roman"/>
                  <w:kern w:val="0"/>
                  <w:sz w:val="20"/>
                  <w:szCs w:val="20"/>
                </w:rPr>
                <w:t> </w:t>
              </w:r>
              <w:r>
                <w:rPr>
                  <w:rStyle w:val="a4"/>
                  <w:rFonts w:ascii="Times New Roman" w:eastAsia="宋体" w:hAnsi="Times New Roman" w:cs="Times New Roman"/>
                  <w:kern w:val="0"/>
                  <w:sz w:val="20"/>
                  <w:szCs w:val="20"/>
                </w:rPr>
                <w:t xml:space="preserve">months ended </w:t>
              </w:r>
            </w:hyperlink>
            <w:hyperlink w:anchor="if933dd1d5d004d2495dd7029e3ecad00_25" w:history="1">
              <w:r>
                <w:rPr>
                  <w:rStyle w:val="a4"/>
                  <w:rFonts w:ascii="Times New Roman" w:eastAsia="宋体" w:hAnsi="Times New Roman" w:cs="Times New Roman"/>
                  <w:kern w:val="0"/>
                  <w:sz w:val="20"/>
                  <w:szCs w:val="20"/>
                </w:rPr>
                <w:t>July 29, 2022</w:t>
              </w:r>
            </w:hyperlink>
            <w:hyperlink w:anchor="if933dd1d5d004d2495dd7029e3ecad00_37" w:history="1">
              <w:r>
                <w:rPr>
                  <w:rStyle w:val="a4"/>
                  <w:rFonts w:ascii="Times New Roman" w:eastAsia="宋体" w:hAnsi="Times New Roman" w:cs="Times New Roman"/>
                  <w:kern w:val="0"/>
                  <w:sz w:val="20"/>
                  <w:szCs w:val="20"/>
                </w:rPr>
                <w:t> </w:t>
              </w:r>
              <w:r>
                <w:rPr>
                  <w:rStyle w:val="a4"/>
                  <w:rFonts w:ascii="Times New Roman" w:eastAsia="宋体" w:hAnsi="Times New Roman" w:cs="Times New Roman"/>
                  <w:kern w:val="0"/>
                  <w:sz w:val="20"/>
                  <w:szCs w:val="20"/>
                </w:rPr>
                <w:t xml:space="preserve">and </w:t>
              </w:r>
            </w:hyperlink>
            <w:hyperlink w:anchor="if933dd1d5d004d2495dd7029e3ecad00_28" w:history="1">
              <w:r>
                <w:rPr>
                  <w:rStyle w:val="a4"/>
                  <w:rFonts w:ascii="Times New Roman" w:eastAsia="宋体" w:hAnsi="Times New Roman" w:cs="Times New Roman"/>
                  <w:kern w:val="0"/>
                  <w:sz w:val="20"/>
                  <w:szCs w:val="20"/>
                </w:rPr>
                <w:t>July 30, 2021</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9E47FCF" w14:textId="77777777" w:rsidR="00D7560A" w:rsidRDefault="001E3CAB">
            <w:pPr>
              <w:widowControl/>
              <w:jc w:val="center"/>
              <w:textAlignment w:val="bottom"/>
              <w:rPr>
                <w:rFonts w:ascii="宋体" w:eastAsia="宋体" w:hAnsi="宋体" w:cs="宋体"/>
                <w:kern w:val="0"/>
                <w:sz w:val="24"/>
              </w:rPr>
            </w:pPr>
            <w:hyperlink w:anchor="if933dd1d5d004d2495dd7029e3ecad00_37" w:history="1">
              <w:r>
                <w:rPr>
                  <w:rStyle w:val="a4"/>
                  <w:rFonts w:ascii="Times New Roman" w:eastAsia="宋体" w:hAnsi="Times New Roman" w:cs="Times New Roman"/>
                  <w:kern w:val="0"/>
                  <w:sz w:val="20"/>
                  <w:szCs w:val="20"/>
                </w:rPr>
                <w:t>8</w:t>
              </w:r>
            </w:hyperlink>
          </w:p>
        </w:tc>
      </w:tr>
      <w:tr w:rsidR="00D7560A" w14:paraId="59E47FD3"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9E47FD1" w14:textId="77777777" w:rsidR="00D7560A" w:rsidRDefault="001E3CAB">
            <w:pPr>
              <w:widowControl/>
              <w:jc w:val="left"/>
              <w:textAlignment w:val="bottom"/>
              <w:rPr>
                <w:rFonts w:ascii="宋体" w:eastAsia="宋体" w:hAnsi="宋体" w:cs="宋体"/>
                <w:kern w:val="0"/>
                <w:sz w:val="24"/>
              </w:rPr>
            </w:pPr>
            <w:hyperlink w:anchor="if933dd1d5d004d2495dd7029e3ecad00_40" w:history="1">
              <w:r>
                <w:rPr>
                  <w:rStyle w:val="a4"/>
                  <w:rFonts w:ascii="Times New Roman" w:eastAsia="宋体" w:hAnsi="Times New Roman" w:cs="Times New Roman"/>
                  <w:kern w:val="0"/>
                  <w:sz w:val="20"/>
                  <w:szCs w:val="20"/>
                </w:rPr>
                <w:t xml:space="preserve">Condensed Consolidated Statements of Stockholders’ Equity (Deficit) for the three </w:t>
              </w:r>
            </w:hyperlink>
            <w:hyperlink w:anchor="if933dd1d5d004d2495dd7029e3ecad00_40" w:history="1">
              <w:r>
                <w:rPr>
                  <w:rStyle w:val="a4"/>
                  <w:rFonts w:ascii="Times New Roman" w:eastAsia="宋体" w:hAnsi="Times New Roman" w:cs="Times New Roman"/>
                  <w:kern w:val="0"/>
                  <w:sz w:val="20"/>
                  <w:szCs w:val="20"/>
                </w:rPr>
                <w:t xml:space="preserve">and six </w:t>
              </w:r>
            </w:hyperlink>
            <w:hyperlink w:anchor="if933dd1d5d004d2495dd7029e3ecad00_40" w:history="1">
              <w:r>
                <w:rPr>
                  <w:rStyle w:val="a4"/>
                  <w:rFonts w:ascii="Times New Roman" w:eastAsia="宋体" w:hAnsi="Times New Roman" w:cs="Times New Roman"/>
                  <w:kern w:val="0"/>
                  <w:sz w:val="20"/>
                  <w:szCs w:val="20"/>
                </w:rPr>
                <w:t xml:space="preserve">months ended </w:t>
              </w:r>
            </w:hyperlink>
            <w:hyperlink w:anchor="if933dd1d5d004d2495dd7029e3ecad00_25" w:history="1">
              <w:r>
                <w:rPr>
                  <w:rStyle w:val="a4"/>
                  <w:rFonts w:ascii="Times New Roman" w:eastAsia="宋体" w:hAnsi="Times New Roman" w:cs="Times New Roman"/>
                  <w:kern w:val="0"/>
                  <w:sz w:val="20"/>
                  <w:szCs w:val="20"/>
                </w:rPr>
                <w:t>July 29, 2022</w:t>
              </w:r>
            </w:hyperlink>
            <w:hyperlink w:anchor="if933dd1d5d004d2495dd7029e3ecad00_40" w:history="1">
              <w:r>
                <w:rPr>
                  <w:rStyle w:val="a4"/>
                  <w:rFonts w:ascii="Times New Roman" w:eastAsia="宋体" w:hAnsi="Times New Roman" w:cs="Times New Roman"/>
                  <w:kern w:val="0"/>
                  <w:sz w:val="20"/>
                  <w:szCs w:val="20"/>
                </w:rPr>
                <w:t> </w:t>
              </w:r>
              <w:r>
                <w:rPr>
                  <w:rStyle w:val="a4"/>
                  <w:rFonts w:ascii="Times New Roman" w:eastAsia="宋体" w:hAnsi="Times New Roman" w:cs="Times New Roman"/>
                  <w:kern w:val="0"/>
                  <w:sz w:val="20"/>
                  <w:szCs w:val="20"/>
                </w:rPr>
                <w:t xml:space="preserve">and </w:t>
              </w:r>
            </w:hyperlink>
            <w:hyperlink w:anchor="if933dd1d5d004d2495dd7029e3ecad00_28" w:history="1">
              <w:r>
                <w:rPr>
                  <w:rStyle w:val="a4"/>
                  <w:rFonts w:ascii="Times New Roman" w:eastAsia="宋体" w:hAnsi="Times New Roman" w:cs="Times New Roman"/>
                  <w:kern w:val="0"/>
                  <w:sz w:val="20"/>
                  <w:szCs w:val="20"/>
                </w:rPr>
                <w:t>July 30, 2021</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9E47FD2" w14:textId="77777777" w:rsidR="00D7560A" w:rsidRDefault="001E3CAB">
            <w:pPr>
              <w:widowControl/>
              <w:jc w:val="center"/>
              <w:textAlignment w:val="bottom"/>
              <w:rPr>
                <w:rFonts w:ascii="宋体" w:eastAsia="宋体" w:hAnsi="宋体" w:cs="宋体"/>
                <w:kern w:val="0"/>
                <w:sz w:val="24"/>
              </w:rPr>
            </w:pPr>
            <w:hyperlink w:anchor="if933dd1d5d004d2495dd7029e3ecad00_40" w:history="1">
              <w:r>
                <w:rPr>
                  <w:rStyle w:val="a4"/>
                  <w:rFonts w:ascii="Times New Roman" w:eastAsia="宋体" w:hAnsi="Times New Roman" w:cs="Times New Roman"/>
                  <w:kern w:val="0"/>
                  <w:sz w:val="20"/>
                  <w:szCs w:val="20"/>
                </w:rPr>
                <w:t>10</w:t>
              </w:r>
            </w:hyperlink>
          </w:p>
        </w:tc>
      </w:tr>
      <w:tr w:rsidR="00D7560A" w14:paraId="59E47FD6"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9E47FD4" w14:textId="77777777" w:rsidR="00D7560A" w:rsidRDefault="001E3CAB">
            <w:pPr>
              <w:widowControl/>
              <w:jc w:val="left"/>
              <w:textAlignment w:val="bottom"/>
              <w:rPr>
                <w:rFonts w:ascii="宋体" w:eastAsia="宋体" w:hAnsi="宋体" w:cs="宋体"/>
                <w:kern w:val="0"/>
                <w:sz w:val="24"/>
              </w:rPr>
            </w:pPr>
            <w:hyperlink w:anchor="if933dd1d5d004d2495dd7029e3ecad00_46" w:history="1">
              <w:r>
                <w:rPr>
                  <w:rStyle w:val="a4"/>
                  <w:rFonts w:ascii="Times New Roman" w:eastAsia="宋体" w:hAnsi="Times New Roman" w:cs="Times New Roman"/>
                  <w:kern w:val="0"/>
                  <w:sz w:val="20"/>
                  <w:szCs w:val="20"/>
                </w:rPr>
                <w:t>Notes to the Condensed Consolidated Financial Statements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9E47FD5" w14:textId="77777777" w:rsidR="00D7560A" w:rsidRDefault="001E3CAB">
            <w:pPr>
              <w:widowControl/>
              <w:jc w:val="center"/>
              <w:textAlignment w:val="bottom"/>
              <w:rPr>
                <w:rFonts w:ascii="宋体" w:eastAsia="宋体" w:hAnsi="宋体" w:cs="宋体"/>
                <w:kern w:val="0"/>
                <w:sz w:val="24"/>
              </w:rPr>
            </w:pPr>
            <w:hyperlink w:anchor="if933dd1d5d004d2495dd7029e3ecad00_46" w:history="1">
              <w:r>
                <w:rPr>
                  <w:rStyle w:val="a4"/>
                  <w:rFonts w:ascii="Times New Roman" w:eastAsia="宋体" w:hAnsi="Times New Roman" w:cs="Times New Roman"/>
                  <w:kern w:val="0"/>
                  <w:sz w:val="20"/>
                  <w:szCs w:val="20"/>
                </w:rPr>
                <w:t>12</w:t>
              </w:r>
            </w:hyperlink>
          </w:p>
        </w:tc>
      </w:tr>
      <w:tr w:rsidR="00D7560A" w14:paraId="59E47FD9"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9E47FD7" w14:textId="77777777" w:rsidR="00D7560A" w:rsidRDefault="001E3CAB">
            <w:pPr>
              <w:widowControl/>
              <w:jc w:val="left"/>
              <w:textAlignment w:val="bottom"/>
              <w:rPr>
                <w:rFonts w:ascii="宋体" w:eastAsia="宋体" w:hAnsi="宋体" w:cs="宋体"/>
                <w:kern w:val="0"/>
                <w:sz w:val="24"/>
              </w:rPr>
            </w:pPr>
            <w:hyperlink w:anchor="if933dd1d5d004d2495dd7029e3ecad00_49" w:history="1">
              <w:r>
                <w:rPr>
                  <w:rStyle w:val="a4"/>
                  <w:rFonts w:ascii="Times New Roman" w:eastAsia="宋体" w:hAnsi="Times New Roman" w:cs="Times New Roman"/>
                  <w:kern w:val="0"/>
                  <w:sz w:val="20"/>
                  <w:szCs w:val="20"/>
                </w:rPr>
                <w:t>Note 1 — Basis of Presentation</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9E47FD8" w14:textId="77777777" w:rsidR="00D7560A" w:rsidRDefault="001E3CAB">
            <w:pPr>
              <w:widowControl/>
              <w:jc w:val="center"/>
              <w:textAlignment w:val="bottom"/>
              <w:rPr>
                <w:rFonts w:ascii="宋体" w:eastAsia="宋体" w:hAnsi="宋体" w:cs="宋体"/>
                <w:kern w:val="0"/>
                <w:sz w:val="24"/>
              </w:rPr>
            </w:pPr>
            <w:hyperlink w:anchor="if933dd1d5d004d2495dd7029e3ecad00_49" w:history="1">
              <w:r>
                <w:rPr>
                  <w:rStyle w:val="a4"/>
                  <w:rFonts w:ascii="Times New Roman" w:eastAsia="宋体" w:hAnsi="Times New Roman" w:cs="Times New Roman"/>
                  <w:kern w:val="0"/>
                  <w:sz w:val="20"/>
                  <w:szCs w:val="20"/>
                </w:rPr>
                <w:t>12</w:t>
              </w:r>
            </w:hyperlink>
          </w:p>
        </w:tc>
      </w:tr>
      <w:tr w:rsidR="00D7560A" w14:paraId="59E47FDC"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9E47FDA" w14:textId="77777777" w:rsidR="00D7560A" w:rsidRDefault="001E3CAB">
            <w:pPr>
              <w:widowControl/>
              <w:jc w:val="left"/>
              <w:textAlignment w:val="bottom"/>
              <w:rPr>
                <w:rFonts w:ascii="宋体" w:eastAsia="宋体" w:hAnsi="宋体" w:cs="宋体"/>
                <w:kern w:val="0"/>
                <w:sz w:val="24"/>
              </w:rPr>
            </w:pPr>
            <w:hyperlink w:anchor="if933dd1d5d004d2495dd7029e3ecad00_55" w:history="1">
              <w:r>
                <w:rPr>
                  <w:rStyle w:val="a4"/>
                  <w:rFonts w:ascii="Times New Roman" w:eastAsia="宋体" w:hAnsi="Times New Roman" w:cs="Times New Roman"/>
                  <w:kern w:val="0"/>
                  <w:sz w:val="20"/>
                  <w:szCs w:val="20"/>
                </w:rPr>
                <w:t>Note 2 — Discontinued Operations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9E47FDB" w14:textId="77777777" w:rsidR="00D7560A" w:rsidRDefault="001E3CAB">
            <w:pPr>
              <w:widowControl/>
              <w:jc w:val="center"/>
              <w:textAlignment w:val="bottom"/>
              <w:rPr>
                <w:rFonts w:ascii="宋体" w:eastAsia="宋体" w:hAnsi="宋体" w:cs="宋体"/>
                <w:kern w:val="0"/>
                <w:sz w:val="24"/>
              </w:rPr>
            </w:pPr>
            <w:hyperlink w:anchor="if933dd1d5d004d2495dd7029e3ecad00_55" w:history="1">
              <w:r>
                <w:rPr>
                  <w:rStyle w:val="a4"/>
                  <w:rFonts w:ascii="Times New Roman" w:eastAsia="宋体" w:hAnsi="Times New Roman" w:cs="Times New Roman"/>
                  <w:kern w:val="0"/>
                  <w:sz w:val="20"/>
                  <w:szCs w:val="20"/>
                </w:rPr>
                <w:t>14</w:t>
              </w:r>
            </w:hyperlink>
          </w:p>
        </w:tc>
      </w:tr>
      <w:tr w:rsidR="00D7560A" w14:paraId="59E47FDF"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9E47FDD" w14:textId="77777777" w:rsidR="00D7560A" w:rsidRDefault="001E3CAB">
            <w:pPr>
              <w:widowControl/>
              <w:jc w:val="left"/>
              <w:textAlignment w:val="bottom"/>
              <w:rPr>
                <w:rFonts w:ascii="宋体" w:eastAsia="宋体" w:hAnsi="宋体" w:cs="宋体"/>
                <w:kern w:val="0"/>
                <w:sz w:val="24"/>
              </w:rPr>
            </w:pPr>
            <w:hyperlink w:anchor="if933dd1d5d004d2495dd7029e3ecad00_58" w:history="1">
              <w:r>
                <w:rPr>
                  <w:rStyle w:val="a4"/>
                  <w:rFonts w:ascii="Times New Roman" w:eastAsia="宋体" w:hAnsi="Times New Roman" w:cs="Times New Roman"/>
                  <w:kern w:val="0"/>
                  <w:sz w:val="20"/>
                  <w:szCs w:val="20"/>
                </w:rPr>
                <w:t>Note 3 — Fair Value Measurements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9E47FDE" w14:textId="77777777" w:rsidR="00D7560A" w:rsidRDefault="001E3CAB">
            <w:pPr>
              <w:widowControl/>
              <w:jc w:val="center"/>
              <w:textAlignment w:val="bottom"/>
              <w:rPr>
                <w:rFonts w:ascii="宋体" w:eastAsia="宋体" w:hAnsi="宋体" w:cs="宋体"/>
                <w:kern w:val="0"/>
                <w:sz w:val="24"/>
              </w:rPr>
            </w:pPr>
            <w:hyperlink w:anchor="if933dd1d5d004d2495dd7029e3ecad00_58" w:history="1">
              <w:r>
                <w:rPr>
                  <w:rStyle w:val="a4"/>
                  <w:rFonts w:ascii="Times New Roman" w:eastAsia="宋体" w:hAnsi="Times New Roman" w:cs="Times New Roman"/>
                  <w:kern w:val="0"/>
                  <w:sz w:val="20"/>
                  <w:szCs w:val="20"/>
                </w:rPr>
                <w:t>16</w:t>
              </w:r>
            </w:hyperlink>
          </w:p>
        </w:tc>
      </w:tr>
      <w:tr w:rsidR="00D7560A" w14:paraId="59E47FE2"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9E47FE0" w14:textId="77777777" w:rsidR="00D7560A" w:rsidRDefault="001E3CAB">
            <w:pPr>
              <w:widowControl/>
              <w:jc w:val="left"/>
              <w:textAlignment w:val="bottom"/>
              <w:rPr>
                <w:rFonts w:ascii="宋体" w:eastAsia="宋体" w:hAnsi="宋体" w:cs="宋体"/>
                <w:kern w:val="0"/>
                <w:sz w:val="24"/>
              </w:rPr>
            </w:pPr>
            <w:hyperlink w:anchor="if933dd1d5d004d2495dd7029e3ecad00_61" w:history="1">
              <w:r>
                <w:rPr>
                  <w:rStyle w:val="a4"/>
                  <w:rFonts w:ascii="Times New Roman" w:eastAsia="宋体" w:hAnsi="Times New Roman" w:cs="Times New Roman"/>
                  <w:kern w:val="0"/>
                  <w:sz w:val="20"/>
                  <w:szCs w:val="20"/>
                </w:rPr>
                <w:t>Note 4 — Investments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9E47FE1" w14:textId="77777777" w:rsidR="00D7560A" w:rsidRDefault="001E3CAB">
            <w:pPr>
              <w:widowControl/>
              <w:jc w:val="center"/>
              <w:textAlignment w:val="bottom"/>
              <w:rPr>
                <w:rFonts w:ascii="宋体" w:eastAsia="宋体" w:hAnsi="宋体" w:cs="宋体"/>
                <w:kern w:val="0"/>
                <w:sz w:val="24"/>
              </w:rPr>
            </w:pPr>
            <w:hyperlink w:anchor="if933dd1d5d004d2495dd7029e3ecad00_61" w:history="1">
              <w:r>
                <w:rPr>
                  <w:rStyle w:val="a4"/>
                  <w:rFonts w:ascii="Times New Roman" w:eastAsia="宋体" w:hAnsi="Times New Roman" w:cs="Times New Roman"/>
                  <w:kern w:val="0"/>
                  <w:sz w:val="20"/>
                  <w:szCs w:val="20"/>
                </w:rPr>
                <w:t>18</w:t>
              </w:r>
            </w:hyperlink>
          </w:p>
        </w:tc>
      </w:tr>
      <w:tr w:rsidR="00D7560A" w14:paraId="59E47FE5"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9E47FE3" w14:textId="77777777" w:rsidR="00D7560A" w:rsidRDefault="001E3CAB">
            <w:pPr>
              <w:widowControl/>
              <w:jc w:val="left"/>
              <w:textAlignment w:val="bottom"/>
              <w:rPr>
                <w:rFonts w:ascii="宋体" w:eastAsia="宋体" w:hAnsi="宋体" w:cs="宋体"/>
                <w:kern w:val="0"/>
                <w:sz w:val="24"/>
              </w:rPr>
            </w:pPr>
            <w:hyperlink w:anchor="if933dd1d5d004d2495dd7029e3ecad00_64" w:history="1">
              <w:r>
                <w:rPr>
                  <w:rStyle w:val="a4"/>
                  <w:rFonts w:ascii="Times New Roman" w:eastAsia="宋体" w:hAnsi="Times New Roman" w:cs="Times New Roman"/>
                  <w:kern w:val="0"/>
                  <w:sz w:val="20"/>
                  <w:szCs w:val="20"/>
                </w:rPr>
                <w:t>Note 5 — Financial Services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9E47FE4" w14:textId="77777777" w:rsidR="00D7560A" w:rsidRDefault="001E3CAB">
            <w:pPr>
              <w:widowControl/>
              <w:jc w:val="center"/>
              <w:textAlignment w:val="bottom"/>
              <w:rPr>
                <w:rFonts w:ascii="宋体" w:eastAsia="宋体" w:hAnsi="宋体" w:cs="宋体"/>
                <w:kern w:val="0"/>
                <w:sz w:val="24"/>
              </w:rPr>
            </w:pPr>
            <w:hyperlink w:anchor="if933dd1d5d004d2495dd7029e3ecad00_64" w:history="1">
              <w:r>
                <w:rPr>
                  <w:rStyle w:val="a4"/>
                  <w:rFonts w:ascii="Times New Roman" w:eastAsia="宋体" w:hAnsi="Times New Roman" w:cs="Times New Roman"/>
                  <w:kern w:val="0"/>
                  <w:sz w:val="20"/>
                  <w:szCs w:val="20"/>
                </w:rPr>
                <w:t>20</w:t>
              </w:r>
            </w:hyperlink>
          </w:p>
        </w:tc>
      </w:tr>
      <w:tr w:rsidR="00D7560A" w14:paraId="59E47FE8"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9E47FE6" w14:textId="77777777" w:rsidR="00D7560A" w:rsidRDefault="001E3CAB">
            <w:pPr>
              <w:widowControl/>
              <w:jc w:val="left"/>
              <w:textAlignment w:val="bottom"/>
              <w:rPr>
                <w:rFonts w:ascii="宋体" w:eastAsia="宋体" w:hAnsi="宋体" w:cs="宋体"/>
                <w:kern w:val="0"/>
                <w:sz w:val="24"/>
              </w:rPr>
            </w:pPr>
            <w:hyperlink w:anchor="if933dd1d5d004d2495dd7029e3ecad00_67" w:history="1">
              <w:r>
                <w:rPr>
                  <w:rStyle w:val="a4"/>
                  <w:rFonts w:ascii="Times New Roman" w:eastAsia="宋体" w:hAnsi="Times New Roman" w:cs="Times New Roman"/>
                  <w:kern w:val="0"/>
                  <w:sz w:val="20"/>
                  <w:szCs w:val="20"/>
                </w:rPr>
                <w:t>Note 6 — Leases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9E47FE7" w14:textId="77777777" w:rsidR="00D7560A" w:rsidRDefault="001E3CAB">
            <w:pPr>
              <w:widowControl/>
              <w:jc w:val="center"/>
              <w:textAlignment w:val="bottom"/>
              <w:rPr>
                <w:rFonts w:ascii="宋体" w:eastAsia="宋体" w:hAnsi="宋体" w:cs="宋体"/>
                <w:kern w:val="0"/>
                <w:sz w:val="24"/>
              </w:rPr>
            </w:pPr>
            <w:hyperlink w:anchor="if933dd1d5d004d2495dd7029e3ecad00_67" w:history="1">
              <w:r>
                <w:rPr>
                  <w:rStyle w:val="a4"/>
                  <w:rFonts w:ascii="Times New Roman" w:eastAsia="宋体" w:hAnsi="Times New Roman" w:cs="Times New Roman"/>
                  <w:kern w:val="0"/>
                  <w:sz w:val="20"/>
                  <w:szCs w:val="20"/>
                </w:rPr>
                <w:t>28</w:t>
              </w:r>
            </w:hyperlink>
          </w:p>
        </w:tc>
      </w:tr>
      <w:tr w:rsidR="00D7560A" w14:paraId="59E47FEB"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9E47FE9" w14:textId="77777777" w:rsidR="00D7560A" w:rsidRDefault="001E3CAB">
            <w:pPr>
              <w:widowControl/>
              <w:jc w:val="left"/>
              <w:textAlignment w:val="bottom"/>
              <w:rPr>
                <w:rFonts w:ascii="宋体" w:eastAsia="宋体" w:hAnsi="宋体" w:cs="宋体"/>
                <w:kern w:val="0"/>
                <w:sz w:val="24"/>
              </w:rPr>
            </w:pPr>
            <w:hyperlink w:anchor="if933dd1d5d004d2495dd7029e3ecad00_70" w:history="1">
              <w:r>
                <w:rPr>
                  <w:rStyle w:val="a4"/>
                  <w:rFonts w:ascii="Times New Roman" w:eastAsia="宋体" w:hAnsi="Times New Roman" w:cs="Times New Roman"/>
                  <w:kern w:val="0"/>
                  <w:sz w:val="20"/>
                  <w:szCs w:val="20"/>
                </w:rPr>
                <w:t>Note 7 — Debt</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9E47FEA" w14:textId="77777777" w:rsidR="00D7560A" w:rsidRDefault="001E3CAB">
            <w:pPr>
              <w:widowControl/>
              <w:jc w:val="center"/>
              <w:textAlignment w:val="bottom"/>
              <w:rPr>
                <w:rFonts w:ascii="宋体" w:eastAsia="宋体" w:hAnsi="宋体" w:cs="宋体"/>
                <w:kern w:val="0"/>
                <w:sz w:val="24"/>
              </w:rPr>
            </w:pPr>
            <w:hyperlink w:anchor="if933dd1d5d004d2495dd7029e3ecad00_70" w:history="1">
              <w:r>
                <w:rPr>
                  <w:rStyle w:val="a4"/>
                  <w:rFonts w:ascii="Times New Roman" w:eastAsia="宋体" w:hAnsi="Times New Roman" w:cs="Times New Roman"/>
                  <w:kern w:val="0"/>
                  <w:sz w:val="20"/>
                  <w:szCs w:val="20"/>
                </w:rPr>
                <w:t>30</w:t>
              </w:r>
            </w:hyperlink>
          </w:p>
        </w:tc>
      </w:tr>
      <w:tr w:rsidR="00D7560A" w14:paraId="59E47FEE"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9E47FEC" w14:textId="77777777" w:rsidR="00D7560A" w:rsidRDefault="001E3CAB">
            <w:pPr>
              <w:widowControl/>
              <w:jc w:val="left"/>
              <w:textAlignment w:val="bottom"/>
              <w:rPr>
                <w:rFonts w:ascii="宋体" w:eastAsia="宋体" w:hAnsi="宋体" w:cs="宋体"/>
                <w:kern w:val="0"/>
                <w:sz w:val="24"/>
              </w:rPr>
            </w:pPr>
            <w:hyperlink w:anchor="if933dd1d5d004d2495dd7029e3ecad00_73" w:history="1">
              <w:r>
                <w:rPr>
                  <w:rStyle w:val="a4"/>
                  <w:rFonts w:ascii="Times New Roman" w:eastAsia="宋体" w:hAnsi="Times New Roman" w:cs="Times New Roman"/>
                  <w:kern w:val="0"/>
                  <w:sz w:val="20"/>
                  <w:szCs w:val="20"/>
                </w:rPr>
                <w:t>Note 8 — Derivative Instruments and Hedging Activities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9E47FED" w14:textId="77777777" w:rsidR="00D7560A" w:rsidRDefault="001E3CAB">
            <w:pPr>
              <w:widowControl/>
              <w:jc w:val="center"/>
              <w:textAlignment w:val="bottom"/>
              <w:rPr>
                <w:rFonts w:ascii="宋体" w:eastAsia="宋体" w:hAnsi="宋体" w:cs="宋体"/>
                <w:kern w:val="0"/>
                <w:sz w:val="24"/>
              </w:rPr>
            </w:pPr>
            <w:hyperlink w:anchor="if933dd1d5d004d2495dd7029e3ecad00_73" w:history="1">
              <w:r>
                <w:rPr>
                  <w:rStyle w:val="a4"/>
                  <w:rFonts w:ascii="Times New Roman" w:eastAsia="宋体" w:hAnsi="Times New Roman" w:cs="Times New Roman"/>
                  <w:kern w:val="0"/>
                  <w:sz w:val="20"/>
                  <w:szCs w:val="20"/>
                </w:rPr>
                <w:t>33</w:t>
              </w:r>
            </w:hyperlink>
          </w:p>
        </w:tc>
      </w:tr>
      <w:tr w:rsidR="00D7560A" w14:paraId="59E47FF1"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9E47FEF" w14:textId="77777777" w:rsidR="00D7560A" w:rsidRDefault="001E3CAB">
            <w:pPr>
              <w:widowControl/>
              <w:jc w:val="left"/>
              <w:textAlignment w:val="bottom"/>
              <w:rPr>
                <w:rFonts w:ascii="宋体" w:eastAsia="宋体" w:hAnsi="宋体" w:cs="宋体"/>
                <w:kern w:val="0"/>
                <w:sz w:val="24"/>
              </w:rPr>
            </w:pPr>
            <w:hyperlink w:anchor="if933dd1d5d004d2495dd7029e3ecad00_76" w:history="1">
              <w:r>
                <w:rPr>
                  <w:rStyle w:val="a4"/>
                  <w:rFonts w:ascii="Times New Roman" w:eastAsia="宋体" w:hAnsi="Times New Roman" w:cs="Times New Roman"/>
                  <w:kern w:val="0"/>
                  <w:sz w:val="20"/>
                  <w:szCs w:val="20"/>
                </w:rPr>
                <w:t>Note 9 — Goodwill and Intangible Assets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9E47FF0" w14:textId="77777777" w:rsidR="00D7560A" w:rsidRDefault="001E3CAB">
            <w:pPr>
              <w:widowControl/>
              <w:jc w:val="center"/>
              <w:textAlignment w:val="bottom"/>
              <w:rPr>
                <w:rFonts w:ascii="宋体" w:eastAsia="宋体" w:hAnsi="宋体" w:cs="宋体"/>
                <w:kern w:val="0"/>
                <w:sz w:val="24"/>
              </w:rPr>
            </w:pPr>
            <w:hyperlink w:anchor="if933dd1d5d004d2495dd7029e3ecad00_76" w:history="1">
              <w:r>
                <w:rPr>
                  <w:rStyle w:val="a4"/>
                  <w:rFonts w:ascii="Times New Roman" w:eastAsia="宋体" w:hAnsi="Times New Roman" w:cs="Times New Roman"/>
                  <w:kern w:val="0"/>
                  <w:sz w:val="20"/>
                  <w:szCs w:val="20"/>
                </w:rPr>
                <w:t>38</w:t>
              </w:r>
            </w:hyperlink>
          </w:p>
        </w:tc>
      </w:tr>
      <w:tr w:rsidR="00D7560A" w14:paraId="59E47FF4"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9E47FF2" w14:textId="77777777" w:rsidR="00D7560A" w:rsidRDefault="001E3CAB">
            <w:pPr>
              <w:widowControl/>
              <w:jc w:val="left"/>
              <w:textAlignment w:val="bottom"/>
              <w:rPr>
                <w:rFonts w:ascii="宋体" w:eastAsia="宋体" w:hAnsi="宋体" w:cs="宋体"/>
                <w:kern w:val="0"/>
                <w:sz w:val="24"/>
              </w:rPr>
            </w:pPr>
            <w:hyperlink w:anchor="if933dd1d5d004d2495dd7029e3ecad00_79" w:history="1">
              <w:r>
                <w:rPr>
                  <w:rStyle w:val="a4"/>
                  <w:rFonts w:ascii="Times New Roman" w:eastAsia="宋体" w:hAnsi="Times New Roman" w:cs="Times New Roman"/>
                  <w:kern w:val="0"/>
                  <w:sz w:val="20"/>
                  <w:szCs w:val="20"/>
                </w:rPr>
                <w:t>Note 10 — Deferred Revenue</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9E47FF3" w14:textId="77777777" w:rsidR="00D7560A" w:rsidRDefault="001E3CAB">
            <w:pPr>
              <w:widowControl/>
              <w:jc w:val="center"/>
              <w:textAlignment w:val="bottom"/>
              <w:rPr>
                <w:rFonts w:ascii="宋体" w:eastAsia="宋体" w:hAnsi="宋体" w:cs="宋体"/>
                <w:kern w:val="0"/>
                <w:sz w:val="24"/>
              </w:rPr>
            </w:pPr>
            <w:hyperlink w:anchor="if933dd1d5d004d2495dd7029e3ecad00_79" w:history="1">
              <w:r>
                <w:rPr>
                  <w:rStyle w:val="a4"/>
                  <w:rFonts w:ascii="Times New Roman" w:eastAsia="宋体" w:hAnsi="Times New Roman" w:cs="Times New Roman"/>
                  <w:kern w:val="0"/>
                  <w:sz w:val="20"/>
                  <w:szCs w:val="20"/>
                </w:rPr>
                <w:t>40</w:t>
              </w:r>
            </w:hyperlink>
          </w:p>
        </w:tc>
      </w:tr>
      <w:tr w:rsidR="00D7560A" w14:paraId="59E47FF7"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9E47FF5" w14:textId="77777777" w:rsidR="00D7560A" w:rsidRDefault="001E3CAB">
            <w:pPr>
              <w:widowControl/>
              <w:jc w:val="left"/>
              <w:textAlignment w:val="bottom"/>
              <w:rPr>
                <w:rFonts w:ascii="宋体" w:eastAsia="宋体" w:hAnsi="宋体" w:cs="宋体"/>
                <w:kern w:val="0"/>
                <w:sz w:val="24"/>
              </w:rPr>
            </w:pPr>
            <w:hyperlink w:anchor="if933dd1d5d004d2495dd7029e3ecad00_82" w:history="1">
              <w:r>
                <w:rPr>
                  <w:rStyle w:val="a4"/>
                  <w:rFonts w:ascii="Times New Roman" w:eastAsia="宋体" w:hAnsi="Times New Roman" w:cs="Times New Roman"/>
                  <w:kern w:val="0"/>
                  <w:sz w:val="20"/>
                  <w:szCs w:val="20"/>
                </w:rPr>
                <w:t>Note 11 — Commitments and Contingencies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9E47FF6" w14:textId="77777777" w:rsidR="00D7560A" w:rsidRDefault="001E3CAB">
            <w:pPr>
              <w:widowControl/>
              <w:jc w:val="center"/>
              <w:textAlignment w:val="bottom"/>
              <w:rPr>
                <w:rFonts w:ascii="宋体" w:eastAsia="宋体" w:hAnsi="宋体" w:cs="宋体"/>
                <w:kern w:val="0"/>
                <w:sz w:val="24"/>
              </w:rPr>
            </w:pPr>
            <w:hyperlink w:anchor="if933dd1d5d004d2495dd7029e3ecad00_82" w:history="1">
              <w:r>
                <w:rPr>
                  <w:rStyle w:val="a4"/>
                  <w:rFonts w:ascii="Times New Roman" w:eastAsia="宋体" w:hAnsi="Times New Roman" w:cs="Times New Roman"/>
                  <w:kern w:val="0"/>
                  <w:sz w:val="20"/>
                  <w:szCs w:val="20"/>
                </w:rPr>
                <w:t>41</w:t>
              </w:r>
            </w:hyperlink>
          </w:p>
        </w:tc>
      </w:tr>
      <w:tr w:rsidR="00D7560A" w14:paraId="59E47FFA"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9E47FF8" w14:textId="77777777" w:rsidR="00D7560A" w:rsidRDefault="001E3CAB">
            <w:pPr>
              <w:widowControl/>
              <w:jc w:val="left"/>
              <w:textAlignment w:val="bottom"/>
              <w:rPr>
                <w:rFonts w:ascii="宋体" w:eastAsia="宋体" w:hAnsi="宋体" w:cs="宋体"/>
                <w:kern w:val="0"/>
                <w:sz w:val="24"/>
              </w:rPr>
            </w:pPr>
            <w:hyperlink w:anchor="if933dd1d5d004d2495dd7029e3ecad00_85" w:history="1">
              <w:r>
                <w:rPr>
                  <w:rStyle w:val="a4"/>
                  <w:rFonts w:ascii="Times New Roman" w:eastAsia="宋体" w:hAnsi="Times New Roman" w:cs="Times New Roman"/>
                  <w:kern w:val="0"/>
                  <w:sz w:val="20"/>
                  <w:szCs w:val="20"/>
                </w:rPr>
                <w:t>Note 12 — Income and Other Taxes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9E47FF9" w14:textId="77777777" w:rsidR="00D7560A" w:rsidRDefault="001E3CAB">
            <w:pPr>
              <w:widowControl/>
              <w:jc w:val="center"/>
              <w:textAlignment w:val="bottom"/>
              <w:rPr>
                <w:rFonts w:ascii="宋体" w:eastAsia="宋体" w:hAnsi="宋体" w:cs="宋体"/>
                <w:kern w:val="0"/>
                <w:sz w:val="24"/>
              </w:rPr>
            </w:pPr>
            <w:hyperlink w:anchor="if933dd1d5d004d2495dd7029e3ecad00_85" w:history="1">
              <w:r>
                <w:rPr>
                  <w:rStyle w:val="a4"/>
                  <w:rFonts w:ascii="Times New Roman" w:eastAsia="宋体" w:hAnsi="Times New Roman" w:cs="Times New Roman"/>
                  <w:kern w:val="0"/>
                  <w:sz w:val="20"/>
                  <w:szCs w:val="20"/>
                </w:rPr>
                <w:t>43</w:t>
              </w:r>
            </w:hyperlink>
          </w:p>
        </w:tc>
      </w:tr>
      <w:tr w:rsidR="00D7560A" w14:paraId="59E47FFD"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9E47FFB" w14:textId="77777777" w:rsidR="00D7560A" w:rsidRDefault="001E3CAB">
            <w:pPr>
              <w:widowControl/>
              <w:jc w:val="left"/>
              <w:textAlignment w:val="bottom"/>
              <w:rPr>
                <w:rFonts w:ascii="宋体" w:eastAsia="宋体" w:hAnsi="宋体" w:cs="宋体"/>
                <w:kern w:val="0"/>
                <w:sz w:val="24"/>
              </w:rPr>
            </w:pPr>
            <w:hyperlink w:anchor="if933dd1d5d004d2495dd7029e3ecad00_91" w:history="1">
              <w:r>
                <w:rPr>
                  <w:rStyle w:val="a4"/>
                  <w:rFonts w:ascii="Times New Roman" w:eastAsia="宋体" w:hAnsi="Times New Roman" w:cs="Times New Roman"/>
                  <w:kern w:val="0"/>
                  <w:sz w:val="20"/>
                  <w:szCs w:val="20"/>
                </w:rPr>
                <w:t>Note 13 — Accumulated Other Comprehensive Income (Loss)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9E47FFC" w14:textId="77777777" w:rsidR="00D7560A" w:rsidRDefault="001E3CAB">
            <w:pPr>
              <w:widowControl/>
              <w:jc w:val="center"/>
              <w:textAlignment w:val="bottom"/>
              <w:rPr>
                <w:rFonts w:ascii="宋体" w:eastAsia="宋体" w:hAnsi="宋体" w:cs="宋体"/>
                <w:kern w:val="0"/>
                <w:sz w:val="24"/>
              </w:rPr>
            </w:pPr>
            <w:hyperlink w:anchor="if933dd1d5d004d2495dd7029e3ecad00_91" w:history="1">
              <w:r>
                <w:rPr>
                  <w:rStyle w:val="a4"/>
                  <w:rFonts w:ascii="Times New Roman" w:eastAsia="宋体" w:hAnsi="Times New Roman" w:cs="Times New Roman"/>
                  <w:kern w:val="0"/>
                  <w:sz w:val="20"/>
                  <w:szCs w:val="20"/>
                </w:rPr>
                <w:t>44</w:t>
              </w:r>
            </w:hyperlink>
          </w:p>
        </w:tc>
      </w:tr>
      <w:tr w:rsidR="00D7560A" w14:paraId="59E48000"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9E47FFE" w14:textId="77777777" w:rsidR="00D7560A" w:rsidRDefault="001E3CAB">
            <w:pPr>
              <w:widowControl/>
              <w:jc w:val="left"/>
              <w:textAlignment w:val="bottom"/>
              <w:rPr>
                <w:rFonts w:ascii="宋体" w:eastAsia="宋体" w:hAnsi="宋体" w:cs="宋体"/>
                <w:kern w:val="0"/>
                <w:sz w:val="24"/>
              </w:rPr>
            </w:pPr>
            <w:hyperlink w:anchor="if933dd1d5d004d2495dd7029e3ecad00_97" w:history="1">
              <w:r>
                <w:rPr>
                  <w:rStyle w:val="a4"/>
                  <w:rFonts w:ascii="Times New Roman" w:eastAsia="宋体" w:hAnsi="Times New Roman" w:cs="Times New Roman"/>
                  <w:kern w:val="0"/>
                  <w:sz w:val="20"/>
                  <w:szCs w:val="20"/>
                </w:rPr>
                <w:t>Note 14 — Capitalization</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9E47FFF" w14:textId="77777777" w:rsidR="00D7560A" w:rsidRDefault="001E3CAB">
            <w:pPr>
              <w:widowControl/>
              <w:jc w:val="center"/>
              <w:textAlignment w:val="bottom"/>
              <w:rPr>
                <w:rFonts w:ascii="宋体" w:eastAsia="宋体" w:hAnsi="宋体" w:cs="宋体"/>
                <w:kern w:val="0"/>
                <w:sz w:val="24"/>
              </w:rPr>
            </w:pPr>
            <w:hyperlink w:anchor="if933dd1d5d004d2495dd7029e3ecad00_97" w:history="1">
              <w:r>
                <w:rPr>
                  <w:rStyle w:val="a4"/>
                  <w:rFonts w:ascii="Times New Roman" w:eastAsia="宋体" w:hAnsi="Times New Roman" w:cs="Times New Roman"/>
                  <w:kern w:val="0"/>
                  <w:sz w:val="20"/>
                  <w:szCs w:val="20"/>
                </w:rPr>
                <w:t>46</w:t>
              </w:r>
            </w:hyperlink>
          </w:p>
        </w:tc>
      </w:tr>
      <w:tr w:rsidR="00D7560A" w14:paraId="59E48003"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9E48001" w14:textId="77777777" w:rsidR="00D7560A" w:rsidRDefault="001E3CAB">
            <w:pPr>
              <w:widowControl/>
              <w:jc w:val="left"/>
              <w:textAlignment w:val="bottom"/>
              <w:rPr>
                <w:rFonts w:ascii="宋体" w:eastAsia="宋体" w:hAnsi="宋体" w:cs="宋体"/>
                <w:kern w:val="0"/>
                <w:sz w:val="24"/>
              </w:rPr>
            </w:pPr>
            <w:hyperlink w:anchor="if933dd1d5d004d2495dd7029e3ecad00_100" w:history="1">
              <w:r>
                <w:rPr>
                  <w:rStyle w:val="a4"/>
                  <w:rFonts w:ascii="Times New Roman" w:eastAsia="宋体" w:hAnsi="Times New Roman" w:cs="Times New Roman"/>
                  <w:kern w:val="0"/>
                  <w:sz w:val="20"/>
                  <w:szCs w:val="20"/>
                </w:rPr>
                <w:t>Note 15 — Earnings Per Share</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9E48002" w14:textId="77777777" w:rsidR="00D7560A" w:rsidRDefault="001E3CAB">
            <w:pPr>
              <w:widowControl/>
              <w:jc w:val="center"/>
              <w:textAlignment w:val="bottom"/>
              <w:rPr>
                <w:rFonts w:ascii="宋体" w:eastAsia="宋体" w:hAnsi="宋体" w:cs="宋体"/>
                <w:kern w:val="0"/>
                <w:sz w:val="24"/>
              </w:rPr>
            </w:pPr>
            <w:hyperlink w:anchor="if933dd1d5d004d2495dd7029e3ecad00_100" w:history="1">
              <w:r>
                <w:rPr>
                  <w:rStyle w:val="a4"/>
                  <w:rFonts w:ascii="Times New Roman" w:eastAsia="宋体" w:hAnsi="Times New Roman" w:cs="Times New Roman"/>
                  <w:kern w:val="0"/>
                  <w:sz w:val="20"/>
                  <w:szCs w:val="20"/>
                </w:rPr>
                <w:t>48</w:t>
              </w:r>
            </w:hyperlink>
          </w:p>
        </w:tc>
      </w:tr>
      <w:tr w:rsidR="00D7560A" w14:paraId="59E48006"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9E48004" w14:textId="77777777" w:rsidR="00D7560A" w:rsidRDefault="001E3CAB">
            <w:pPr>
              <w:widowControl/>
              <w:jc w:val="left"/>
              <w:textAlignment w:val="bottom"/>
              <w:rPr>
                <w:rFonts w:ascii="宋体" w:eastAsia="宋体" w:hAnsi="宋体" w:cs="宋体"/>
                <w:kern w:val="0"/>
                <w:sz w:val="24"/>
              </w:rPr>
            </w:pPr>
            <w:hyperlink w:anchor="if933dd1d5d004d2495dd7029e3ecad00_115" w:history="1">
              <w:r>
                <w:rPr>
                  <w:rStyle w:val="a4"/>
                  <w:rFonts w:ascii="Times New Roman" w:eastAsia="宋体" w:hAnsi="Times New Roman" w:cs="Times New Roman"/>
                  <w:kern w:val="0"/>
                  <w:sz w:val="20"/>
                  <w:szCs w:val="20"/>
                </w:rPr>
                <w:t>Note 16 — Related Party Transactions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9E48005" w14:textId="77777777" w:rsidR="00D7560A" w:rsidRDefault="001E3CAB">
            <w:pPr>
              <w:widowControl/>
              <w:jc w:val="center"/>
              <w:textAlignment w:val="bottom"/>
              <w:rPr>
                <w:rFonts w:ascii="宋体" w:eastAsia="宋体" w:hAnsi="宋体" w:cs="宋体"/>
                <w:kern w:val="0"/>
                <w:sz w:val="24"/>
              </w:rPr>
            </w:pPr>
            <w:hyperlink w:anchor="if933dd1d5d004d2495dd7029e3ecad00_115" w:history="1">
              <w:r>
                <w:rPr>
                  <w:rStyle w:val="a4"/>
                  <w:rFonts w:ascii="Times New Roman" w:eastAsia="宋体" w:hAnsi="Times New Roman" w:cs="Times New Roman"/>
                  <w:kern w:val="0"/>
                  <w:sz w:val="20"/>
                  <w:szCs w:val="20"/>
                </w:rPr>
                <w:t>49</w:t>
              </w:r>
            </w:hyperlink>
          </w:p>
        </w:tc>
      </w:tr>
      <w:tr w:rsidR="00D7560A" w14:paraId="59E48009"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9E48007" w14:textId="77777777" w:rsidR="00D7560A" w:rsidRDefault="001E3CAB">
            <w:pPr>
              <w:widowControl/>
              <w:jc w:val="left"/>
              <w:textAlignment w:val="bottom"/>
              <w:rPr>
                <w:rFonts w:ascii="宋体" w:eastAsia="宋体" w:hAnsi="宋体" w:cs="宋体"/>
                <w:kern w:val="0"/>
                <w:sz w:val="24"/>
              </w:rPr>
            </w:pPr>
            <w:hyperlink w:anchor="if933dd1d5d004d2495dd7029e3ecad00_118" w:history="1">
              <w:r>
                <w:rPr>
                  <w:rStyle w:val="a4"/>
                  <w:rFonts w:ascii="Times New Roman" w:eastAsia="宋体" w:hAnsi="Times New Roman" w:cs="Times New Roman"/>
                  <w:kern w:val="0"/>
                  <w:sz w:val="20"/>
                  <w:szCs w:val="20"/>
                </w:rPr>
                <w:t>Note 17 — Segment Information</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9E48008" w14:textId="77777777" w:rsidR="00D7560A" w:rsidRDefault="001E3CAB">
            <w:pPr>
              <w:widowControl/>
              <w:jc w:val="center"/>
              <w:textAlignment w:val="bottom"/>
              <w:rPr>
                <w:rFonts w:ascii="宋体" w:eastAsia="宋体" w:hAnsi="宋体" w:cs="宋体"/>
                <w:kern w:val="0"/>
                <w:sz w:val="24"/>
              </w:rPr>
            </w:pPr>
            <w:hyperlink w:anchor="if933dd1d5d004d2495dd7029e3ecad00_118" w:history="1">
              <w:r>
                <w:rPr>
                  <w:rStyle w:val="a4"/>
                  <w:rFonts w:ascii="Times New Roman" w:eastAsia="宋体" w:hAnsi="Times New Roman" w:cs="Times New Roman"/>
                  <w:kern w:val="0"/>
                  <w:sz w:val="20"/>
                  <w:szCs w:val="20"/>
                </w:rPr>
                <w:t>52</w:t>
              </w:r>
            </w:hyperlink>
          </w:p>
        </w:tc>
      </w:tr>
      <w:tr w:rsidR="00D7560A" w14:paraId="59E4800C"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9E4800A" w14:textId="77777777" w:rsidR="00D7560A" w:rsidRDefault="001E3CAB">
            <w:pPr>
              <w:widowControl/>
              <w:jc w:val="left"/>
              <w:textAlignment w:val="bottom"/>
              <w:rPr>
                <w:rFonts w:ascii="宋体" w:eastAsia="宋体" w:hAnsi="宋体" w:cs="宋体"/>
                <w:kern w:val="0"/>
                <w:sz w:val="24"/>
              </w:rPr>
            </w:pPr>
            <w:hyperlink w:anchor="if933dd1d5d004d2495dd7029e3ecad00_124" w:history="1">
              <w:r>
                <w:rPr>
                  <w:rStyle w:val="a4"/>
                  <w:rFonts w:ascii="Times New Roman" w:eastAsia="宋体" w:hAnsi="Times New Roman" w:cs="Times New Roman"/>
                  <w:kern w:val="0"/>
                  <w:sz w:val="20"/>
                  <w:szCs w:val="20"/>
                </w:rPr>
                <w:t>Note 18 — Supplemental Consolidated Financial Information</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9E4800B" w14:textId="77777777" w:rsidR="00D7560A" w:rsidRDefault="001E3CAB">
            <w:pPr>
              <w:widowControl/>
              <w:jc w:val="center"/>
              <w:textAlignment w:val="bottom"/>
              <w:rPr>
                <w:rFonts w:ascii="宋体" w:eastAsia="宋体" w:hAnsi="宋体" w:cs="宋体"/>
                <w:kern w:val="0"/>
                <w:sz w:val="24"/>
              </w:rPr>
            </w:pPr>
            <w:hyperlink w:anchor="if933dd1d5d004d2495dd7029e3ecad00_124" w:history="1">
              <w:r>
                <w:rPr>
                  <w:rStyle w:val="a4"/>
                  <w:rFonts w:ascii="Times New Roman" w:eastAsia="宋体" w:hAnsi="Times New Roman" w:cs="Times New Roman"/>
                  <w:kern w:val="0"/>
                  <w:sz w:val="20"/>
                  <w:szCs w:val="20"/>
                </w:rPr>
                <w:t>55</w:t>
              </w:r>
            </w:hyperlink>
          </w:p>
        </w:tc>
      </w:tr>
      <w:tr w:rsidR="00D7560A" w14:paraId="59E4800F" w14:textId="77777777">
        <w:trPr>
          <w:jc w:val="center"/>
          <w:hidden/>
        </w:trPr>
        <w:tc>
          <w:tcPr>
            <w:tcW w:w="0" w:type="auto"/>
            <w:gridSpan w:val="3"/>
            <w:tcBorders>
              <w:top w:val="nil"/>
              <w:left w:val="nil"/>
              <w:bottom w:val="nil"/>
              <w:right w:val="nil"/>
            </w:tcBorders>
            <w:shd w:val="clear" w:color="auto" w:fill="auto"/>
            <w:vAlign w:val="bottom"/>
          </w:tcPr>
          <w:p w14:paraId="59E4800D"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00E" w14:textId="77777777" w:rsidR="00D7560A" w:rsidRDefault="00D7560A">
            <w:pPr>
              <w:widowControl/>
              <w:jc w:val="left"/>
              <w:rPr>
                <w:rFonts w:ascii="Times New Roman" w:eastAsia="宋体" w:hAnsi="宋体" w:cs="宋体"/>
                <w:vanish/>
                <w:kern w:val="0"/>
                <w:sz w:val="24"/>
              </w:rPr>
            </w:pPr>
          </w:p>
        </w:tc>
      </w:tr>
      <w:tr w:rsidR="00D7560A" w14:paraId="59E48012"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9E48010" w14:textId="77777777" w:rsidR="00D7560A" w:rsidRDefault="001E3CAB">
            <w:pPr>
              <w:widowControl/>
              <w:jc w:val="left"/>
              <w:textAlignment w:val="bottom"/>
              <w:rPr>
                <w:rFonts w:ascii="宋体" w:eastAsia="宋体" w:hAnsi="宋体" w:cs="宋体"/>
                <w:kern w:val="0"/>
                <w:sz w:val="24"/>
              </w:rPr>
            </w:pPr>
            <w:hyperlink w:anchor="if933dd1d5d004d2495dd7029e3ecad00_133" w:history="1">
              <w:r>
                <w:rPr>
                  <w:rStyle w:val="a4"/>
                  <w:rFonts w:ascii="Times New Roman" w:eastAsia="宋体" w:hAnsi="Times New Roman" w:cs="Times New Roman"/>
                  <w:kern w:val="0"/>
                  <w:sz w:val="20"/>
                  <w:szCs w:val="20"/>
                </w:rPr>
                <w:t>Note 19 — Subsequent Events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9E48011" w14:textId="77777777" w:rsidR="00D7560A" w:rsidRDefault="001E3CAB">
            <w:pPr>
              <w:widowControl/>
              <w:jc w:val="center"/>
              <w:textAlignment w:val="bottom"/>
              <w:rPr>
                <w:rFonts w:ascii="宋体" w:eastAsia="宋体" w:hAnsi="宋体" w:cs="宋体"/>
                <w:kern w:val="0"/>
                <w:sz w:val="24"/>
              </w:rPr>
            </w:pPr>
            <w:hyperlink w:anchor="if933dd1d5d004d2495dd7029e3ecad00_133" w:history="1">
              <w:r>
                <w:rPr>
                  <w:rStyle w:val="a4"/>
                  <w:rFonts w:ascii="Times New Roman" w:eastAsia="宋体" w:hAnsi="Times New Roman" w:cs="Times New Roman"/>
                  <w:kern w:val="0"/>
                  <w:sz w:val="20"/>
                  <w:szCs w:val="20"/>
                </w:rPr>
                <w:t>57</w:t>
              </w:r>
            </w:hyperlink>
          </w:p>
        </w:tc>
      </w:tr>
    </w:tbl>
    <w:p w14:paraId="59E48013"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8014"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8015"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4</w:t>
      </w:r>
    </w:p>
    <w:p w14:paraId="59E48016"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8017" w14:textId="77777777" w:rsidR="00D7560A" w:rsidRDefault="001E3CAB">
      <w:pPr>
        <w:widowControl/>
        <w:jc w:val="center"/>
      </w:pPr>
      <w:r>
        <w:rPr>
          <w:rFonts w:ascii="宋体" w:eastAsia="宋体" w:hAnsi="宋体" w:cs="宋体"/>
          <w:kern w:val="0"/>
          <w:sz w:val="24"/>
        </w:rPr>
        <w:pict w14:anchorId="59E4C7CF">
          <v:rect id="_x0000_i1028" style="width:6in;height:1.5pt" o:hralign="center" o:hrstd="t" o:hr="t" fillcolor="#a0a0a0" stroked="f"/>
        </w:pict>
      </w:r>
    </w:p>
    <w:p w14:paraId="59E48018" w14:textId="77777777" w:rsidR="00D7560A" w:rsidRDefault="001E3CAB">
      <w:pPr>
        <w:widowControl/>
        <w:jc w:val="left"/>
        <w:rPr>
          <w:rFonts w:ascii="宋体" w:eastAsia="宋体" w:hAnsi="宋体" w:cs="宋体"/>
          <w:kern w:val="0"/>
          <w:sz w:val="24"/>
        </w:rPr>
      </w:pPr>
      <w:hyperlink w:anchor="if933dd1d5d004d2495dd7029e3ecad00_13" w:history="1">
        <w:r>
          <w:rPr>
            <w:rStyle w:val="a4"/>
            <w:rFonts w:ascii="Times New Roman" w:eastAsia="宋体" w:hAnsi="Times New Roman" w:cs="Times New Roman"/>
            <w:sz w:val="20"/>
            <w:szCs w:val="20"/>
          </w:rPr>
          <w:t>Table of Contents</w:t>
        </w:r>
      </w:hyperlink>
    </w:p>
    <w:p w14:paraId="59E48019" w14:textId="77777777" w:rsidR="00D7560A" w:rsidRDefault="001E3CAB">
      <w:pPr>
        <w:widowControl/>
        <w:spacing w:after="120"/>
        <w:jc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DELL TECHNOLOGIES INC.</w:t>
      </w:r>
    </w:p>
    <w:p w14:paraId="59E4801A" w14:textId="77777777" w:rsidR="00D7560A" w:rsidRDefault="001E3CAB">
      <w:pPr>
        <w:widowControl/>
        <w:spacing w:after="60"/>
        <w:jc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CONDENSED CONSOLIDATED STATEMENTS OF FINANCIAL POSITION</w:t>
      </w:r>
    </w:p>
    <w:p w14:paraId="59E4801B" w14:textId="77777777" w:rsidR="00D7560A" w:rsidRDefault="001E3CAB">
      <w:pPr>
        <w:widowControl/>
        <w:spacing w:after="60"/>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(in millions; 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1"/>
        <w:gridCol w:w="5473"/>
        <w:gridCol w:w="40"/>
        <w:gridCol w:w="120"/>
        <w:gridCol w:w="1181"/>
        <w:gridCol w:w="36"/>
        <w:gridCol w:w="36"/>
        <w:gridCol w:w="36"/>
        <w:gridCol w:w="36"/>
        <w:gridCol w:w="120"/>
        <w:gridCol w:w="1181"/>
        <w:gridCol w:w="36"/>
      </w:tblGrid>
      <w:tr w:rsidR="00D7560A" w14:paraId="59E48028" w14:textId="77777777">
        <w:trPr>
          <w:jc w:val="center"/>
        </w:trPr>
        <w:tc>
          <w:tcPr>
            <w:tcW w:w="50" w:type="pct"/>
            <w:tcBorders>
              <w:top w:val="nil"/>
              <w:left w:val="nil"/>
              <w:bottom w:val="nil"/>
              <w:right w:val="nil"/>
            </w:tcBorders>
            <w:shd w:val="clear" w:color="auto" w:fill="auto"/>
            <w:vAlign w:val="bottom"/>
          </w:tcPr>
          <w:p w14:paraId="59E4801C" w14:textId="77777777" w:rsidR="00D7560A" w:rsidRDefault="00D7560A">
            <w:pPr>
              <w:widowControl/>
              <w:jc w:val="left"/>
              <w:rPr>
                <w:rFonts w:ascii="Times New Roman" w:eastAsia="宋体" w:hAnsi="宋体" w:cs="宋体"/>
                <w:kern w:val="0"/>
                <w:sz w:val="24"/>
              </w:rPr>
            </w:pPr>
          </w:p>
        </w:tc>
        <w:tc>
          <w:tcPr>
            <w:tcW w:w="3322" w:type="pct"/>
            <w:tcBorders>
              <w:top w:val="nil"/>
              <w:left w:val="nil"/>
              <w:bottom w:val="nil"/>
              <w:right w:val="nil"/>
            </w:tcBorders>
            <w:shd w:val="clear" w:color="auto" w:fill="auto"/>
            <w:vAlign w:val="bottom"/>
          </w:tcPr>
          <w:p w14:paraId="59E4801D"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801E"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801F" w14:textId="77777777" w:rsidR="00D7560A" w:rsidRDefault="00D7560A">
            <w:pPr>
              <w:widowControl/>
              <w:jc w:val="left"/>
              <w:rPr>
                <w:rFonts w:ascii="Times New Roman" w:eastAsia="宋体" w:hAnsi="宋体" w:cs="宋体"/>
                <w:kern w:val="0"/>
                <w:sz w:val="24"/>
              </w:rPr>
            </w:pPr>
          </w:p>
        </w:tc>
        <w:tc>
          <w:tcPr>
            <w:tcW w:w="741" w:type="pct"/>
            <w:tcBorders>
              <w:top w:val="nil"/>
              <w:left w:val="nil"/>
              <w:bottom w:val="nil"/>
              <w:right w:val="nil"/>
            </w:tcBorders>
            <w:shd w:val="clear" w:color="auto" w:fill="auto"/>
            <w:vAlign w:val="bottom"/>
          </w:tcPr>
          <w:p w14:paraId="59E48020"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8021"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8022" w14:textId="77777777" w:rsidR="00D7560A" w:rsidRDefault="00D7560A">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59E48023"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8024"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8025" w14:textId="77777777" w:rsidR="00D7560A" w:rsidRDefault="00D7560A">
            <w:pPr>
              <w:widowControl/>
              <w:jc w:val="left"/>
              <w:rPr>
                <w:rFonts w:ascii="Times New Roman" w:eastAsia="宋体" w:hAnsi="宋体" w:cs="宋体"/>
                <w:kern w:val="0"/>
                <w:sz w:val="24"/>
              </w:rPr>
            </w:pPr>
          </w:p>
        </w:tc>
        <w:tc>
          <w:tcPr>
            <w:tcW w:w="741" w:type="pct"/>
            <w:tcBorders>
              <w:top w:val="nil"/>
              <w:left w:val="nil"/>
              <w:bottom w:val="nil"/>
              <w:right w:val="nil"/>
            </w:tcBorders>
            <w:shd w:val="clear" w:color="auto" w:fill="auto"/>
            <w:vAlign w:val="bottom"/>
          </w:tcPr>
          <w:p w14:paraId="59E48026"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8027" w14:textId="77777777" w:rsidR="00D7560A" w:rsidRDefault="00D7560A">
            <w:pPr>
              <w:widowControl/>
              <w:jc w:val="left"/>
              <w:rPr>
                <w:rFonts w:ascii="Times New Roman" w:eastAsia="宋体" w:hAnsi="宋体" w:cs="宋体"/>
                <w:kern w:val="0"/>
                <w:sz w:val="24"/>
              </w:rPr>
            </w:pPr>
          </w:p>
        </w:tc>
      </w:tr>
      <w:tr w:rsidR="00D7560A" w14:paraId="59E4802D"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8029"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auto"/>
            <w:tcMar>
              <w:top w:w="40" w:type="dxa"/>
              <w:left w:w="20" w:type="dxa"/>
              <w:bottom w:w="40" w:type="dxa"/>
              <w:right w:w="20" w:type="dxa"/>
            </w:tcMar>
            <w:vAlign w:val="bottom"/>
          </w:tcPr>
          <w:p w14:paraId="59E4802A"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29, 2022</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802B"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auto"/>
            <w:tcMar>
              <w:top w:w="40" w:type="dxa"/>
              <w:left w:w="20" w:type="dxa"/>
              <w:bottom w:w="40" w:type="dxa"/>
              <w:right w:w="20" w:type="dxa"/>
            </w:tcMar>
            <w:vAlign w:val="bottom"/>
          </w:tcPr>
          <w:p w14:paraId="59E4802C"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January 28, 2022</w:t>
            </w:r>
          </w:p>
        </w:tc>
      </w:tr>
      <w:tr w:rsidR="00D7560A" w14:paraId="59E4802F" w14:textId="77777777">
        <w:trPr>
          <w:jc w:val="center"/>
        </w:trPr>
        <w:tc>
          <w:tcPr>
            <w:tcW w:w="0" w:type="auto"/>
            <w:gridSpan w:val="12"/>
            <w:tcBorders>
              <w:top w:val="nil"/>
              <w:left w:val="nil"/>
              <w:bottom w:val="nil"/>
              <w:right w:val="nil"/>
            </w:tcBorders>
            <w:shd w:val="clear" w:color="auto" w:fill="auto"/>
            <w:tcMar>
              <w:top w:w="40" w:type="dxa"/>
              <w:left w:w="20" w:type="dxa"/>
              <w:bottom w:w="40" w:type="dxa"/>
              <w:right w:w="20" w:type="dxa"/>
            </w:tcMar>
            <w:vAlign w:val="bottom"/>
          </w:tcPr>
          <w:p w14:paraId="59E4802E"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ASSETS</w:t>
            </w:r>
          </w:p>
        </w:tc>
      </w:tr>
      <w:tr w:rsidR="00D7560A" w14:paraId="59E48034"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9E48030"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Current </w:t>
            </w:r>
            <w:r>
              <w:rPr>
                <w:rFonts w:ascii="Times New Roman" w:eastAsia="宋体" w:hAnsi="Times New Roman" w:cs="Times New Roman"/>
                <w:color w:val="000000"/>
                <w:kern w:val="0"/>
                <w:sz w:val="20"/>
                <w:szCs w:val="20"/>
                <w:lang w:bidi="ar"/>
              </w:rPr>
              <w:t>assets:</w:t>
            </w: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9E48031"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032"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9E48033"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r>
      <w:tr w:rsidR="00D7560A" w14:paraId="59E4803D" w14:textId="77777777">
        <w:trPr>
          <w:jc w:val="center"/>
        </w:trPr>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59E48035"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Cash and cash equivalents</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9E48036"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9E48037"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5,507 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038"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039"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9E4803A"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9E4803B"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9,477 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03C" w14:textId="77777777" w:rsidR="00D7560A" w:rsidRDefault="00D7560A">
            <w:pPr>
              <w:widowControl/>
              <w:jc w:val="right"/>
              <w:rPr>
                <w:rFonts w:ascii="Times New Roman" w:eastAsia="宋体" w:hAnsi="宋体" w:cs="宋体"/>
                <w:kern w:val="0"/>
                <w:sz w:val="24"/>
              </w:rPr>
            </w:pPr>
          </w:p>
        </w:tc>
      </w:tr>
      <w:tr w:rsidR="00D7560A" w14:paraId="59E48044"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9E4803E"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Accounts receivable, net of allowance of $75 and $90</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803F"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13,431 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040"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041"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8042"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12,912 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043" w14:textId="77777777" w:rsidR="00D7560A" w:rsidRDefault="00D7560A">
            <w:pPr>
              <w:widowControl/>
              <w:jc w:val="right"/>
              <w:rPr>
                <w:rFonts w:ascii="Times New Roman" w:eastAsia="宋体" w:hAnsi="宋体" w:cs="宋体"/>
                <w:kern w:val="0"/>
                <w:sz w:val="24"/>
              </w:rPr>
            </w:pPr>
          </w:p>
        </w:tc>
      </w:tr>
      <w:tr w:rsidR="00D7560A" w14:paraId="59E4804B" w14:textId="77777777">
        <w:trPr>
          <w:jc w:val="center"/>
        </w:trPr>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59E48045"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Due from related party, net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046"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195 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047"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048"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049"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131 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04A" w14:textId="77777777" w:rsidR="00D7560A" w:rsidRDefault="00D7560A">
            <w:pPr>
              <w:widowControl/>
              <w:jc w:val="right"/>
              <w:rPr>
                <w:rFonts w:ascii="Times New Roman" w:eastAsia="宋体" w:hAnsi="宋体" w:cs="宋体"/>
                <w:kern w:val="0"/>
                <w:sz w:val="24"/>
              </w:rPr>
            </w:pPr>
          </w:p>
        </w:tc>
      </w:tr>
      <w:tr w:rsidR="00D7560A" w14:paraId="59E48052"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9E4804C"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Short-term financing receivables, net of allowance of $133 and $142 (Note 5)</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804D"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4,860 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04E"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04F"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8050"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5,089 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051" w14:textId="77777777" w:rsidR="00D7560A" w:rsidRDefault="00D7560A">
            <w:pPr>
              <w:widowControl/>
              <w:jc w:val="right"/>
              <w:rPr>
                <w:rFonts w:ascii="Times New Roman" w:eastAsia="宋体" w:hAnsi="宋体" w:cs="宋体"/>
                <w:kern w:val="0"/>
                <w:sz w:val="24"/>
              </w:rPr>
            </w:pPr>
          </w:p>
        </w:tc>
      </w:tr>
      <w:tr w:rsidR="00D7560A" w14:paraId="59E48059" w14:textId="77777777">
        <w:trPr>
          <w:jc w:val="center"/>
        </w:trPr>
        <w:tc>
          <w:tcPr>
            <w:tcW w:w="0" w:type="auto"/>
            <w:gridSpan w:val="3"/>
            <w:tcBorders>
              <w:top w:val="nil"/>
              <w:left w:val="nil"/>
              <w:bottom w:val="nil"/>
              <w:right w:val="nil"/>
            </w:tcBorders>
            <w:shd w:val="clear" w:color="auto" w:fill="FFFFFF"/>
            <w:tcMar>
              <w:top w:w="40" w:type="dxa"/>
              <w:left w:w="260" w:type="dxa"/>
              <w:bottom w:w="40" w:type="dxa"/>
              <w:right w:w="20" w:type="dxa"/>
            </w:tcMar>
            <w:vAlign w:val="bottom"/>
          </w:tcPr>
          <w:p w14:paraId="59E48053"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Inventories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054"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5,883 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055"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056"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057"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5,898 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058" w14:textId="77777777" w:rsidR="00D7560A" w:rsidRDefault="00D7560A">
            <w:pPr>
              <w:widowControl/>
              <w:jc w:val="right"/>
              <w:rPr>
                <w:rFonts w:ascii="Times New Roman" w:eastAsia="宋体" w:hAnsi="宋体" w:cs="宋体"/>
                <w:kern w:val="0"/>
                <w:sz w:val="24"/>
              </w:rPr>
            </w:pPr>
          </w:p>
        </w:tc>
      </w:tr>
      <w:tr w:rsidR="00D7560A" w14:paraId="59E48060" w14:textId="77777777">
        <w:trPr>
          <w:jc w:val="center"/>
        </w:trPr>
        <w:tc>
          <w:tcPr>
            <w:tcW w:w="0" w:type="auto"/>
            <w:gridSpan w:val="3"/>
            <w:tcBorders>
              <w:top w:val="nil"/>
              <w:left w:val="nil"/>
              <w:bottom w:val="nil"/>
              <w:right w:val="nil"/>
            </w:tcBorders>
            <w:shd w:val="clear" w:color="auto" w:fill="CCEEFF"/>
            <w:tcMar>
              <w:top w:w="40" w:type="dxa"/>
              <w:left w:w="245" w:type="dxa"/>
              <w:bottom w:w="40" w:type="dxa"/>
              <w:right w:w="20" w:type="dxa"/>
            </w:tcMar>
            <w:vAlign w:val="bottom"/>
          </w:tcPr>
          <w:p w14:paraId="59E4805A"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Other current assets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805B"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12,386 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05C"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05D"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805E"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11,526 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05F" w14:textId="77777777" w:rsidR="00D7560A" w:rsidRDefault="00D7560A">
            <w:pPr>
              <w:widowControl/>
              <w:jc w:val="right"/>
              <w:rPr>
                <w:rFonts w:ascii="Times New Roman" w:eastAsia="宋体" w:hAnsi="宋体" w:cs="宋体"/>
                <w:kern w:val="0"/>
                <w:sz w:val="24"/>
              </w:rPr>
            </w:pPr>
          </w:p>
        </w:tc>
      </w:tr>
      <w:tr w:rsidR="00D7560A" w14:paraId="59E48067" w14:textId="77777777">
        <w:trPr>
          <w:jc w:val="center"/>
        </w:trPr>
        <w:tc>
          <w:tcPr>
            <w:tcW w:w="0" w:type="auto"/>
            <w:gridSpan w:val="3"/>
            <w:tcBorders>
              <w:top w:val="nil"/>
              <w:left w:val="nil"/>
              <w:bottom w:val="nil"/>
              <w:right w:val="nil"/>
            </w:tcBorders>
            <w:shd w:val="clear" w:color="auto" w:fill="FFFFFF"/>
            <w:tcMar>
              <w:top w:w="40" w:type="dxa"/>
              <w:left w:w="365" w:type="dxa"/>
              <w:bottom w:w="40" w:type="dxa"/>
              <w:right w:w="20" w:type="dxa"/>
            </w:tcMar>
            <w:vAlign w:val="bottom"/>
          </w:tcPr>
          <w:p w14:paraId="59E48061"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Total current assets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59E48062"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42,262 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59E48063"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064" w14:textId="77777777" w:rsidR="00D7560A" w:rsidRDefault="00D7560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59E48065"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45,033 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59E48066" w14:textId="77777777" w:rsidR="00D7560A" w:rsidRDefault="00D7560A">
            <w:pPr>
              <w:widowControl/>
              <w:jc w:val="right"/>
              <w:rPr>
                <w:rFonts w:ascii="Times New Roman" w:eastAsia="宋体" w:hAnsi="宋体" w:cs="宋体"/>
                <w:kern w:val="0"/>
                <w:sz w:val="24"/>
              </w:rPr>
            </w:pPr>
          </w:p>
        </w:tc>
      </w:tr>
      <w:tr w:rsidR="00D7560A" w14:paraId="59E4806E"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9E48068"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Property, plant, and equipment, net</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8069"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5,772 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06A"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06B"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806C"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5,415 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06D" w14:textId="77777777" w:rsidR="00D7560A" w:rsidRDefault="00D7560A">
            <w:pPr>
              <w:widowControl/>
              <w:jc w:val="right"/>
              <w:rPr>
                <w:rFonts w:ascii="Times New Roman" w:eastAsia="宋体" w:hAnsi="宋体" w:cs="宋体"/>
                <w:kern w:val="0"/>
                <w:sz w:val="24"/>
              </w:rPr>
            </w:pPr>
          </w:p>
        </w:tc>
      </w:tr>
      <w:tr w:rsidR="00D7560A" w14:paraId="59E48075"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59E4806F"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Long-term investments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070"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1,520 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071"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072"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073"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1,839 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074" w14:textId="77777777" w:rsidR="00D7560A" w:rsidRDefault="00D7560A">
            <w:pPr>
              <w:widowControl/>
              <w:jc w:val="right"/>
              <w:rPr>
                <w:rFonts w:ascii="Times New Roman" w:eastAsia="宋体" w:hAnsi="宋体" w:cs="宋体"/>
                <w:kern w:val="0"/>
                <w:sz w:val="24"/>
              </w:rPr>
            </w:pPr>
          </w:p>
        </w:tc>
      </w:tr>
      <w:tr w:rsidR="00D7560A" w14:paraId="59E4807C"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9E48076"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Long-term financing </w:t>
            </w:r>
            <w:r>
              <w:rPr>
                <w:rFonts w:ascii="Times New Roman" w:eastAsia="宋体" w:hAnsi="Times New Roman" w:cs="Times New Roman"/>
                <w:color w:val="000000"/>
                <w:kern w:val="0"/>
                <w:sz w:val="20"/>
                <w:szCs w:val="20"/>
                <w:lang w:bidi="ar"/>
              </w:rPr>
              <w:t>receivables, net of allowance of $50 and $47 (Note 5)</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8077"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5,450 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078"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079"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807A"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5,522 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07B" w14:textId="77777777" w:rsidR="00D7560A" w:rsidRDefault="00D7560A">
            <w:pPr>
              <w:widowControl/>
              <w:jc w:val="right"/>
              <w:rPr>
                <w:rFonts w:ascii="Times New Roman" w:eastAsia="宋体" w:hAnsi="宋体" w:cs="宋体"/>
                <w:kern w:val="0"/>
                <w:sz w:val="24"/>
              </w:rPr>
            </w:pPr>
          </w:p>
        </w:tc>
      </w:tr>
      <w:tr w:rsidR="00D7560A" w14:paraId="59E48083"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59E4807D"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Goodwill</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07E"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19,505 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07F"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080"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081"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19,770 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082" w14:textId="77777777" w:rsidR="00D7560A" w:rsidRDefault="00D7560A">
            <w:pPr>
              <w:widowControl/>
              <w:jc w:val="right"/>
              <w:rPr>
                <w:rFonts w:ascii="Times New Roman" w:eastAsia="宋体" w:hAnsi="宋体" w:cs="宋体"/>
                <w:kern w:val="0"/>
                <w:sz w:val="24"/>
              </w:rPr>
            </w:pPr>
          </w:p>
        </w:tc>
      </w:tr>
      <w:tr w:rsidR="00D7560A" w14:paraId="59E4808A"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9E48084"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Intangible assets, net</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8085"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6,972 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086"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087"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8088"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7,461 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089" w14:textId="77777777" w:rsidR="00D7560A" w:rsidRDefault="00D7560A">
            <w:pPr>
              <w:widowControl/>
              <w:jc w:val="right"/>
              <w:rPr>
                <w:rFonts w:ascii="Times New Roman" w:eastAsia="宋体" w:hAnsi="宋体" w:cs="宋体"/>
                <w:kern w:val="0"/>
                <w:sz w:val="24"/>
              </w:rPr>
            </w:pPr>
          </w:p>
        </w:tc>
      </w:tr>
      <w:tr w:rsidR="00D7560A" w14:paraId="59E48091"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59E4808B"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Due from related party, net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08C"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609 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08D"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08E"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08F"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710 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090" w14:textId="77777777" w:rsidR="00D7560A" w:rsidRDefault="00D7560A">
            <w:pPr>
              <w:widowControl/>
              <w:jc w:val="right"/>
              <w:rPr>
                <w:rFonts w:ascii="Times New Roman" w:eastAsia="宋体" w:hAnsi="宋体" w:cs="宋体"/>
                <w:kern w:val="0"/>
                <w:sz w:val="24"/>
              </w:rPr>
            </w:pPr>
          </w:p>
        </w:tc>
      </w:tr>
      <w:tr w:rsidR="00D7560A" w14:paraId="59E48098"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9E48092"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Other non-current assets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8093"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6,685 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094"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095"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8096"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6,985 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097" w14:textId="77777777" w:rsidR="00D7560A" w:rsidRDefault="00D7560A">
            <w:pPr>
              <w:widowControl/>
              <w:jc w:val="right"/>
              <w:rPr>
                <w:rFonts w:ascii="Times New Roman" w:eastAsia="宋体" w:hAnsi="宋体" w:cs="宋体"/>
                <w:kern w:val="0"/>
                <w:sz w:val="24"/>
              </w:rPr>
            </w:pPr>
          </w:p>
        </w:tc>
      </w:tr>
      <w:tr w:rsidR="00D7560A" w14:paraId="59E480A1" w14:textId="77777777">
        <w:trPr>
          <w:jc w:val="center"/>
        </w:trPr>
        <w:tc>
          <w:tcPr>
            <w:tcW w:w="0" w:type="auto"/>
            <w:gridSpan w:val="3"/>
            <w:tcBorders>
              <w:top w:val="nil"/>
              <w:left w:val="nil"/>
              <w:bottom w:val="nil"/>
              <w:right w:val="nil"/>
            </w:tcBorders>
            <w:shd w:val="clear" w:color="auto" w:fill="FFFFFF"/>
            <w:tcMar>
              <w:top w:w="40" w:type="dxa"/>
              <w:left w:w="485" w:type="dxa"/>
              <w:bottom w:w="40" w:type="dxa"/>
              <w:right w:w="20" w:type="dxa"/>
            </w:tcMar>
            <w:vAlign w:val="bottom"/>
          </w:tcPr>
          <w:p w14:paraId="59E48099"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Total assets</w:t>
            </w:r>
          </w:p>
        </w:tc>
        <w:tc>
          <w:tcPr>
            <w:tcW w:w="0" w:type="auto"/>
            <w:tcBorders>
              <w:top w:val="single" w:sz="8" w:space="0" w:color="000000"/>
              <w:left w:val="nil"/>
              <w:bottom w:val="single" w:sz="8" w:space="0" w:color="000000"/>
              <w:right w:val="nil"/>
            </w:tcBorders>
            <w:shd w:val="clear" w:color="auto" w:fill="FFFFFF"/>
            <w:tcMar>
              <w:top w:w="40" w:type="dxa"/>
              <w:left w:w="20" w:type="dxa"/>
              <w:bottom w:w="40" w:type="dxa"/>
              <w:right w:w="0" w:type="dxa"/>
            </w:tcMar>
            <w:vAlign w:val="bottom"/>
          </w:tcPr>
          <w:p w14:paraId="59E4809A"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0" w:type="dxa"/>
            </w:tcMar>
            <w:vAlign w:val="bottom"/>
          </w:tcPr>
          <w:p w14:paraId="59E4809B"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88,775 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59E4809C"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09D"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single" w:sz="8" w:space="0" w:color="000000"/>
              <w:right w:val="nil"/>
            </w:tcBorders>
            <w:shd w:val="clear" w:color="auto" w:fill="FFFFFF"/>
            <w:tcMar>
              <w:top w:w="40" w:type="dxa"/>
              <w:left w:w="20" w:type="dxa"/>
              <w:bottom w:w="40" w:type="dxa"/>
              <w:right w:w="0" w:type="dxa"/>
            </w:tcMar>
            <w:vAlign w:val="bottom"/>
          </w:tcPr>
          <w:p w14:paraId="59E4809E"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0" w:type="dxa"/>
            </w:tcMar>
            <w:vAlign w:val="bottom"/>
          </w:tcPr>
          <w:p w14:paraId="59E4809F"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92,735 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59E480A0" w14:textId="77777777" w:rsidR="00D7560A" w:rsidRDefault="00D7560A">
            <w:pPr>
              <w:widowControl/>
              <w:jc w:val="right"/>
              <w:rPr>
                <w:rFonts w:ascii="Times New Roman" w:eastAsia="宋体" w:hAnsi="宋体" w:cs="宋体"/>
                <w:kern w:val="0"/>
                <w:sz w:val="24"/>
              </w:rPr>
            </w:pPr>
          </w:p>
        </w:tc>
      </w:tr>
      <w:tr w:rsidR="00D7560A" w14:paraId="59E480A3" w14:textId="77777777">
        <w:trPr>
          <w:jc w:val="center"/>
        </w:trPr>
        <w:tc>
          <w:tcPr>
            <w:tcW w:w="0" w:type="auto"/>
            <w:gridSpan w:val="12"/>
            <w:tcBorders>
              <w:top w:val="nil"/>
              <w:left w:val="nil"/>
              <w:bottom w:val="nil"/>
              <w:right w:val="nil"/>
            </w:tcBorders>
            <w:shd w:val="clear" w:color="auto" w:fill="CCEEFF"/>
            <w:tcMar>
              <w:top w:w="40" w:type="dxa"/>
              <w:left w:w="20" w:type="dxa"/>
              <w:bottom w:w="40" w:type="dxa"/>
              <w:right w:w="20" w:type="dxa"/>
            </w:tcMar>
            <w:vAlign w:val="bottom"/>
          </w:tcPr>
          <w:p w14:paraId="59E480A2"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LIABILITIES AND STOCKHOLDERS’ EQUITY</w:t>
            </w:r>
          </w:p>
        </w:tc>
      </w:tr>
      <w:tr w:rsidR="00D7560A" w14:paraId="59E480A8"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59E480A4"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Current liabilities:</w:t>
            </w: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59E480A5"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0A6"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59E480A7"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r>
      <w:tr w:rsidR="00D7560A" w14:paraId="59E480B1" w14:textId="77777777">
        <w:trPr>
          <w:jc w:val="center"/>
        </w:trPr>
        <w:tc>
          <w:tcPr>
            <w:tcW w:w="0" w:type="auto"/>
            <w:gridSpan w:val="3"/>
            <w:tcBorders>
              <w:top w:val="nil"/>
              <w:left w:val="nil"/>
              <w:bottom w:val="nil"/>
              <w:right w:val="nil"/>
            </w:tcBorders>
            <w:shd w:val="clear" w:color="auto" w:fill="CCEEFF"/>
            <w:tcMar>
              <w:top w:w="40" w:type="dxa"/>
              <w:left w:w="245" w:type="dxa"/>
              <w:bottom w:w="40" w:type="dxa"/>
              <w:right w:w="20" w:type="dxa"/>
            </w:tcMar>
            <w:vAlign w:val="bottom"/>
          </w:tcPr>
          <w:p w14:paraId="59E480A9"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Short-term debt</w:t>
            </w: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9E480AA"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9E480AB"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6,647 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0AC"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0AD"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9E480AE"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9E480AF"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5,823 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0B0" w14:textId="77777777" w:rsidR="00D7560A" w:rsidRDefault="00D7560A">
            <w:pPr>
              <w:widowControl/>
              <w:jc w:val="right"/>
              <w:rPr>
                <w:rFonts w:ascii="Times New Roman" w:eastAsia="宋体" w:hAnsi="宋体" w:cs="宋体"/>
                <w:kern w:val="0"/>
                <w:sz w:val="24"/>
              </w:rPr>
            </w:pPr>
          </w:p>
        </w:tc>
      </w:tr>
      <w:tr w:rsidR="00D7560A" w14:paraId="59E480B8" w14:textId="77777777">
        <w:trPr>
          <w:jc w:val="center"/>
        </w:trPr>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59E480B2"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Accounts payable</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0B3"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25,339 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0B4"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0B5"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0B6"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27,143 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0B7" w14:textId="77777777" w:rsidR="00D7560A" w:rsidRDefault="00D7560A">
            <w:pPr>
              <w:widowControl/>
              <w:jc w:val="right"/>
              <w:rPr>
                <w:rFonts w:ascii="Times New Roman" w:eastAsia="宋体" w:hAnsi="宋体" w:cs="宋体"/>
                <w:kern w:val="0"/>
                <w:sz w:val="24"/>
              </w:rPr>
            </w:pPr>
          </w:p>
        </w:tc>
      </w:tr>
      <w:tr w:rsidR="00D7560A" w14:paraId="59E480BF" w14:textId="77777777">
        <w:trPr>
          <w:jc w:val="center"/>
        </w:trPr>
        <w:tc>
          <w:tcPr>
            <w:tcW w:w="0" w:type="auto"/>
            <w:gridSpan w:val="3"/>
            <w:tcBorders>
              <w:top w:val="nil"/>
              <w:left w:val="nil"/>
              <w:bottom w:val="nil"/>
              <w:right w:val="nil"/>
            </w:tcBorders>
            <w:shd w:val="clear" w:color="auto" w:fill="CCEEFF"/>
            <w:tcMar>
              <w:top w:w="40" w:type="dxa"/>
              <w:left w:w="245" w:type="dxa"/>
              <w:bottom w:w="40" w:type="dxa"/>
              <w:right w:w="20" w:type="dxa"/>
            </w:tcMar>
            <w:vAlign w:val="bottom"/>
          </w:tcPr>
          <w:p w14:paraId="59E480B9"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Due to related party</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80BA"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1,269 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0BB"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0BC"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80BD"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1,414 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0BE" w14:textId="77777777" w:rsidR="00D7560A" w:rsidRDefault="00D7560A">
            <w:pPr>
              <w:widowControl/>
              <w:jc w:val="right"/>
              <w:rPr>
                <w:rFonts w:ascii="Times New Roman" w:eastAsia="宋体" w:hAnsi="宋体" w:cs="宋体"/>
                <w:kern w:val="0"/>
                <w:sz w:val="24"/>
              </w:rPr>
            </w:pPr>
          </w:p>
        </w:tc>
      </w:tr>
      <w:tr w:rsidR="00D7560A" w14:paraId="59E480C6" w14:textId="77777777">
        <w:trPr>
          <w:jc w:val="center"/>
        </w:trPr>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59E480C0"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Accrued and other</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0C1"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6,810 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0C2"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0C3"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0C4"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7,578 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0C5" w14:textId="77777777" w:rsidR="00D7560A" w:rsidRDefault="00D7560A">
            <w:pPr>
              <w:widowControl/>
              <w:jc w:val="right"/>
              <w:rPr>
                <w:rFonts w:ascii="Times New Roman" w:eastAsia="宋体" w:hAnsi="宋体" w:cs="宋体"/>
                <w:kern w:val="0"/>
                <w:sz w:val="24"/>
              </w:rPr>
            </w:pPr>
          </w:p>
        </w:tc>
      </w:tr>
      <w:tr w:rsidR="00D7560A" w14:paraId="59E480CD" w14:textId="77777777">
        <w:trPr>
          <w:jc w:val="center"/>
        </w:trPr>
        <w:tc>
          <w:tcPr>
            <w:tcW w:w="0" w:type="auto"/>
            <w:gridSpan w:val="3"/>
            <w:tcBorders>
              <w:top w:val="nil"/>
              <w:left w:val="nil"/>
              <w:bottom w:val="nil"/>
              <w:right w:val="nil"/>
            </w:tcBorders>
            <w:shd w:val="clear" w:color="auto" w:fill="CCEEFF"/>
            <w:tcMar>
              <w:top w:w="40" w:type="dxa"/>
              <w:left w:w="245" w:type="dxa"/>
              <w:bottom w:w="40" w:type="dxa"/>
              <w:right w:w="20" w:type="dxa"/>
            </w:tcMar>
            <w:vAlign w:val="bottom"/>
          </w:tcPr>
          <w:p w14:paraId="59E480C7"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Short-term deferred revenue</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80C8"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14,724 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0C9"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0CA"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80CB"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14,261 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0CC" w14:textId="77777777" w:rsidR="00D7560A" w:rsidRDefault="00D7560A">
            <w:pPr>
              <w:widowControl/>
              <w:jc w:val="right"/>
              <w:rPr>
                <w:rFonts w:ascii="Times New Roman" w:eastAsia="宋体" w:hAnsi="宋体" w:cs="宋体"/>
                <w:kern w:val="0"/>
                <w:sz w:val="24"/>
              </w:rPr>
            </w:pPr>
          </w:p>
        </w:tc>
      </w:tr>
      <w:tr w:rsidR="00D7560A" w14:paraId="59E480D4" w14:textId="77777777">
        <w:trPr>
          <w:jc w:val="center"/>
        </w:trPr>
        <w:tc>
          <w:tcPr>
            <w:tcW w:w="0" w:type="auto"/>
            <w:gridSpan w:val="3"/>
            <w:tcBorders>
              <w:top w:val="nil"/>
              <w:left w:val="nil"/>
              <w:bottom w:val="nil"/>
              <w:right w:val="nil"/>
            </w:tcBorders>
            <w:shd w:val="clear" w:color="auto" w:fill="FFFFFF"/>
            <w:tcMar>
              <w:top w:w="40" w:type="dxa"/>
              <w:left w:w="365" w:type="dxa"/>
              <w:bottom w:w="40" w:type="dxa"/>
              <w:right w:w="20" w:type="dxa"/>
            </w:tcMar>
            <w:vAlign w:val="bottom"/>
          </w:tcPr>
          <w:p w14:paraId="59E480CE"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Total current liabilities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59E480CF"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54,789 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59E480D0"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0D1" w14:textId="77777777" w:rsidR="00D7560A" w:rsidRDefault="00D7560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59E480D2"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56,219 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59E480D3" w14:textId="77777777" w:rsidR="00D7560A" w:rsidRDefault="00D7560A">
            <w:pPr>
              <w:widowControl/>
              <w:jc w:val="right"/>
              <w:rPr>
                <w:rFonts w:ascii="Times New Roman" w:eastAsia="宋体" w:hAnsi="宋体" w:cs="宋体"/>
                <w:kern w:val="0"/>
                <w:sz w:val="24"/>
              </w:rPr>
            </w:pPr>
          </w:p>
        </w:tc>
      </w:tr>
      <w:tr w:rsidR="00D7560A" w14:paraId="59E480DB"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9E480D5"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Long-term debt</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80D6"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20,287 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0D7"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0D8"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80D9"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21,131 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0DA" w14:textId="77777777" w:rsidR="00D7560A" w:rsidRDefault="00D7560A">
            <w:pPr>
              <w:widowControl/>
              <w:jc w:val="right"/>
              <w:rPr>
                <w:rFonts w:ascii="Times New Roman" w:eastAsia="宋体" w:hAnsi="宋体" w:cs="宋体"/>
                <w:kern w:val="0"/>
                <w:sz w:val="24"/>
              </w:rPr>
            </w:pPr>
          </w:p>
        </w:tc>
      </w:tr>
      <w:tr w:rsidR="00D7560A" w14:paraId="59E480E2"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59E480DC"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Long-term deferred revenue</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0DD"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13,301 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0DE"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0DF"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0E0"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13,312 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0E1" w14:textId="77777777" w:rsidR="00D7560A" w:rsidRDefault="00D7560A">
            <w:pPr>
              <w:widowControl/>
              <w:jc w:val="right"/>
              <w:rPr>
                <w:rFonts w:ascii="Times New Roman" w:eastAsia="宋体" w:hAnsi="宋体" w:cs="宋体"/>
                <w:kern w:val="0"/>
                <w:sz w:val="24"/>
              </w:rPr>
            </w:pPr>
          </w:p>
        </w:tc>
      </w:tr>
      <w:tr w:rsidR="00D7560A" w14:paraId="59E480E9"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9E480E3"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Other non-current liabilities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80E4"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3,153 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0E5"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0E6"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80E7"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3,653 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0E8" w14:textId="77777777" w:rsidR="00D7560A" w:rsidRDefault="00D7560A">
            <w:pPr>
              <w:widowControl/>
              <w:jc w:val="right"/>
              <w:rPr>
                <w:rFonts w:ascii="Times New Roman" w:eastAsia="宋体" w:hAnsi="宋体" w:cs="宋体"/>
                <w:kern w:val="0"/>
                <w:sz w:val="24"/>
              </w:rPr>
            </w:pPr>
          </w:p>
        </w:tc>
      </w:tr>
      <w:tr w:rsidR="00D7560A" w14:paraId="59E480F0" w14:textId="77777777">
        <w:trPr>
          <w:jc w:val="center"/>
        </w:trPr>
        <w:tc>
          <w:tcPr>
            <w:tcW w:w="0" w:type="auto"/>
            <w:gridSpan w:val="3"/>
            <w:tcBorders>
              <w:top w:val="nil"/>
              <w:left w:val="nil"/>
              <w:bottom w:val="nil"/>
              <w:right w:val="nil"/>
            </w:tcBorders>
            <w:shd w:val="clear" w:color="auto" w:fill="FFFFFF"/>
            <w:tcMar>
              <w:top w:w="40" w:type="dxa"/>
              <w:left w:w="485" w:type="dxa"/>
              <w:bottom w:w="40" w:type="dxa"/>
              <w:right w:w="20" w:type="dxa"/>
            </w:tcMar>
            <w:vAlign w:val="bottom"/>
          </w:tcPr>
          <w:p w14:paraId="59E480EA"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Total liabilities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59E480EB"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91,530 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59E480EC"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0ED" w14:textId="77777777" w:rsidR="00D7560A" w:rsidRDefault="00D7560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59E480EE"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94,315 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59E480EF" w14:textId="77777777" w:rsidR="00D7560A" w:rsidRDefault="00D7560A">
            <w:pPr>
              <w:widowControl/>
              <w:jc w:val="right"/>
              <w:rPr>
                <w:rFonts w:ascii="Times New Roman" w:eastAsia="宋体" w:hAnsi="宋体" w:cs="宋体"/>
                <w:kern w:val="0"/>
                <w:sz w:val="24"/>
              </w:rPr>
            </w:pPr>
          </w:p>
        </w:tc>
      </w:tr>
      <w:tr w:rsidR="00D7560A" w14:paraId="59E480F5"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9E480F1"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Commitments and </w:t>
            </w:r>
            <w:r>
              <w:rPr>
                <w:rFonts w:ascii="Times New Roman" w:eastAsia="宋体" w:hAnsi="Times New Roman" w:cs="Times New Roman"/>
                <w:color w:val="000000"/>
                <w:kern w:val="0"/>
                <w:sz w:val="20"/>
                <w:szCs w:val="20"/>
                <w:lang w:bidi="ar"/>
              </w:rPr>
              <w:t>contingencies (Note 11)</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59E480F2"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0F3"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59E480F4" w14:textId="77777777" w:rsidR="00D7560A" w:rsidRDefault="00D7560A">
            <w:pPr>
              <w:widowControl/>
              <w:jc w:val="left"/>
              <w:rPr>
                <w:rFonts w:ascii="Times New Roman" w:eastAsia="宋体" w:hAnsi="宋体" w:cs="宋体"/>
                <w:kern w:val="0"/>
                <w:sz w:val="24"/>
              </w:rPr>
            </w:pPr>
          </w:p>
        </w:tc>
      </w:tr>
      <w:tr w:rsidR="00D7560A" w14:paraId="59E480FA"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59E480F6"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Stockholders’ equity (deficit):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0F7"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0F8"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0F9" w14:textId="77777777" w:rsidR="00D7560A" w:rsidRDefault="00D7560A">
            <w:pPr>
              <w:widowControl/>
              <w:jc w:val="left"/>
              <w:rPr>
                <w:rFonts w:ascii="Times New Roman" w:eastAsia="宋体" w:hAnsi="宋体" w:cs="宋体"/>
                <w:kern w:val="0"/>
                <w:sz w:val="24"/>
              </w:rPr>
            </w:pPr>
          </w:p>
        </w:tc>
      </w:tr>
      <w:tr w:rsidR="00D7560A" w14:paraId="59E48101"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9E480FB"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Common stock and capital in excess of $0.01 par value (Note 14)</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80FC"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8,005 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0FD"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0FE"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80FF"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7,898 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100" w14:textId="77777777" w:rsidR="00D7560A" w:rsidRDefault="00D7560A">
            <w:pPr>
              <w:widowControl/>
              <w:jc w:val="right"/>
              <w:rPr>
                <w:rFonts w:ascii="Times New Roman" w:eastAsia="宋体" w:hAnsi="宋体" w:cs="宋体"/>
                <w:kern w:val="0"/>
                <w:sz w:val="24"/>
              </w:rPr>
            </w:pPr>
          </w:p>
        </w:tc>
      </w:tr>
      <w:tr w:rsidR="00D7560A" w14:paraId="59E48108"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59E48102"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Treasury stock at cost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103"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(3,054)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104"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105"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106"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(964)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107" w14:textId="77777777" w:rsidR="00D7560A" w:rsidRDefault="00D7560A">
            <w:pPr>
              <w:widowControl/>
              <w:jc w:val="right"/>
              <w:rPr>
                <w:rFonts w:ascii="Times New Roman" w:eastAsia="宋体" w:hAnsi="宋体" w:cs="宋体"/>
                <w:kern w:val="0"/>
                <w:sz w:val="24"/>
              </w:rPr>
            </w:pPr>
          </w:p>
        </w:tc>
      </w:tr>
      <w:tr w:rsidR="00D7560A" w14:paraId="59E4810F"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9E48109"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Accumulated deficit</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810A"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(7,106)</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10B"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10C"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810D"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(8,188)</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10E" w14:textId="77777777" w:rsidR="00D7560A" w:rsidRDefault="00D7560A">
            <w:pPr>
              <w:widowControl/>
              <w:jc w:val="right"/>
              <w:rPr>
                <w:rFonts w:ascii="Times New Roman" w:eastAsia="宋体" w:hAnsi="宋体" w:cs="宋体"/>
                <w:kern w:val="0"/>
                <w:sz w:val="24"/>
              </w:rPr>
            </w:pPr>
          </w:p>
        </w:tc>
      </w:tr>
      <w:tr w:rsidR="00D7560A" w14:paraId="59E48116"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59E48110"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Accumulated other </w:t>
            </w:r>
            <w:r>
              <w:rPr>
                <w:rFonts w:ascii="Times New Roman" w:eastAsia="宋体" w:hAnsi="Times New Roman" w:cs="Times New Roman"/>
                <w:color w:val="000000"/>
                <w:kern w:val="0"/>
                <w:sz w:val="20"/>
                <w:szCs w:val="20"/>
                <w:lang w:bidi="ar"/>
              </w:rPr>
              <w:t>comprehensive loss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111"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(705)</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112"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113"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114"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(431)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115" w14:textId="77777777" w:rsidR="00D7560A" w:rsidRDefault="00D7560A">
            <w:pPr>
              <w:widowControl/>
              <w:jc w:val="right"/>
              <w:rPr>
                <w:rFonts w:ascii="Times New Roman" w:eastAsia="宋体" w:hAnsi="宋体" w:cs="宋体"/>
                <w:kern w:val="0"/>
                <w:sz w:val="24"/>
              </w:rPr>
            </w:pPr>
          </w:p>
        </w:tc>
      </w:tr>
      <w:tr w:rsidR="00D7560A" w14:paraId="59E4811D" w14:textId="77777777">
        <w:trPr>
          <w:jc w:val="center"/>
        </w:trPr>
        <w:tc>
          <w:tcPr>
            <w:tcW w:w="0" w:type="auto"/>
            <w:gridSpan w:val="3"/>
            <w:tcBorders>
              <w:top w:val="nil"/>
              <w:left w:val="nil"/>
              <w:bottom w:val="nil"/>
              <w:right w:val="nil"/>
            </w:tcBorders>
            <w:shd w:val="clear" w:color="auto" w:fill="CCEEFF"/>
            <w:tcMar>
              <w:top w:w="40" w:type="dxa"/>
              <w:left w:w="380" w:type="dxa"/>
              <w:bottom w:w="40" w:type="dxa"/>
              <w:right w:w="20" w:type="dxa"/>
            </w:tcMar>
            <w:vAlign w:val="bottom"/>
          </w:tcPr>
          <w:p w14:paraId="59E48117"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Total Dell Technologies Inc. stockholders’ equity (deficit)</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59E48118"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(2,860)</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59E48119"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11A" w14:textId="77777777" w:rsidR="00D7560A" w:rsidRDefault="00D7560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59E4811B"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(1,685)</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59E4811C" w14:textId="77777777" w:rsidR="00D7560A" w:rsidRDefault="00D7560A">
            <w:pPr>
              <w:widowControl/>
              <w:jc w:val="right"/>
              <w:rPr>
                <w:rFonts w:ascii="Times New Roman" w:eastAsia="宋体" w:hAnsi="宋体" w:cs="宋体"/>
                <w:kern w:val="0"/>
                <w:sz w:val="24"/>
              </w:rPr>
            </w:pPr>
          </w:p>
        </w:tc>
      </w:tr>
      <w:tr w:rsidR="00D7560A" w14:paraId="59E48124" w14:textId="77777777">
        <w:trPr>
          <w:jc w:val="center"/>
        </w:trPr>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59E4811E"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Non-controlling interests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11F"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105 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120"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121"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122"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105 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123" w14:textId="77777777" w:rsidR="00D7560A" w:rsidRDefault="00D7560A">
            <w:pPr>
              <w:widowControl/>
              <w:jc w:val="right"/>
              <w:rPr>
                <w:rFonts w:ascii="Times New Roman" w:eastAsia="宋体" w:hAnsi="宋体" w:cs="宋体"/>
                <w:kern w:val="0"/>
                <w:sz w:val="24"/>
              </w:rPr>
            </w:pPr>
          </w:p>
        </w:tc>
      </w:tr>
      <w:tr w:rsidR="00D7560A" w14:paraId="59E4812B" w14:textId="77777777">
        <w:trPr>
          <w:jc w:val="center"/>
        </w:trPr>
        <w:tc>
          <w:tcPr>
            <w:tcW w:w="0" w:type="auto"/>
            <w:gridSpan w:val="3"/>
            <w:tcBorders>
              <w:top w:val="nil"/>
              <w:left w:val="nil"/>
              <w:bottom w:val="nil"/>
              <w:right w:val="nil"/>
            </w:tcBorders>
            <w:shd w:val="clear" w:color="auto" w:fill="CCEEFF"/>
            <w:tcMar>
              <w:top w:w="40" w:type="dxa"/>
              <w:left w:w="605" w:type="dxa"/>
              <w:bottom w:w="40" w:type="dxa"/>
              <w:right w:w="20" w:type="dxa"/>
            </w:tcMar>
            <w:vAlign w:val="bottom"/>
          </w:tcPr>
          <w:p w14:paraId="59E48125"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Total stockholders’ equity (deficit)</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59E48126"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(2,755)</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59E48127"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128" w14:textId="77777777" w:rsidR="00D7560A" w:rsidRDefault="00D7560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59E48129"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(1,580)</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59E4812A" w14:textId="77777777" w:rsidR="00D7560A" w:rsidRDefault="00D7560A">
            <w:pPr>
              <w:widowControl/>
              <w:jc w:val="right"/>
              <w:rPr>
                <w:rFonts w:ascii="Times New Roman" w:eastAsia="宋体" w:hAnsi="宋体" w:cs="宋体"/>
                <w:kern w:val="0"/>
                <w:sz w:val="24"/>
              </w:rPr>
            </w:pPr>
          </w:p>
        </w:tc>
      </w:tr>
      <w:tr w:rsidR="00D7560A" w14:paraId="59E48134" w14:textId="77777777">
        <w:trPr>
          <w:jc w:val="center"/>
        </w:trPr>
        <w:tc>
          <w:tcPr>
            <w:tcW w:w="0" w:type="auto"/>
            <w:gridSpan w:val="3"/>
            <w:tcBorders>
              <w:top w:val="nil"/>
              <w:left w:val="nil"/>
              <w:bottom w:val="nil"/>
              <w:right w:val="nil"/>
            </w:tcBorders>
            <w:shd w:val="clear" w:color="auto" w:fill="FFFFFF"/>
            <w:tcMar>
              <w:top w:w="40" w:type="dxa"/>
              <w:left w:w="605" w:type="dxa"/>
              <w:bottom w:w="40" w:type="dxa"/>
              <w:right w:w="20" w:type="dxa"/>
            </w:tcMar>
            <w:vAlign w:val="bottom"/>
          </w:tcPr>
          <w:p w14:paraId="59E4812C"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Total liabilities and </w:t>
            </w:r>
            <w:r>
              <w:rPr>
                <w:rFonts w:ascii="Times New Roman" w:eastAsia="宋体" w:hAnsi="Times New Roman" w:cs="Times New Roman"/>
                <w:color w:val="000000"/>
                <w:kern w:val="0"/>
                <w:sz w:val="20"/>
                <w:szCs w:val="20"/>
                <w:lang w:bidi="ar"/>
              </w:rPr>
              <w:t>stockholders’ equity</w:t>
            </w: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59E4812D"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59E4812E"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88,775 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59E4812F"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130"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59E48131"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59E48132"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92,735 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59E48133" w14:textId="77777777" w:rsidR="00D7560A" w:rsidRDefault="00D7560A">
            <w:pPr>
              <w:widowControl/>
              <w:jc w:val="right"/>
              <w:rPr>
                <w:rFonts w:ascii="Times New Roman" w:eastAsia="宋体" w:hAnsi="宋体" w:cs="宋体"/>
                <w:kern w:val="0"/>
                <w:sz w:val="24"/>
              </w:rPr>
            </w:pPr>
          </w:p>
        </w:tc>
      </w:tr>
    </w:tbl>
    <w:p w14:paraId="59E48135" w14:textId="77777777" w:rsidR="00D7560A" w:rsidRDefault="001E3CAB">
      <w:pPr>
        <w:widowControl/>
        <w:spacing w:after="60"/>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8136" w14:textId="77777777" w:rsidR="00D7560A" w:rsidRDefault="001E3CAB">
      <w:pPr>
        <w:widowControl/>
        <w:spacing w:after="60"/>
        <w:jc w:val="center"/>
        <w:rPr>
          <w:rFonts w:ascii="宋体" w:eastAsia="宋体" w:hAnsi="宋体" w:cs="宋体"/>
          <w:kern w:val="0"/>
          <w:sz w:val="24"/>
        </w:rPr>
      </w:pPr>
      <w:r>
        <w:rPr>
          <w:rFonts w:ascii="Times New Roman" w:eastAsia="宋体" w:hAnsi="Times New Roman" w:cs="Times New Roman"/>
          <w:color w:val="000000"/>
          <w:kern w:val="0"/>
          <w:sz w:val="20"/>
          <w:szCs w:val="20"/>
          <w:shd w:val="clear" w:color="auto" w:fill="FFFFFF"/>
          <w:lang w:bidi="ar"/>
        </w:rPr>
        <w:t>The accompanying notes are an integral part of these Condensed Consolidated Financial Statements</w:t>
      </w:r>
      <w:r>
        <w:rPr>
          <w:rFonts w:ascii="Times New Roman" w:eastAsia="宋体" w:hAnsi="Times New Roman" w:cs="Times New Roman"/>
          <w:color w:val="000000"/>
          <w:kern w:val="0"/>
          <w:sz w:val="20"/>
          <w:szCs w:val="20"/>
          <w:lang w:bidi="ar"/>
        </w:rPr>
        <w:t>.</w:t>
      </w:r>
    </w:p>
    <w:p w14:paraId="59E48137"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8138"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5</w:t>
      </w:r>
    </w:p>
    <w:p w14:paraId="59E48139"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813A" w14:textId="77777777" w:rsidR="00D7560A" w:rsidRDefault="001E3CAB">
      <w:pPr>
        <w:widowControl/>
        <w:jc w:val="center"/>
      </w:pPr>
      <w:r>
        <w:rPr>
          <w:rFonts w:ascii="宋体" w:eastAsia="宋体" w:hAnsi="宋体" w:cs="宋体"/>
          <w:kern w:val="0"/>
          <w:sz w:val="24"/>
        </w:rPr>
        <w:pict w14:anchorId="59E4C7D0">
          <v:rect id="_x0000_i1029" style="width:6in;height:1.5pt" o:hralign="center" o:hrstd="t" o:hr="t" fillcolor="#a0a0a0" stroked="f"/>
        </w:pict>
      </w:r>
    </w:p>
    <w:p w14:paraId="59E4813B" w14:textId="77777777" w:rsidR="00D7560A" w:rsidRDefault="001E3CAB">
      <w:pPr>
        <w:widowControl/>
        <w:jc w:val="left"/>
        <w:rPr>
          <w:rFonts w:ascii="宋体" w:eastAsia="宋体" w:hAnsi="宋体" w:cs="宋体"/>
          <w:kern w:val="0"/>
          <w:sz w:val="24"/>
        </w:rPr>
      </w:pPr>
      <w:hyperlink w:anchor="if933dd1d5d004d2495dd7029e3ecad00_13" w:history="1">
        <w:r>
          <w:rPr>
            <w:rStyle w:val="a4"/>
            <w:rFonts w:ascii="Times New Roman" w:eastAsia="宋体" w:hAnsi="Times New Roman" w:cs="Times New Roman"/>
            <w:sz w:val="20"/>
            <w:szCs w:val="20"/>
          </w:rPr>
          <w:t>Table of Contents</w:t>
        </w:r>
      </w:hyperlink>
    </w:p>
    <w:p w14:paraId="59E4813C" w14:textId="77777777" w:rsidR="00D7560A" w:rsidRDefault="001E3CAB">
      <w:pPr>
        <w:widowControl/>
        <w:spacing w:after="120"/>
        <w:jc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DELL TECHNOLOGIES INC.</w:t>
      </w:r>
    </w:p>
    <w:p w14:paraId="59E4813D" w14:textId="77777777" w:rsidR="00D7560A" w:rsidRDefault="001E3CAB">
      <w:pPr>
        <w:widowControl/>
        <w:spacing w:after="60"/>
        <w:jc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CONDENSED CONSOLIDATED STATEMENTS OF INCOME</w:t>
      </w:r>
    </w:p>
    <w:p w14:paraId="59E4813E"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shd w:val="clear" w:color="auto" w:fill="FFFFFF"/>
          <w:lang w:bidi="ar"/>
        </w:rPr>
        <w:t>(in millions, except per share amounts; unaudited</w:t>
      </w:r>
      <w:r>
        <w:rPr>
          <w:rFonts w:ascii="Times New Roman" w:eastAsia="宋体" w:hAnsi="Times New Roman" w:cs="Times New Roman"/>
          <w:color w:val="000000"/>
          <w:kern w:val="0"/>
          <w:sz w:val="20"/>
          <w:szCs w:val="20"/>
          <w:lang w:bidi="ar"/>
        </w:rPr>
        <w:t>)</w:t>
      </w:r>
    </w:p>
    <w:tbl>
      <w:tblPr>
        <w:tblW w:w="5000" w:type="pct"/>
        <w:jc w:val="center"/>
        <w:tblCellMar>
          <w:top w:w="15" w:type="dxa"/>
          <w:left w:w="15" w:type="dxa"/>
          <w:bottom w:w="15" w:type="dxa"/>
          <w:right w:w="15" w:type="dxa"/>
        </w:tblCellMar>
        <w:tblLook w:val="04A0" w:firstRow="1" w:lastRow="0" w:firstColumn="1" w:lastColumn="0" w:noHBand="0" w:noVBand="1"/>
      </w:tblPr>
      <w:tblGrid>
        <w:gridCol w:w="41"/>
        <w:gridCol w:w="3889"/>
        <w:gridCol w:w="39"/>
        <w:gridCol w:w="120"/>
        <w:gridCol w:w="854"/>
        <w:gridCol w:w="36"/>
        <w:gridCol w:w="36"/>
        <w:gridCol w:w="36"/>
        <w:gridCol w:w="36"/>
        <w:gridCol w:w="120"/>
        <w:gridCol w:w="855"/>
        <w:gridCol w:w="36"/>
        <w:gridCol w:w="36"/>
        <w:gridCol w:w="36"/>
        <w:gridCol w:w="36"/>
        <w:gridCol w:w="120"/>
        <w:gridCol w:w="855"/>
        <w:gridCol w:w="36"/>
        <w:gridCol w:w="36"/>
        <w:gridCol w:w="36"/>
        <w:gridCol w:w="36"/>
        <w:gridCol w:w="120"/>
        <w:gridCol w:w="855"/>
        <w:gridCol w:w="36"/>
      </w:tblGrid>
      <w:tr w:rsidR="00D7560A" w14:paraId="59E48157" w14:textId="77777777">
        <w:trPr>
          <w:jc w:val="center"/>
        </w:trPr>
        <w:tc>
          <w:tcPr>
            <w:tcW w:w="50" w:type="pct"/>
            <w:tcBorders>
              <w:top w:val="nil"/>
              <w:left w:val="nil"/>
              <w:bottom w:val="nil"/>
              <w:right w:val="nil"/>
            </w:tcBorders>
            <w:shd w:val="clear" w:color="auto" w:fill="auto"/>
            <w:vAlign w:val="bottom"/>
          </w:tcPr>
          <w:p w14:paraId="59E4813F" w14:textId="77777777" w:rsidR="00D7560A" w:rsidRDefault="00D7560A">
            <w:pPr>
              <w:widowControl/>
              <w:jc w:val="left"/>
              <w:rPr>
                <w:rFonts w:ascii="Times New Roman" w:eastAsia="宋体" w:hAnsi="宋体" w:cs="宋体"/>
                <w:kern w:val="0"/>
                <w:sz w:val="24"/>
              </w:rPr>
            </w:pPr>
          </w:p>
        </w:tc>
        <w:tc>
          <w:tcPr>
            <w:tcW w:w="2401" w:type="pct"/>
            <w:tcBorders>
              <w:top w:val="nil"/>
              <w:left w:val="nil"/>
              <w:bottom w:val="nil"/>
              <w:right w:val="nil"/>
            </w:tcBorders>
            <w:shd w:val="clear" w:color="auto" w:fill="auto"/>
            <w:vAlign w:val="bottom"/>
          </w:tcPr>
          <w:p w14:paraId="59E48140"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8141"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8142" w14:textId="77777777" w:rsidR="00D7560A" w:rsidRDefault="00D7560A">
            <w:pPr>
              <w:widowControl/>
              <w:jc w:val="left"/>
              <w:rPr>
                <w:rFonts w:ascii="Times New Roman" w:eastAsia="宋体" w:hAnsi="宋体" w:cs="宋体"/>
                <w:kern w:val="0"/>
                <w:sz w:val="24"/>
              </w:rPr>
            </w:pPr>
          </w:p>
        </w:tc>
        <w:tc>
          <w:tcPr>
            <w:tcW w:w="559" w:type="pct"/>
            <w:tcBorders>
              <w:top w:val="nil"/>
              <w:left w:val="nil"/>
              <w:bottom w:val="nil"/>
              <w:right w:val="nil"/>
            </w:tcBorders>
            <w:shd w:val="clear" w:color="auto" w:fill="auto"/>
            <w:vAlign w:val="bottom"/>
          </w:tcPr>
          <w:p w14:paraId="59E48143"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8144"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8145" w14:textId="77777777" w:rsidR="00D7560A" w:rsidRDefault="00D7560A">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59E48146"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8147"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8148" w14:textId="77777777" w:rsidR="00D7560A" w:rsidRDefault="00D7560A">
            <w:pPr>
              <w:widowControl/>
              <w:jc w:val="left"/>
              <w:rPr>
                <w:rFonts w:ascii="Times New Roman" w:eastAsia="宋体" w:hAnsi="宋体" w:cs="宋体"/>
                <w:kern w:val="0"/>
                <w:sz w:val="24"/>
              </w:rPr>
            </w:pPr>
          </w:p>
        </w:tc>
        <w:tc>
          <w:tcPr>
            <w:tcW w:w="559" w:type="pct"/>
            <w:tcBorders>
              <w:top w:val="nil"/>
              <w:left w:val="nil"/>
              <w:bottom w:val="nil"/>
              <w:right w:val="nil"/>
            </w:tcBorders>
            <w:shd w:val="clear" w:color="auto" w:fill="auto"/>
            <w:vAlign w:val="bottom"/>
          </w:tcPr>
          <w:p w14:paraId="59E48149"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814A"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814B" w14:textId="77777777" w:rsidR="00D7560A" w:rsidRDefault="00D7560A">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59E4814C"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814D"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814E" w14:textId="77777777" w:rsidR="00D7560A" w:rsidRDefault="00D7560A">
            <w:pPr>
              <w:widowControl/>
              <w:jc w:val="left"/>
              <w:rPr>
                <w:rFonts w:ascii="Times New Roman" w:eastAsia="宋体" w:hAnsi="宋体" w:cs="宋体"/>
                <w:kern w:val="0"/>
                <w:sz w:val="24"/>
              </w:rPr>
            </w:pPr>
          </w:p>
        </w:tc>
        <w:tc>
          <w:tcPr>
            <w:tcW w:w="559" w:type="pct"/>
            <w:tcBorders>
              <w:top w:val="nil"/>
              <w:left w:val="nil"/>
              <w:bottom w:val="nil"/>
              <w:right w:val="nil"/>
            </w:tcBorders>
            <w:shd w:val="clear" w:color="auto" w:fill="auto"/>
            <w:vAlign w:val="bottom"/>
          </w:tcPr>
          <w:p w14:paraId="59E4814F"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8150"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8151" w14:textId="77777777" w:rsidR="00D7560A" w:rsidRDefault="00D7560A">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59E48152"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8153"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8154" w14:textId="77777777" w:rsidR="00D7560A" w:rsidRDefault="00D7560A">
            <w:pPr>
              <w:widowControl/>
              <w:jc w:val="left"/>
              <w:rPr>
                <w:rFonts w:ascii="Times New Roman" w:eastAsia="宋体" w:hAnsi="宋体" w:cs="宋体"/>
                <w:kern w:val="0"/>
                <w:sz w:val="24"/>
              </w:rPr>
            </w:pPr>
          </w:p>
        </w:tc>
        <w:tc>
          <w:tcPr>
            <w:tcW w:w="559" w:type="pct"/>
            <w:tcBorders>
              <w:top w:val="nil"/>
              <w:left w:val="nil"/>
              <w:bottom w:val="nil"/>
              <w:right w:val="nil"/>
            </w:tcBorders>
            <w:shd w:val="clear" w:color="auto" w:fill="auto"/>
            <w:vAlign w:val="bottom"/>
          </w:tcPr>
          <w:p w14:paraId="59E48155"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8156" w14:textId="77777777" w:rsidR="00D7560A" w:rsidRDefault="00D7560A">
            <w:pPr>
              <w:widowControl/>
              <w:jc w:val="left"/>
              <w:rPr>
                <w:rFonts w:ascii="Times New Roman" w:eastAsia="宋体" w:hAnsi="宋体" w:cs="宋体"/>
                <w:kern w:val="0"/>
                <w:sz w:val="24"/>
              </w:rPr>
            </w:pPr>
          </w:p>
        </w:tc>
      </w:tr>
      <w:tr w:rsidR="00D7560A" w14:paraId="59E4815C"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8158" w14:textId="77777777" w:rsidR="00D7560A" w:rsidRDefault="00D7560A">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59E48159"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Three Months Ended</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815A" w14:textId="77777777" w:rsidR="00D7560A" w:rsidRDefault="00D7560A">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59E4815B"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Six Months Ended</w:t>
            </w:r>
          </w:p>
        </w:tc>
      </w:tr>
      <w:tr w:rsidR="00D7560A" w14:paraId="59E48165"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9E4815D"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59E4815E"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29, 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59E4815F"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59E48160"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30, 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8161"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59E48162"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29, 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59E48163"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59E48164"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30, 2021</w:t>
            </w:r>
          </w:p>
        </w:tc>
      </w:tr>
      <w:tr w:rsidR="00D7560A" w14:paraId="59E4816E"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9E48166"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i/>
                <w:iCs/>
                <w:color w:val="000000"/>
                <w:kern w:val="0"/>
                <w:sz w:val="20"/>
                <w:szCs w:val="20"/>
                <w:lang w:bidi="ar"/>
              </w:rPr>
              <w:t>Net revenue:</w:t>
            </w:r>
          </w:p>
        </w:tc>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59E48167"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168"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59E48169"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16A"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59E4816B"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16C"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59E4816D" w14:textId="77777777" w:rsidR="00D7560A" w:rsidRDefault="00D7560A">
            <w:pPr>
              <w:widowControl/>
              <w:jc w:val="left"/>
              <w:rPr>
                <w:rFonts w:ascii="Times New Roman" w:eastAsia="宋体" w:hAnsi="宋体" w:cs="宋体"/>
                <w:kern w:val="0"/>
                <w:sz w:val="24"/>
              </w:rPr>
            </w:pPr>
          </w:p>
        </w:tc>
      </w:tr>
      <w:tr w:rsidR="00D7560A" w14:paraId="59E4817F" w14:textId="77777777">
        <w:trPr>
          <w:jc w:val="center"/>
        </w:trPr>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59E4816F"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Products</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9E48170"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9E48171"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20,810 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172"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173"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9E48174"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9E48175"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18,895 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176"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177"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9E48178"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9E48179"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41,274 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17A"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17B"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9E4817C"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9E4817D"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36,382 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17E" w14:textId="77777777" w:rsidR="00D7560A" w:rsidRDefault="00D7560A">
            <w:pPr>
              <w:widowControl/>
              <w:jc w:val="right"/>
              <w:rPr>
                <w:rFonts w:ascii="Times New Roman" w:eastAsia="宋体" w:hAnsi="宋体" w:cs="宋体"/>
                <w:kern w:val="0"/>
                <w:sz w:val="24"/>
              </w:rPr>
            </w:pPr>
          </w:p>
        </w:tc>
      </w:tr>
      <w:tr w:rsidR="00D7560A" w14:paraId="59E4818C" w14:textId="77777777">
        <w:trPr>
          <w:jc w:val="center"/>
        </w:trPr>
        <w:tc>
          <w:tcPr>
            <w:tcW w:w="0" w:type="auto"/>
            <w:gridSpan w:val="3"/>
            <w:tcBorders>
              <w:top w:val="nil"/>
              <w:left w:val="nil"/>
              <w:bottom w:val="nil"/>
              <w:right w:val="nil"/>
            </w:tcBorders>
            <w:shd w:val="clear" w:color="auto" w:fill="CCEEFF"/>
            <w:tcMar>
              <w:top w:w="40" w:type="dxa"/>
              <w:left w:w="245" w:type="dxa"/>
              <w:bottom w:w="40" w:type="dxa"/>
              <w:right w:w="20" w:type="dxa"/>
            </w:tcMar>
            <w:vAlign w:val="bottom"/>
          </w:tcPr>
          <w:p w14:paraId="59E48180"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Services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8181"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5,615 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182"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183"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8184"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5,296 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185"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186"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8187"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11,267 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188"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189"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818A"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10,399 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18B" w14:textId="77777777" w:rsidR="00D7560A" w:rsidRDefault="00D7560A">
            <w:pPr>
              <w:widowControl/>
              <w:jc w:val="right"/>
              <w:rPr>
                <w:rFonts w:ascii="Times New Roman" w:eastAsia="宋体" w:hAnsi="宋体" w:cs="宋体"/>
                <w:kern w:val="0"/>
                <w:sz w:val="24"/>
              </w:rPr>
            </w:pPr>
          </w:p>
        </w:tc>
      </w:tr>
      <w:tr w:rsidR="00D7560A" w14:paraId="59E48199" w14:textId="77777777">
        <w:trPr>
          <w:jc w:val="center"/>
        </w:trPr>
        <w:tc>
          <w:tcPr>
            <w:tcW w:w="0" w:type="auto"/>
            <w:gridSpan w:val="3"/>
            <w:tcBorders>
              <w:top w:val="nil"/>
              <w:left w:val="nil"/>
              <w:bottom w:val="nil"/>
              <w:right w:val="nil"/>
            </w:tcBorders>
            <w:shd w:val="clear" w:color="auto" w:fill="FFFFFF"/>
            <w:tcMar>
              <w:top w:w="40" w:type="dxa"/>
              <w:left w:w="515" w:type="dxa"/>
              <w:bottom w:w="40" w:type="dxa"/>
              <w:right w:w="20" w:type="dxa"/>
            </w:tcMar>
            <w:vAlign w:val="bottom"/>
          </w:tcPr>
          <w:p w14:paraId="59E4818D"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Total net revenue</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59E4818E"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26,425 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59E4818F"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190" w14:textId="77777777" w:rsidR="00D7560A" w:rsidRDefault="00D7560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59E48191"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24,191 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59E48192"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193" w14:textId="77777777" w:rsidR="00D7560A" w:rsidRDefault="00D7560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59E48194"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52,541 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59E48195"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196" w14:textId="77777777" w:rsidR="00D7560A" w:rsidRDefault="00D7560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59E48197"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46,781 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59E48198" w14:textId="77777777" w:rsidR="00D7560A" w:rsidRDefault="00D7560A">
            <w:pPr>
              <w:widowControl/>
              <w:jc w:val="right"/>
              <w:rPr>
                <w:rFonts w:ascii="Times New Roman" w:eastAsia="宋体" w:hAnsi="宋体" w:cs="宋体"/>
                <w:kern w:val="0"/>
                <w:sz w:val="24"/>
              </w:rPr>
            </w:pPr>
          </w:p>
        </w:tc>
      </w:tr>
      <w:tr w:rsidR="00D7560A" w14:paraId="59E481A2"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9E4819A"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i/>
                <w:iCs/>
                <w:color w:val="000000"/>
                <w:kern w:val="0"/>
                <w:sz w:val="20"/>
                <w:szCs w:val="20"/>
                <w:lang w:bidi="ar"/>
              </w:rPr>
              <w:t>Cost of net revenue (a):</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59E4819B"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19C"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59E4819D"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19E"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59E4819F"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1A0"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59E481A1" w14:textId="77777777" w:rsidR="00D7560A" w:rsidRDefault="00D7560A">
            <w:pPr>
              <w:widowControl/>
              <w:jc w:val="left"/>
              <w:rPr>
                <w:rFonts w:ascii="Times New Roman" w:eastAsia="宋体" w:hAnsi="宋体" w:cs="宋体"/>
                <w:kern w:val="0"/>
                <w:sz w:val="24"/>
              </w:rPr>
            </w:pPr>
          </w:p>
        </w:tc>
      </w:tr>
      <w:tr w:rsidR="00D7560A" w14:paraId="59E481AF" w14:textId="77777777">
        <w:trPr>
          <w:jc w:val="center"/>
        </w:trPr>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59E481A3"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Products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1A4"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17,671 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1A5"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1A6"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1A7"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15,692 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1A8"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1A9"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1AA"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34,680 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1AB"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1AC"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1AD"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30,126 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1AE" w14:textId="77777777" w:rsidR="00D7560A" w:rsidRDefault="00D7560A">
            <w:pPr>
              <w:widowControl/>
              <w:jc w:val="right"/>
              <w:rPr>
                <w:rFonts w:ascii="Times New Roman" w:eastAsia="宋体" w:hAnsi="宋体" w:cs="宋体"/>
                <w:kern w:val="0"/>
                <w:sz w:val="24"/>
              </w:rPr>
            </w:pPr>
          </w:p>
        </w:tc>
      </w:tr>
      <w:tr w:rsidR="00D7560A" w14:paraId="59E481BC" w14:textId="77777777">
        <w:trPr>
          <w:jc w:val="center"/>
        </w:trPr>
        <w:tc>
          <w:tcPr>
            <w:tcW w:w="0" w:type="auto"/>
            <w:gridSpan w:val="3"/>
            <w:tcBorders>
              <w:top w:val="nil"/>
              <w:left w:val="nil"/>
              <w:bottom w:val="nil"/>
              <w:right w:val="nil"/>
            </w:tcBorders>
            <w:shd w:val="clear" w:color="auto" w:fill="CCEEFF"/>
            <w:tcMar>
              <w:top w:w="40" w:type="dxa"/>
              <w:left w:w="245" w:type="dxa"/>
              <w:bottom w:w="40" w:type="dxa"/>
              <w:right w:w="20" w:type="dxa"/>
            </w:tcMar>
            <w:vAlign w:val="bottom"/>
          </w:tcPr>
          <w:p w14:paraId="59E481B0"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Services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81B1"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3,315 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1B2"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1B3"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81B4"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3,024 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1B5"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1B6"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81B7"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6,638 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1B8"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1B9"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81BA"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5,916 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1BB" w14:textId="77777777" w:rsidR="00D7560A" w:rsidRDefault="00D7560A">
            <w:pPr>
              <w:widowControl/>
              <w:jc w:val="right"/>
              <w:rPr>
                <w:rFonts w:ascii="Times New Roman" w:eastAsia="宋体" w:hAnsi="宋体" w:cs="宋体"/>
                <w:kern w:val="0"/>
                <w:sz w:val="24"/>
              </w:rPr>
            </w:pPr>
          </w:p>
        </w:tc>
      </w:tr>
      <w:tr w:rsidR="00D7560A" w14:paraId="59E481C9" w14:textId="77777777">
        <w:trPr>
          <w:jc w:val="center"/>
        </w:trPr>
        <w:tc>
          <w:tcPr>
            <w:tcW w:w="0" w:type="auto"/>
            <w:gridSpan w:val="3"/>
            <w:tcBorders>
              <w:top w:val="nil"/>
              <w:left w:val="nil"/>
              <w:bottom w:val="nil"/>
              <w:right w:val="nil"/>
            </w:tcBorders>
            <w:shd w:val="clear" w:color="auto" w:fill="FFFFFF"/>
            <w:tcMar>
              <w:top w:w="40" w:type="dxa"/>
              <w:left w:w="515" w:type="dxa"/>
              <w:bottom w:w="40" w:type="dxa"/>
              <w:right w:w="20" w:type="dxa"/>
            </w:tcMar>
            <w:vAlign w:val="bottom"/>
          </w:tcPr>
          <w:p w14:paraId="59E481BD"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Total cost of net revenue</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59E481BE"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20,986 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59E481BF"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1C0" w14:textId="77777777" w:rsidR="00D7560A" w:rsidRDefault="00D7560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59E481C1"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18,716 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59E481C2"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1C3" w14:textId="77777777" w:rsidR="00D7560A" w:rsidRDefault="00D7560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59E481C4"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41,318 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59E481C5"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1C6" w14:textId="77777777" w:rsidR="00D7560A" w:rsidRDefault="00D7560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59E481C7"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36,042 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59E481C8" w14:textId="77777777" w:rsidR="00D7560A" w:rsidRDefault="00D7560A">
            <w:pPr>
              <w:widowControl/>
              <w:jc w:val="right"/>
              <w:rPr>
                <w:rFonts w:ascii="Times New Roman" w:eastAsia="宋体" w:hAnsi="宋体" w:cs="宋体"/>
                <w:kern w:val="0"/>
                <w:sz w:val="24"/>
              </w:rPr>
            </w:pPr>
          </w:p>
        </w:tc>
      </w:tr>
      <w:tr w:rsidR="00D7560A" w14:paraId="59E481D6" w14:textId="77777777">
        <w:trPr>
          <w:jc w:val="center"/>
        </w:trPr>
        <w:tc>
          <w:tcPr>
            <w:tcW w:w="0" w:type="auto"/>
            <w:gridSpan w:val="3"/>
            <w:tcBorders>
              <w:top w:val="nil"/>
              <w:left w:val="nil"/>
              <w:bottom w:val="nil"/>
              <w:right w:val="nil"/>
            </w:tcBorders>
            <w:shd w:val="clear" w:color="auto" w:fill="CCEEFF"/>
            <w:tcMar>
              <w:top w:w="40" w:type="dxa"/>
              <w:left w:w="245" w:type="dxa"/>
              <w:bottom w:w="40" w:type="dxa"/>
              <w:right w:w="20" w:type="dxa"/>
            </w:tcMar>
            <w:vAlign w:val="bottom"/>
          </w:tcPr>
          <w:p w14:paraId="59E481CA"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Gr</w:t>
            </w:r>
            <w:r>
              <w:rPr>
                <w:rFonts w:ascii="Times New Roman" w:eastAsia="宋体" w:hAnsi="Times New Roman" w:cs="Times New Roman"/>
                <w:color w:val="000000"/>
                <w:kern w:val="0"/>
                <w:sz w:val="20"/>
                <w:szCs w:val="20"/>
                <w:lang w:bidi="ar"/>
              </w:rPr>
              <w:t>oss margin</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59E481CB"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5,439 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59E481CC"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1CD" w14:textId="77777777" w:rsidR="00D7560A" w:rsidRDefault="00D7560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59E481CE"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5,475 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59E481CF"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1D0" w14:textId="77777777" w:rsidR="00D7560A" w:rsidRDefault="00D7560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59E481D1"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11,223 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59E481D2"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1D3" w14:textId="77777777" w:rsidR="00D7560A" w:rsidRDefault="00D7560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59E481D4"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10,739 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59E481D5" w14:textId="77777777" w:rsidR="00D7560A" w:rsidRDefault="00D7560A">
            <w:pPr>
              <w:widowControl/>
              <w:jc w:val="right"/>
              <w:rPr>
                <w:rFonts w:ascii="Times New Roman" w:eastAsia="宋体" w:hAnsi="宋体" w:cs="宋体"/>
                <w:kern w:val="0"/>
                <w:sz w:val="24"/>
              </w:rPr>
            </w:pPr>
          </w:p>
        </w:tc>
      </w:tr>
      <w:tr w:rsidR="00D7560A" w14:paraId="59E481DF"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59E481D7"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i/>
                <w:iCs/>
                <w:color w:val="000000"/>
                <w:kern w:val="0"/>
                <w:sz w:val="20"/>
                <w:szCs w:val="20"/>
                <w:lang w:bidi="ar"/>
              </w:rPr>
              <w:t>Operating expenses:</w:t>
            </w: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59E481D8"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1D9"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59E481DA"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1DB"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59E481DC"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1DD"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59E481DE" w14:textId="77777777" w:rsidR="00D7560A" w:rsidRDefault="00D7560A">
            <w:pPr>
              <w:widowControl/>
              <w:jc w:val="left"/>
              <w:rPr>
                <w:rFonts w:ascii="Times New Roman" w:eastAsia="宋体" w:hAnsi="宋体" w:cs="宋体"/>
                <w:kern w:val="0"/>
                <w:sz w:val="24"/>
              </w:rPr>
            </w:pPr>
          </w:p>
        </w:tc>
      </w:tr>
      <w:tr w:rsidR="00D7560A" w14:paraId="59E481EC" w14:textId="77777777">
        <w:trPr>
          <w:jc w:val="center"/>
        </w:trPr>
        <w:tc>
          <w:tcPr>
            <w:tcW w:w="0" w:type="auto"/>
            <w:gridSpan w:val="3"/>
            <w:tcBorders>
              <w:top w:val="nil"/>
              <w:left w:val="nil"/>
              <w:bottom w:val="nil"/>
              <w:right w:val="nil"/>
            </w:tcBorders>
            <w:shd w:val="clear" w:color="auto" w:fill="CCEEFF"/>
            <w:tcMar>
              <w:top w:w="40" w:type="dxa"/>
              <w:left w:w="245" w:type="dxa"/>
              <w:bottom w:w="40" w:type="dxa"/>
              <w:right w:w="20" w:type="dxa"/>
            </w:tcMar>
            <w:vAlign w:val="bottom"/>
          </w:tcPr>
          <w:p w14:paraId="59E481E0"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Selling, general, and </w:t>
            </w:r>
            <w:r>
              <w:rPr>
                <w:rFonts w:ascii="Times New Roman" w:eastAsia="宋体" w:hAnsi="Times New Roman" w:cs="Times New Roman"/>
                <w:color w:val="000000"/>
                <w:kern w:val="0"/>
                <w:sz w:val="20"/>
                <w:szCs w:val="20"/>
                <w:lang w:bidi="ar"/>
              </w:rPr>
              <w:t>administrative</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81E1"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3,543 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1E2"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1E3"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81E4"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3,761 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1E5"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1E6"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81E7"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7,096 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1E8"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1E9"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81EA"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7,419 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1EB" w14:textId="77777777" w:rsidR="00D7560A" w:rsidRDefault="00D7560A">
            <w:pPr>
              <w:widowControl/>
              <w:jc w:val="right"/>
              <w:rPr>
                <w:rFonts w:ascii="Times New Roman" w:eastAsia="宋体" w:hAnsi="宋体" w:cs="宋体"/>
                <w:kern w:val="0"/>
                <w:sz w:val="24"/>
              </w:rPr>
            </w:pPr>
          </w:p>
        </w:tc>
      </w:tr>
      <w:tr w:rsidR="00D7560A" w14:paraId="59E481F9" w14:textId="77777777">
        <w:trPr>
          <w:jc w:val="center"/>
        </w:trPr>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59E481ED"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Research and development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1EE"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626 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1EF"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1F0"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1F1"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697 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1F2"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1F3"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1F4"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1,307 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1F5"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1F6"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1F7"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1,316 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1F8" w14:textId="77777777" w:rsidR="00D7560A" w:rsidRDefault="00D7560A">
            <w:pPr>
              <w:widowControl/>
              <w:jc w:val="right"/>
              <w:rPr>
                <w:rFonts w:ascii="Times New Roman" w:eastAsia="宋体" w:hAnsi="宋体" w:cs="宋体"/>
                <w:kern w:val="0"/>
                <w:sz w:val="24"/>
              </w:rPr>
            </w:pPr>
          </w:p>
        </w:tc>
      </w:tr>
      <w:tr w:rsidR="00D7560A" w14:paraId="59E48206" w14:textId="77777777">
        <w:trPr>
          <w:jc w:val="center"/>
        </w:trPr>
        <w:tc>
          <w:tcPr>
            <w:tcW w:w="0" w:type="auto"/>
            <w:gridSpan w:val="3"/>
            <w:tcBorders>
              <w:top w:val="nil"/>
              <w:left w:val="nil"/>
              <w:bottom w:val="nil"/>
              <w:right w:val="nil"/>
            </w:tcBorders>
            <w:shd w:val="clear" w:color="auto" w:fill="CCEEFF"/>
            <w:tcMar>
              <w:top w:w="40" w:type="dxa"/>
              <w:left w:w="515" w:type="dxa"/>
              <w:bottom w:w="40" w:type="dxa"/>
              <w:right w:w="20" w:type="dxa"/>
            </w:tcMar>
            <w:vAlign w:val="bottom"/>
          </w:tcPr>
          <w:p w14:paraId="59E481FA"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Total operating expenses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59E481FB"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4,169 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59E481FC"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1FD" w14:textId="77777777" w:rsidR="00D7560A" w:rsidRDefault="00D7560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59E481FE"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4,458 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59E481FF"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200" w14:textId="77777777" w:rsidR="00D7560A" w:rsidRDefault="00D7560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59E48201"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8,403 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59E48202"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203" w14:textId="77777777" w:rsidR="00D7560A" w:rsidRDefault="00D7560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59E48204"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8,735 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59E48205" w14:textId="77777777" w:rsidR="00D7560A" w:rsidRDefault="00D7560A">
            <w:pPr>
              <w:widowControl/>
              <w:jc w:val="right"/>
              <w:rPr>
                <w:rFonts w:ascii="Times New Roman" w:eastAsia="宋体" w:hAnsi="宋体" w:cs="宋体"/>
                <w:kern w:val="0"/>
                <w:sz w:val="24"/>
              </w:rPr>
            </w:pPr>
          </w:p>
        </w:tc>
      </w:tr>
      <w:tr w:rsidR="00D7560A" w14:paraId="59E48213" w14:textId="77777777">
        <w:trPr>
          <w:jc w:val="center"/>
        </w:trPr>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59E48207"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Operati</w:t>
            </w:r>
            <w:r>
              <w:rPr>
                <w:rFonts w:ascii="Times New Roman" w:eastAsia="宋体" w:hAnsi="Times New Roman" w:cs="Times New Roman"/>
                <w:color w:val="000000"/>
                <w:kern w:val="0"/>
                <w:sz w:val="20"/>
                <w:szCs w:val="20"/>
                <w:lang w:bidi="ar"/>
              </w:rPr>
              <w:t>ng income</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59E48208"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1,270 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59E48209"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20A" w14:textId="77777777" w:rsidR="00D7560A" w:rsidRDefault="00D7560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59E4820B"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1,017 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59E4820C"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20D" w14:textId="77777777" w:rsidR="00D7560A" w:rsidRDefault="00D7560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59E4820E"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2,820 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59E4820F"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210" w14:textId="77777777" w:rsidR="00D7560A" w:rsidRDefault="00D7560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59E48211"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2,004 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59E48212" w14:textId="77777777" w:rsidR="00D7560A" w:rsidRDefault="00D7560A">
            <w:pPr>
              <w:widowControl/>
              <w:jc w:val="right"/>
              <w:rPr>
                <w:rFonts w:ascii="Times New Roman" w:eastAsia="宋体" w:hAnsi="宋体" w:cs="宋体"/>
                <w:kern w:val="0"/>
                <w:sz w:val="24"/>
              </w:rPr>
            </w:pPr>
          </w:p>
        </w:tc>
      </w:tr>
      <w:tr w:rsidR="00D7560A" w14:paraId="59E48220"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9E48214"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Interest and other, net</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8215"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(635)</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216"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217"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8218"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(292)</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219"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21A"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821B"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(972)</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21C"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21D"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821E"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(580)</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21F" w14:textId="77777777" w:rsidR="00D7560A" w:rsidRDefault="00D7560A">
            <w:pPr>
              <w:widowControl/>
              <w:jc w:val="right"/>
              <w:rPr>
                <w:rFonts w:ascii="Times New Roman" w:eastAsia="宋体" w:hAnsi="宋体" w:cs="宋体"/>
                <w:kern w:val="0"/>
                <w:sz w:val="24"/>
              </w:rPr>
            </w:pPr>
          </w:p>
        </w:tc>
      </w:tr>
      <w:tr w:rsidR="00D7560A" w14:paraId="59E4822D" w14:textId="77777777">
        <w:trPr>
          <w:jc w:val="center"/>
        </w:trPr>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59E48221"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Income before income taxes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59E48222"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635 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59E48223"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224" w14:textId="77777777" w:rsidR="00D7560A" w:rsidRDefault="00D7560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59E48225"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725 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59E48226"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227" w14:textId="77777777" w:rsidR="00D7560A" w:rsidRDefault="00D7560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59E48228"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1,848 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59E48229"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22A" w14:textId="77777777" w:rsidR="00D7560A" w:rsidRDefault="00D7560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59E4822B"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1,424 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59E4822C" w14:textId="77777777" w:rsidR="00D7560A" w:rsidRDefault="00D7560A">
            <w:pPr>
              <w:widowControl/>
              <w:jc w:val="right"/>
              <w:rPr>
                <w:rFonts w:ascii="Times New Roman" w:eastAsia="宋体" w:hAnsi="宋体" w:cs="宋体"/>
                <w:kern w:val="0"/>
                <w:sz w:val="24"/>
              </w:rPr>
            </w:pPr>
          </w:p>
        </w:tc>
      </w:tr>
      <w:tr w:rsidR="00D7560A" w14:paraId="59E4823A"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9E4822E"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Income tax </w:t>
            </w:r>
            <w:r>
              <w:rPr>
                <w:rFonts w:ascii="Times New Roman" w:eastAsia="宋体" w:hAnsi="Times New Roman" w:cs="Times New Roman"/>
                <w:color w:val="000000"/>
                <w:kern w:val="0"/>
                <w:sz w:val="20"/>
                <w:szCs w:val="20"/>
                <w:lang w:bidi="ar"/>
              </w:rPr>
              <w:t>expense</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822F"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129 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230"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231"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8232"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233"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234"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8235"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273 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236"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237"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8238"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136 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239" w14:textId="77777777" w:rsidR="00D7560A" w:rsidRDefault="00D7560A">
            <w:pPr>
              <w:widowControl/>
              <w:jc w:val="right"/>
              <w:rPr>
                <w:rFonts w:ascii="Times New Roman" w:eastAsia="宋体" w:hAnsi="宋体" w:cs="宋体"/>
                <w:kern w:val="0"/>
                <w:sz w:val="24"/>
              </w:rPr>
            </w:pPr>
          </w:p>
        </w:tc>
      </w:tr>
      <w:tr w:rsidR="00D7560A" w14:paraId="59E48247" w14:textId="77777777">
        <w:trPr>
          <w:jc w:val="center"/>
        </w:trPr>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59E4823B"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Net income from continuing operations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59E4823C"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506 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59E4823D"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23E" w14:textId="77777777" w:rsidR="00D7560A" w:rsidRDefault="00D7560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59E4823F"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629 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59E48240"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241" w14:textId="77777777" w:rsidR="00D7560A" w:rsidRDefault="00D7560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59E48242"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1,575 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59E48243"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244" w14:textId="77777777" w:rsidR="00D7560A" w:rsidRDefault="00D7560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59E48245"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1,288 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59E48246" w14:textId="77777777" w:rsidR="00D7560A" w:rsidRDefault="00D7560A">
            <w:pPr>
              <w:widowControl/>
              <w:jc w:val="right"/>
              <w:rPr>
                <w:rFonts w:ascii="Times New Roman" w:eastAsia="宋体" w:hAnsi="宋体" w:cs="宋体"/>
                <w:kern w:val="0"/>
                <w:sz w:val="24"/>
              </w:rPr>
            </w:pPr>
          </w:p>
        </w:tc>
      </w:tr>
      <w:tr w:rsidR="00D7560A" w14:paraId="59E48254"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9E48248"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Income from discontinued operations, net of income taxes (Note 2)</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8249"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24A"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24B"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824C"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251 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24D"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24E"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824F"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250"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251"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8252"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530 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253" w14:textId="77777777" w:rsidR="00D7560A" w:rsidRDefault="00D7560A">
            <w:pPr>
              <w:widowControl/>
              <w:jc w:val="right"/>
              <w:rPr>
                <w:rFonts w:ascii="Times New Roman" w:eastAsia="宋体" w:hAnsi="宋体" w:cs="宋体"/>
                <w:kern w:val="0"/>
                <w:sz w:val="24"/>
              </w:rPr>
            </w:pPr>
          </w:p>
        </w:tc>
      </w:tr>
      <w:tr w:rsidR="00D7560A" w14:paraId="59E48261"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59E48255"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Net income</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59E48256"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506 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59E48257"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258" w14:textId="77777777" w:rsidR="00D7560A" w:rsidRDefault="00D7560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59E48259"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880 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59E4825A"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25B" w14:textId="77777777" w:rsidR="00D7560A" w:rsidRDefault="00D7560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59E4825C"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1,575 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59E4825D"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25E" w14:textId="77777777" w:rsidR="00D7560A" w:rsidRDefault="00D7560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59E4825F"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1,818 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59E48260" w14:textId="77777777" w:rsidR="00D7560A" w:rsidRDefault="00D7560A">
            <w:pPr>
              <w:widowControl/>
              <w:jc w:val="right"/>
              <w:rPr>
                <w:rFonts w:ascii="Times New Roman" w:eastAsia="宋体" w:hAnsi="宋体" w:cs="宋体"/>
                <w:kern w:val="0"/>
                <w:sz w:val="24"/>
              </w:rPr>
            </w:pPr>
          </w:p>
        </w:tc>
      </w:tr>
      <w:tr w:rsidR="00D7560A" w14:paraId="59E4826E" w14:textId="77777777">
        <w:trPr>
          <w:jc w:val="center"/>
        </w:trPr>
        <w:tc>
          <w:tcPr>
            <w:tcW w:w="0" w:type="auto"/>
            <w:gridSpan w:val="3"/>
            <w:tcBorders>
              <w:top w:val="nil"/>
              <w:left w:val="nil"/>
              <w:bottom w:val="nil"/>
              <w:right w:val="nil"/>
            </w:tcBorders>
            <w:shd w:val="clear" w:color="auto" w:fill="CCEEFF"/>
            <w:tcMar>
              <w:top w:w="40" w:type="dxa"/>
              <w:left w:w="260" w:type="dxa"/>
              <w:bottom w:w="40" w:type="dxa"/>
              <w:right w:w="20" w:type="dxa"/>
            </w:tcMar>
            <w:vAlign w:val="bottom"/>
          </w:tcPr>
          <w:p w14:paraId="59E48262"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Less: Net loss attributable to non-controlling interests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59E48263"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59E48264"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265" w14:textId="77777777" w:rsidR="00D7560A" w:rsidRDefault="00D7560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59E48266"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59E48267"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268" w14:textId="77777777" w:rsidR="00D7560A" w:rsidRDefault="00D7560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59E48269"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(8)</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59E4826A"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26B" w14:textId="77777777" w:rsidR="00D7560A" w:rsidRDefault="00D7560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59E4826C"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59E4826D" w14:textId="77777777" w:rsidR="00D7560A" w:rsidRDefault="00D7560A">
            <w:pPr>
              <w:widowControl/>
              <w:jc w:val="right"/>
              <w:rPr>
                <w:rFonts w:ascii="Times New Roman" w:eastAsia="宋体" w:hAnsi="宋体" w:cs="宋体"/>
                <w:kern w:val="0"/>
                <w:sz w:val="24"/>
              </w:rPr>
            </w:pPr>
          </w:p>
        </w:tc>
      </w:tr>
      <w:tr w:rsidR="00D7560A" w14:paraId="59E4827B" w14:textId="77777777">
        <w:trPr>
          <w:jc w:val="center"/>
        </w:trPr>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59E4826F"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Less: Net income attributable to non-controlling interests of discontinued operations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270"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271"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272"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273"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274"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275"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276"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277"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278"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279"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103 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27A" w14:textId="77777777" w:rsidR="00D7560A" w:rsidRDefault="00D7560A">
            <w:pPr>
              <w:widowControl/>
              <w:jc w:val="right"/>
              <w:rPr>
                <w:rFonts w:ascii="Times New Roman" w:eastAsia="宋体" w:hAnsi="宋体" w:cs="宋体"/>
                <w:kern w:val="0"/>
                <w:sz w:val="24"/>
              </w:rPr>
            </w:pPr>
          </w:p>
        </w:tc>
      </w:tr>
      <w:tr w:rsidR="00D7560A" w14:paraId="59E4828C"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9E4827C"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Net income attributable to Dell Technologies Inc.</w:t>
            </w: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59E4827D"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59E4827E"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511 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59E4827F"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280"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59E48281"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59E48282"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831 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59E48283"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284"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59E48285"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59E48286"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1,583 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59E48287"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288"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59E48289"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59E4828A"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1,718 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59E4828B" w14:textId="77777777" w:rsidR="00D7560A" w:rsidRDefault="00D7560A">
            <w:pPr>
              <w:widowControl/>
              <w:jc w:val="right"/>
              <w:rPr>
                <w:rFonts w:ascii="Times New Roman" w:eastAsia="宋体" w:hAnsi="宋体" w:cs="宋体"/>
                <w:kern w:val="0"/>
                <w:sz w:val="24"/>
              </w:rPr>
            </w:pPr>
          </w:p>
        </w:tc>
      </w:tr>
      <w:tr w:rsidR="00D7560A" w14:paraId="59E48295" w14:textId="77777777">
        <w:trPr>
          <w:trHeight w:val="300"/>
          <w:jc w:val="center"/>
        </w:trPr>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28D" w14:textId="77777777" w:rsidR="00D7560A" w:rsidRDefault="00D7560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59E4828E"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28F" w14:textId="77777777" w:rsidR="00D7560A" w:rsidRDefault="00D7560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59E48290"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291" w14:textId="77777777" w:rsidR="00D7560A" w:rsidRDefault="00D7560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59E48292"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293" w14:textId="77777777" w:rsidR="00D7560A" w:rsidRDefault="00D7560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59E48294" w14:textId="77777777" w:rsidR="00D7560A" w:rsidRDefault="00D7560A">
            <w:pPr>
              <w:widowControl/>
              <w:jc w:val="left"/>
              <w:rPr>
                <w:rFonts w:ascii="Times New Roman" w:eastAsia="宋体" w:hAnsi="宋体" w:cs="宋体"/>
                <w:kern w:val="0"/>
                <w:sz w:val="24"/>
              </w:rPr>
            </w:pPr>
          </w:p>
        </w:tc>
      </w:tr>
      <w:tr w:rsidR="00D7560A" w14:paraId="59E4829B" w14:textId="77777777">
        <w:trPr>
          <w:jc w:val="center"/>
        </w:trPr>
        <w:tc>
          <w:tcPr>
            <w:tcW w:w="0" w:type="auto"/>
            <w:gridSpan w:val="12"/>
            <w:tcBorders>
              <w:top w:val="nil"/>
              <w:left w:val="nil"/>
              <w:bottom w:val="nil"/>
              <w:right w:val="nil"/>
            </w:tcBorders>
            <w:shd w:val="clear" w:color="auto" w:fill="CCEEFF"/>
            <w:tcMar>
              <w:top w:w="40" w:type="dxa"/>
              <w:left w:w="20" w:type="dxa"/>
              <w:bottom w:w="40" w:type="dxa"/>
              <w:right w:w="20" w:type="dxa"/>
            </w:tcMar>
            <w:vAlign w:val="bottom"/>
          </w:tcPr>
          <w:p w14:paraId="59E48296"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i/>
                <w:iCs/>
                <w:color w:val="000000"/>
                <w:kern w:val="0"/>
                <w:sz w:val="20"/>
                <w:szCs w:val="20"/>
                <w:lang w:bidi="ar"/>
              </w:rPr>
              <w:t>Earnings per share attributable to Dell Technologies Inc. — basic:</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297"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298"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299"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29A" w14:textId="77777777" w:rsidR="00D7560A" w:rsidRDefault="00D7560A">
            <w:pPr>
              <w:widowControl/>
              <w:jc w:val="left"/>
              <w:rPr>
                <w:rFonts w:ascii="Times New Roman" w:eastAsia="宋体" w:hAnsi="宋体" w:cs="宋体"/>
                <w:kern w:val="0"/>
                <w:sz w:val="24"/>
              </w:rPr>
            </w:pPr>
          </w:p>
        </w:tc>
      </w:tr>
      <w:tr w:rsidR="00D7560A" w14:paraId="59E482AC" w14:textId="77777777">
        <w:trPr>
          <w:jc w:val="center"/>
        </w:trPr>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59E4829C"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Continuing operations </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9E4829D"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9E4829E"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0.69 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29F"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2A0"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9E482A1"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9E482A2"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0.83 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2A3"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2A4"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9E482A5"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9E482A6"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2.12 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2A7"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2A8"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9E482A9"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9E482AA"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1.70 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2AB" w14:textId="77777777" w:rsidR="00D7560A" w:rsidRDefault="00D7560A">
            <w:pPr>
              <w:widowControl/>
              <w:jc w:val="right"/>
              <w:rPr>
                <w:rFonts w:ascii="Times New Roman" w:eastAsia="宋体" w:hAnsi="宋体" w:cs="宋体"/>
                <w:kern w:val="0"/>
                <w:sz w:val="24"/>
              </w:rPr>
            </w:pPr>
          </w:p>
        </w:tc>
      </w:tr>
      <w:tr w:rsidR="00D7560A" w14:paraId="59E482BD" w14:textId="77777777">
        <w:trPr>
          <w:jc w:val="center"/>
        </w:trPr>
        <w:tc>
          <w:tcPr>
            <w:tcW w:w="0" w:type="auto"/>
            <w:gridSpan w:val="3"/>
            <w:tcBorders>
              <w:top w:val="nil"/>
              <w:left w:val="nil"/>
              <w:bottom w:val="nil"/>
              <w:right w:val="nil"/>
            </w:tcBorders>
            <w:shd w:val="clear" w:color="auto" w:fill="CCEEFF"/>
            <w:tcMar>
              <w:top w:w="40" w:type="dxa"/>
              <w:left w:w="245" w:type="dxa"/>
              <w:bottom w:w="40" w:type="dxa"/>
              <w:right w:w="20" w:type="dxa"/>
            </w:tcMar>
            <w:vAlign w:val="bottom"/>
          </w:tcPr>
          <w:p w14:paraId="59E482AD"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Discontinued operations</w:t>
            </w: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9E482AE"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9E482AF"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2B0"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2B1"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9E482B2"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9E482B3"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0.26 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2B4"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2B5"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9E482B6"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9E482B7"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2B8"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2B9"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9E482BA"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9E482BB"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0.56 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2BC" w14:textId="77777777" w:rsidR="00D7560A" w:rsidRDefault="00D7560A">
            <w:pPr>
              <w:widowControl/>
              <w:jc w:val="right"/>
              <w:rPr>
                <w:rFonts w:ascii="Times New Roman" w:eastAsia="宋体" w:hAnsi="宋体" w:cs="宋体"/>
                <w:kern w:val="0"/>
                <w:sz w:val="24"/>
              </w:rPr>
            </w:pPr>
          </w:p>
        </w:tc>
      </w:tr>
      <w:tr w:rsidR="00D7560A" w14:paraId="59E482C6" w14:textId="77777777">
        <w:trPr>
          <w:trHeight w:val="300"/>
          <w:jc w:val="center"/>
        </w:trPr>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2BE"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2BF"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2C0"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2C1"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2C2"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2C3"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2C4"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2C5" w14:textId="77777777" w:rsidR="00D7560A" w:rsidRDefault="00D7560A">
            <w:pPr>
              <w:widowControl/>
              <w:jc w:val="left"/>
              <w:rPr>
                <w:rFonts w:ascii="Times New Roman" w:eastAsia="宋体" w:hAnsi="宋体" w:cs="宋体"/>
                <w:kern w:val="0"/>
                <w:sz w:val="24"/>
              </w:rPr>
            </w:pPr>
          </w:p>
        </w:tc>
      </w:tr>
      <w:tr w:rsidR="00D7560A" w14:paraId="59E482CC" w14:textId="77777777">
        <w:trPr>
          <w:jc w:val="center"/>
        </w:trPr>
        <w:tc>
          <w:tcPr>
            <w:tcW w:w="0" w:type="auto"/>
            <w:gridSpan w:val="12"/>
            <w:tcBorders>
              <w:top w:val="nil"/>
              <w:left w:val="nil"/>
              <w:bottom w:val="nil"/>
              <w:right w:val="nil"/>
            </w:tcBorders>
            <w:shd w:val="clear" w:color="auto" w:fill="CCEEFF"/>
            <w:tcMar>
              <w:top w:w="40" w:type="dxa"/>
              <w:left w:w="20" w:type="dxa"/>
              <w:bottom w:w="40" w:type="dxa"/>
              <w:right w:w="20" w:type="dxa"/>
            </w:tcMar>
            <w:vAlign w:val="bottom"/>
          </w:tcPr>
          <w:p w14:paraId="59E482C7"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i/>
                <w:iCs/>
                <w:color w:val="000000"/>
                <w:kern w:val="0"/>
                <w:sz w:val="20"/>
                <w:szCs w:val="20"/>
                <w:lang w:bidi="ar"/>
              </w:rPr>
              <w:t>Earnings per share attributable to Dell Technologies Inc. — diluted:</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2C8"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2C9"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2CA"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2CB" w14:textId="77777777" w:rsidR="00D7560A" w:rsidRDefault="00D7560A">
            <w:pPr>
              <w:widowControl/>
              <w:jc w:val="left"/>
              <w:rPr>
                <w:rFonts w:ascii="Times New Roman" w:eastAsia="宋体" w:hAnsi="宋体" w:cs="宋体"/>
                <w:kern w:val="0"/>
                <w:sz w:val="24"/>
              </w:rPr>
            </w:pPr>
          </w:p>
        </w:tc>
      </w:tr>
      <w:tr w:rsidR="00D7560A" w14:paraId="59E482DD" w14:textId="77777777">
        <w:trPr>
          <w:jc w:val="center"/>
        </w:trPr>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59E482CD"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Continuing operations</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9E482CE"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9E482CF"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0.68 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2D0"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2D1"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9E482D2"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9E482D3"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0.80 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2D4"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2D5"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9E482D6"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9E482D7"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2.06 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2D8"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2D9"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9E482DA"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9E482DB"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1.65 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2DC" w14:textId="77777777" w:rsidR="00D7560A" w:rsidRDefault="00D7560A">
            <w:pPr>
              <w:widowControl/>
              <w:jc w:val="right"/>
              <w:rPr>
                <w:rFonts w:ascii="Times New Roman" w:eastAsia="宋体" w:hAnsi="宋体" w:cs="宋体"/>
                <w:kern w:val="0"/>
                <w:sz w:val="24"/>
              </w:rPr>
            </w:pPr>
          </w:p>
        </w:tc>
      </w:tr>
      <w:tr w:rsidR="00D7560A" w14:paraId="59E482EE" w14:textId="77777777">
        <w:trPr>
          <w:jc w:val="center"/>
        </w:trPr>
        <w:tc>
          <w:tcPr>
            <w:tcW w:w="0" w:type="auto"/>
            <w:gridSpan w:val="3"/>
            <w:tcBorders>
              <w:top w:val="nil"/>
              <w:left w:val="nil"/>
              <w:bottom w:val="nil"/>
              <w:right w:val="nil"/>
            </w:tcBorders>
            <w:shd w:val="clear" w:color="auto" w:fill="CCEEFF"/>
            <w:tcMar>
              <w:top w:w="40" w:type="dxa"/>
              <w:left w:w="245" w:type="dxa"/>
              <w:bottom w:w="40" w:type="dxa"/>
              <w:right w:w="20" w:type="dxa"/>
            </w:tcMar>
            <w:vAlign w:val="bottom"/>
          </w:tcPr>
          <w:p w14:paraId="59E482DE"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Discontinued operations</w:t>
            </w: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9E482DF"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9E482E0"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2E1"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2E2"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9E482E3"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9E482E4"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0.25 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2E5"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2E6"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9E482E7"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9E482E8"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2E9"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2EA"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9E482EB"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9E482EC"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0.53 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2ED" w14:textId="77777777" w:rsidR="00D7560A" w:rsidRDefault="00D7560A">
            <w:pPr>
              <w:widowControl/>
              <w:jc w:val="right"/>
              <w:rPr>
                <w:rFonts w:ascii="Times New Roman" w:eastAsia="宋体" w:hAnsi="宋体" w:cs="宋体"/>
                <w:kern w:val="0"/>
                <w:sz w:val="24"/>
              </w:rPr>
            </w:pPr>
          </w:p>
        </w:tc>
      </w:tr>
      <w:tr w:rsidR="00D7560A" w14:paraId="59E482F7" w14:textId="77777777">
        <w:trPr>
          <w:trHeight w:val="300"/>
          <w:jc w:val="center"/>
        </w:trPr>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2EF"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2F0"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2F1"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2F2"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2F3"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2F4"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2F5"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2F6" w14:textId="77777777" w:rsidR="00D7560A" w:rsidRDefault="00D7560A">
            <w:pPr>
              <w:widowControl/>
              <w:jc w:val="left"/>
              <w:rPr>
                <w:rFonts w:ascii="Times New Roman" w:eastAsia="宋体" w:hAnsi="宋体" w:cs="宋体"/>
                <w:kern w:val="0"/>
                <w:sz w:val="24"/>
              </w:rPr>
            </w:pPr>
          </w:p>
        </w:tc>
      </w:tr>
      <w:tr w:rsidR="00D7560A" w14:paraId="59E48300"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9E482F8"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(a) Includes related party cost of net revenue as follows (Note 16):</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2F9"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2FA"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2FB"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2FC"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2FD"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2FE"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2FF" w14:textId="77777777" w:rsidR="00D7560A" w:rsidRDefault="00D7560A">
            <w:pPr>
              <w:widowControl/>
              <w:jc w:val="left"/>
              <w:rPr>
                <w:rFonts w:ascii="Times New Roman" w:eastAsia="宋体" w:hAnsi="宋体" w:cs="宋体"/>
                <w:kern w:val="0"/>
                <w:sz w:val="24"/>
              </w:rPr>
            </w:pPr>
          </w:p>
        </w:tc>
      </w:tr>
      <w:tr w:rsidR="00D7560A" w14:paraId="59E48311" w14:textId="77777777">
        <w:trPr>
          <w:jc w:val="center"/>
        </w:trPr>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59E48301"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Products</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9E48302"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9E48303"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426 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304"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305"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9E48306"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9E48307"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387 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308"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309"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9E4830A"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9E4830B"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681 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30C"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30D"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9E4830E"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9E4830F"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706 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310" w14:textId="77777777" w:rsidR="00D7560A" w:rsidRDefault="00D7560A">
            <w:pPr>
              <w:widowControl/>
              <w:jc w:val="right"/>
              <w:rPr>
                <w:rFonts w:ascii="Times New Roman" w:eastAsia="宋体" w:hAnsi="宋体" w:cs="宋体"/>
                <w:kern w:val="0"/>
                <w:sz w:val="24"/>
              </w:rPr>
            </w:pPr>
          </w:p>
        </w:tc>
      </w:tr>
      <w:tr w:rsidR="00D7560A" w14:paraId="59E48322" w14:textId="77777777">
        <w:trPr>
          <w:jc w:val="center"/>
        </w:trPr>
        <w:tc>
          <w:tcPr>
            <w:tcW w:w="0" w:type="auto"/>
            <w:gridSpan w:val="3"/>
            <w:tcBorders>
              <w:top w:val="nil"/>
              <w:left w:val="nil"/>
              <w:bottom w:val="nil"/>
              <w:right w:val="nil"/>
            </w:tcBorders>
            <w:shd w:val="clear" w:color="auto" w:fill="CCEEFF"/>
            <w:tcMar>
              <w:top w:w="40" w:type="dxa"/>
              <w:left w:w="245" w:type="dxa"/>
              <w:bottom w:w="40" w:type="dxa"/>
              <w:right w:w="20" w:type="dxa"/>
            </w:tcMar>
            <w:vAlign w:val="bottom"/>
          </w:tcPr>
          <w:p w14:paraId="59E48312"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Services </w:t>
            </w: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9E48313"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9E48314"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762 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315"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316"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9E48317"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9E48318"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616 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319"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31A"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9E4831B"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9E4831C"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1,471 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31D"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31E"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9E4831F"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9E48320"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1,194 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321" w14:textId="77777777" w:rsidR="00D7560A" w:rsidRDefault="00D7560A">
            <w:pPr>
              <w:widowControl/>
              <w:jc w:val="right"/>
              <w:rPr>
                <w:rFonts w:ascii="Times New Roman" w:eastAsia="宋体" w:hAnsi="宋体" w:cs="宋体"/>
                <w:kern w:val="0"/>
                <w:sz w:val="24"/>
              </w:rPr>
            </w:pPr>
          </w:p>
        </w:tc>
      </w:tr>
    </w:tbl>
    <w:p w14:paraId="59E48323"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 </w:t>
      </w:r>
    </w:p>
    <w:p w14:paraId="59E48324"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shd w:val="clear" w:color="auto" w:fill="FFFFFF"/>
          <w:lang w:bidi="ar"/>
        </w:rPr>
        <w:t>The accompanying notes are an integral part of these Condensed Consolidated Financial Statements</w:t>
      </w:r>
      <w:r>
        <w:rPr>
          <w:rFonts w:ascii="Times New Roman" w:eastAsia="宋体" w:hAnsi="Times New Roman" w:cs="Times New Roman"/>
          <w:color w:val="000000"/>
          <w:kern w:val="0"/>
          <w:sz w:val="20"/>
          <w:szCs w:val="20"/>
          <w:lang w:bidi="ar"/>
        </w:rPr>
        <w:t>.</w:t>
      </w:r>
    </w:p>
    <w:p w14:paraId="59E48325"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8326"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6</w:t>
      </w:r>
    </w:p>
    <w:p w14:paraId="59E48327"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8328" w14:textId="77777777" w:rsidR="00D7560A" w:rsidRDefault="001E3CAB">
      <w:pPr>
        <w:widowControl/>
        <w:jc w:val="center"/>
      </w:pPr>
      <w:r>
        <w:rPr>
          <w:rFonts w:ascii="宋体" w:eastAsia="宋体" w:hAnsi="宋体" w:cs="宋体"/>
          <w:kern w:val="0"/>
          <w:sz w:val="24"/>
        </w:rPr>
        <w:pict w14:anchorId="59E4C7D1">
          <v:rect id="_x0000_i1030" style="width:6in;height:1.5pt" o:hralign="center" o:hrstd="t" o:hr="t" fillcolor="#a0a0a0" stroked="f"/>
        </w:pict>
      </w:r>
    </w:p>
    <w:p w14:paraId="59E48329" w14:textId="77777777" w:rsidR="00D7560A" w:rsidRDefault="001E3CAB">
      <w:pPr>
        <w:widowControl/>
        <w:jc w:val="left"/>
        <w:rPr>
          <w:rFonts w:ascii="宋体" w:eastAsia="宋体" w:hAnsi="宋体" w:cs="宋体"/>
          <w:kern w:val="0"/>
          <w:sz w:val="24"/>
        </w:rPr>
      </w:pPr>
      <w:hyperlink w:anchor="if933dd1d5d004d2495dd7029e3ecad00_13" w:history="1">
        <w:r>
          <w:rPr>
            <w:rStyle w:val="a4"/>
            <w:rFonts w:ascii="Times New Roman" w:eastAsia="宋体" w:hAnsi="Times New Roman" w:cs="Times New Roman"/>
            <w:sz w:val="20"/>
            <w:szCs w:val="20"/>
          </w:rPr>
          <w:t>Table of Contents</w:t>
        </w:r>
      </w:hyperlink>
    </w:p>
    <w:p w14:paraId="59E4832A" w14:textId="77777777" w:rsidR="00D7560A" w:rsidRDefault="001E3CAB">
      <w:pPr>
        <w:widowControl/>
        <w:spacing w:after="120"/>
        <w:jc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DELL TECHNOLOGIES INC.</w:t>
      </w:r>
    </w:p>
    <w:p w14:paraId="59E4832B" w14:textId="77777777" w:rsidR="00D7560A" w:rsidRDefault="001E3CAB">
      <w:pPr>
        <w:widowControl/>
        <w:spacing w:after="60"/>
        <w:jc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CONDENSED CONSOLIDATED STATEMENTS OF COMPREHENSIVE INCOME</w:t>
      </w:r>
    </w:p>
    <w:p w14:paraId="59E4832C"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shd w:val="clear" w:color="auto" w:fill="FFFFFF"/>
          <w:lang w:bidi="ar"/>
        </w:rPr>
        <w:t>(in millions; unaudited)</w:t>
      </w:r>
    </w:p>
    <w:tbl>
      <w:tblPr>
        <w:tblW w:w="4993" w:type="pct"/>
        <w:jc w:val="center"/>
        <w:tblCellMar>
          <w:top w:w="15" w:type="dxa"/>
          <w:left w:w="15" w:type="dxa"/>
          <w:bottom w:w="15" w:type="dxa"/>
          <w:right w:w="15" w:type="dxa"/>
        </w:tblCellMar>
        <w:tblLook w:val="04A0" w:firstRow="1" w:lastRow="0" w:firstColumn="1" w:lastColumn="0" w:noHBand="0" w:noVBand="1"/>
      </w:tblPr>
      <w:tblGrid>
        <w:gridCol w:w="41"/>
        <w:gridCol w:w="3928"/>
        <w:gridCol w:w="39"/>
        <w:gridCol w:w="120"/>
        <w:gridCol w:w="842"/>
        <w:gridCol w:w="36"/>
        <w:gridCol w:w="36"/>
        <w:gridCol w:w="36"/>
        <w:gridCol w:w="36"/>
        <w:gridCol w:w="120"/>
        <w:gridCol w:w="842"/>
        <w:gridCol w:w="36"/>
        <w:gridCol w:w="36"/>
        <w:gridCol w:w="36"/>
        <w:gridCol w:w="36"/>
        <w:gridCol w:w="120"/>
        <w:gridCol w:w="842"/>
        <w:gridCol w:w="36"/>
        <w:gridCol w:w="36"/>
        <w:gridCol w:w="36"/>
        <w:gridCol w:w="36"/>
        <w:gridCol w:w="120"/>
        <w:gridCol w:w="842"/>
        <w:gridCol w:w="36"/>
      </w:tblGrid>
      <w:tr w:rsidR="00D7560A" w14:paraId="59E48345" w14:textId="77777777">
        <w:trPr>
          <w:jc w:val="center"/>
        </w:trPr>
        <w:tc>
          <w:tcPr>
            <w:tcW w:w="50" w:type="pct"/>
            <w:tcBorders>
              <w:top w:val="nil"/>
              <w:left w:val="nil"/>
              <w:bottom w:val="nil"/>
              <w:right w:val="nil"/>
            </w:tcBorders>
            <w:shd w:val="clear" w:color="auto" w:fill="auto"/>
            <w:vAlign w:val="bottom"/>
          </w:tcPr>
          <w:p w14:paraId="59E4832D" w14:textId="77777777" w:rsidR="00D7560A" w:rsidRDefault="00D7560A">
            <w:pPr>
              <w:widowControl/>
              <w:jc w:val="left"/>
              <w:rPr>
                <w:rFonts w:ascii="Times New Roman" w:eastAsia="宋体" w:hAnsi="宋体" w:cs="宋体"/>
                <w:kern w:val="0"/>
                <w:sz w:val="24"/>
              </w:rPr>
            </w:pPr>
          </w:p>
        </w:tc>
        <w:tc>
          <w:tcPr>
            <w:tcW w:w="2426" w:type="pct"/>
            <w:tcBorders>
              <w:top w:val="nil"/>
              <w:left w:val="nil"/>
              <w:bottom w:val="nil"/>
              <w:right w:val="nil"/>
            </w:tcBorders>
            <w:shd w:val="clear" w:color="auto" w:fill="auto"/>
            <w:vAlign w:val="bottom"/>
          </w:tcPr>
          <w:p w14:paraId="59E4832E"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832F"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8330" w14:textId="77777777" w:rsidR="00D7560A" w:rsidRDefault="00D7560A">
            <w:pPr>
              <w:widowControl/>
              <w:jc w:val="left"/>
              <w:rPr>
                <w:rFonts w:ascii="Times New Roman" w:eastAsia="宋体" w:hAnsi="宋体" w:cs="宋体"/>
                <w:kern w:val="0"/>
                <w:sz w:val="24"/>
              </w:rPr>
            </w:pPr>
          </w:p>
        </w:tc>
        <w:tc>
          <w:tcPr>
            <w:tcW w:w="552" w:type="pct"/>
            <w:tcBorders>
              <w:top w:val="nil"/>
              <w:left w:val="nil"/>
              <w:bottom w:val="nil"/>
              <w:right w:val="nil"/>
            </w:tcBorders>
            <w:shd w:val="clear" w:color="auto" w:fill="auto"/>
            <w:vAlign w:val="bottom"/>
          </w:tcPr>
          <w:p w14:paraId="59E48331"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8332"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8333" w14:textId="77777777" w:rsidR="00D7560A" w:rsidRDefault="00D7560A">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59E48334"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8335"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8336" w14:textId="77777777" w:rsidR="00D7560A" w:rsidRDefault="00D7560A">
            <w:pPr>
              <w:widowControl/>
              <w:jc w:val="left"/>
              <w:rPr>
                <w:rFonts w:ascii="Times New Roman" w:eastAsia="宋体" w:hAnsi="宋体" w:cs="宋体"/>
                <w:kern w:val="0"/>
                <w:sz w:val="24"/>
              </w:rPr>
            </w:pPr>
          </w:p>
        </w:tc>
        <w:tc>
          <w:tcPr>
            <w:tcW w:w="552" w:type="pct"/>
            <w:tcBorders>
              <w:top w:val="nil"/>
              <w:left w:val="nil"/>
              <w:bottom w:val="nil"/>
              <w:right w:val="nil"/>
            </w:tcBorders>
            <w:shd w:val="clear" w:color="auto" w:fill="auto"/>
            <w:vAlign w:val="bottom"/>
          </w:tcPr>
          <w:p w14:paraId="59E48337"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8338"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8339" w14:textId="77777777" w:rsidR="00D7560A" w:rsidRDefault="00D7560A">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59E4833A"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833B"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833C" w14:textId="77777777" w:rsidR="00D7560A" w:rsidRDefault="00D7560A">
            <w:pPr>
              <w:widowControl/>
              <w:jc w:val="left"/>
              <w:rPr>
                <w:rFonts w:ascii="Times New Roman" w:eastAsia="宋体" w:hAnsi="宋体" w:cs="宋体"/>
                <w:kern w:val="0"/>
                <w:sz w:val="24"/>
              </w:rPr>
            </w:pPr>
          </w:p>
        </w:tc>
        <w:tc>
          <w:tcPr>
            <w:tcW w:w="552" w:type="pct"/>
            <w:tcBorders>
              <w:top w:val="nil"/>
              <w:left w:val="nil"/>
              <w:bottom w:val="nil"/>
              <w:right w:val="nil"/>
            </w:tcBorders>
            <w:shd w:val="clear" w:color="auto" w:fill="auto"/>
            <w:vAlign w:val="bottom"/>
          </w:tcPr>
          <w:p w14:paraId="59E4833D"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833E"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833F" w14:textId="77777777" w:rsidR="00D7560A" w:rsidRDefault="00D7560A">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59E48340"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8341"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8342" w14:textId="77777777" w:rsidR="00D7560A" w:rsidRDefault="00D7560A">
            <w:pPr>
              <w:widowControl/>
              <w:jc w:val="left"/>
              <w:rPr>
                <w:rFonts w:ascii="Times New Roman" w:eastAsia="宋体" w:hAnsi="宋体" w:cs="宋体"/>
                <w:kern w:val="0"/>
                <w:sz w:val="24"/>
              </w:rPr>
            </w:pPr>
          </w:p>
        </w:tc>
        <w:tc>
          <w:tcPr>
            <w:tcW w:w="552" w:type="pct"/>
            <w:tcBorders>
              <w:top w:val="nil"/>
              <w:left w:val="nil"/>
              <w:bottom w:val="nil"/>
              <w:right w:val="nil"/>
            </w:tcBorders>
            <w:shd w:val="clear" w:color="auto" w:fill="auto"/>
            <w:vAlign w:val="bottom"/>
          </w:tcPr>
          <w:p w14:paraId="59E48343"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8344" w14:textId="77777777" w:rsidR="00D7560A" w:rsidRDefault="00D7560A">
            <w:pPr>
              <w:widowControl/>
              <w:jc w:val="left"/>
              <w:rPr>
                <w:rFonts w:ascii="Times New Roman" w:eastAsia="宋体" w:hAnsi="宋体" w:cs="宋体"/>
                <w:kern w:val="0"/>
                <w:sz w:val="24"/>
              </w:rPr>
            </w:pPr>
          </w:p>
        </w:tc>
      </w:tr>
      <w:tr w:rsidR="00D7560A" w14:paraId="59E4834A"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8346" w14:textId="77777777" w:rsidR="00D7560A" w:rsidRDefault="00D7560A">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59E48347"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Three Months Ended</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8348" w14:textId="77777777" w:rsidR="00D7560A" w:rsidRDefault="00D7560A">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59E48349"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Six Months Ended</w:t>
            </w:r>
          </w:p>
        </w:tc>
      </w:tr>
      <w:tr w:rsidR="00D7560A" w14:paraId="59E48353"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834B"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59E4834C"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29, 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59E4834D"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59E4834E"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30, 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834F"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59E48350"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29, 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59E48351"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59E48352"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30, 2021</w:t>
            </w:r>
          </w:p>
        </w:tc>
      </w:tr>
      <w:tr w:rsidR="00D7560A" w14:paraId="59E48364"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9E48354"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Net income</w:t>
            </w: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59E48355"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59E48356"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506 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59E48357"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358"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59E48359"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59E4835A"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880 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59E4835B"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35C"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59E4835D"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59E4835E"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1,575 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59E4835F"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360"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59E48361"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59E48362"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1,818 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59E48363" w14:textId="77777777" w:rsidR="00D7560A" w:rsidRDefault="00D7560A">
            <w:pPr>
              <w:widowControl/>
              <w:jc w:val="right"/>
              <w:rPr>
                <w:rFonts w:ascii="Times New Roman" w:eastAsia="宋体" w:hAnsi="宋体" w:cs="宋体"/>
                <w:kern w:val="0"/>
                <w:sz w:val="24"/>
              </w:rPr>
            </w:pPr>
          </w:p>
        </w:tc>
      </w:tr>
      <w:tr w:rsidR="00D7560A" w14:paraId="59E4836D" w14:textId="77777777">
        <w:trPr>
          <w:trHeight w:val="300"/>
          <w:jc w:val="center"/>
        </w:trPr>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365"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366"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367"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368"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369"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36A"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36B"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36C" w14:textId="77777777" w:rsidR="00D7560A" w:rsidRDefault="00D7560A">
            <w:pPr>
              <w:widowControl/>
              <w:jc w:val="left"/>
              <w:rPr>
                <w:rFonts w:ascii="Times New Roman" w:eastAsia="宋体" w:hAnsi="宋体" w:cs="宋体"/>
                <w:kern w:val="0"/>
                <w:sz w:val="24"/>
              </w:rPr>
            </w:pPr>
          </w:p>
        </w:tc>
      </w:tr>
      <w:tr w:rsidR="00D7560A" w14:paraId="59E48376"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9E4836E"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i/>
                <w:iCs/>
                <w:color w:val="000000"/>
                <w:kern w:val="0"/>
                <w:sz w:val="20"/>
                <w:szCs w:val="20"/>
                <w:lang w:bidi="ar"/>
              </w:rPr>
              <w:t xml:space="preserve">Other </w:t>
            </w:r>
            <w:r>
              <w:rPr>
                <w:rFonts w:ascii="Times New Roman" w:eastAsia="宋体" w:hAnsi="Times New Roman" w:cs="Times New Roman"/>
                <w:i/>
                <w:iCs/>
                <w:color w:val="000000"/>
                <w:kern w:val="0"/>
                <w:sz w:val="20"/>
                <w:szCs w:val="20"/>
                <w:lang w:bidi="ar"/>
              </w:rPr>
              <w:t>comprehensive income (loss), net of tax</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36F"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370"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371"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372"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373"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374"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375" w14:textId="77777777" w:rsidR="00D7560A" w:rsidRDefault="00D7560A">
            <w:pPr>
              <w:widowControl/>
              <w:jc w:val="left"/>
              <w:rPr>
                <w:rFonts w:ascii="Times New Roman" w:eastAsia="宋体" w:hAnsi="宋体" w:cs="宋体"/>
                <w:kern w:val="0"/>
                <w:sz w:val="24"/>
              </w:rPr>
            </w:pPr>
          </w:p>
        </w:tc>
      </w:tr>
      <w:tr w:rsidR="00D7560A" w14:paraId="59E48383" w14:textId="77777777">
        <w:trPr>
          <w:jc w:val="center"/>
        </w:trPr>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59E48377"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Foreign currency translation adjustments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378"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(138)</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379"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37A"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37B"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(133)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37C"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37D"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37E"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(424)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37F"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380"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381"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(140)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382" w14:textId="77777777" w:rsidR="00D7560A" w:rsidRDefault="00D7560A">
            <w:pPr>
              <w:widowControl/>
              <w:jc w:val="right"/>
              <w:rPr>
                <w:rFonts w:ascii="Times New Roman" w:eastAsia="宋体" w:hAnsi="宋体" w:cs="宋体"/>
                <w:kern w:val="0"/>
                <w:sz w:val="24"/>
              </w:rPr>
            </w:pPr>
          </w:p>
        </w:tc>
      </w:tr>
      <w:tr w:rsidR="00D7560A" w14:paraId="59E4838C" w14:textId="77777777">
        <w:trPr>
          <w:jc w:val="center"/>
          <w:hidden/>
        </w:trPr>
        <w:tc>
          <w:tcPr>
            <w:tcW w:w="0" w:type="auto"/>
            <w:gridSpan w:val="3"/>
            <w:tcBorders>
              <w:top w:val="nil"/>
              <w:left w:val="nil"/>
              <w:bottom w:val="nil"/>
              <w:right w:val="nil"/>
            </w:tcBorders>
            <w:shd w:val="clear" w:color="auto" w:fill="auto"/>
            <w:vAlign w:val="bottom"/>
          </w:tcPr>
          <w:p w14:paraId="59E48384"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385"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386"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387"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388"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389"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38A"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38B" w14:textId="77777777" w:rsidR="00D7560A" w:rsidRDefault="00D7560A">
            <w:pPr>
              <w:widowControl/>
              <w:jc w:val="left"/>
              <w:rPr>
                <w:rFonts w:ascii="Times New Roman" w:eastAsia="宋体" w:hAnsi="宋体" w:cs="宋体"/>
                <w:vanish/>
                <w:kern w:val="0"/>
                <w:sz w:val="24"/>
              </w:rPr>
            </w:pPr>
          </w:p>
        </w:tc>
      </w:tr>
      <w:tr w:rsidR="00D7560A" w14:paraId="59E48395" w14:textId="77777777">
        <w:trPr>
          <w:jc w:val="center"/>
          <w:hidden/>
        </w:trPr>
        <w:tc>
          <w:tcPr>
            <w:tcW w:w="0" w:type="auto"/>
            <w:gridSpan w:val="3"/>
            <w:tcBorders>
              <w:top w:val="nil"/>
              <w:left w:val="nil"/>
              <w:bottom w:val="nil"/>
              <w:right w:val="nil"/>
            </w:tcBorders>
            <w:shd w:val="clear" w:color="auto" w:fill="auto"/>
            <w:vAlign w:val="bottom"/>
          </w:tcPr>
          <w:p w14:paraId="59E4838D"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38E"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38F"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390"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391"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392"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393"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394" w14:textId="77777777" w:rsidR="00D7560A" w:rsidRDefault="00D7560A">
            <w:pPr>
              <w:widowControl/>
              <w:jc w:val="left"/>
              <w:rPr>
                <w:rFonts w:ascii="Times New Roman" w:eastAsia="宋体" w:hAnsi="宋体" w:cs="宋体"/>
                <w:vanish/>
                <w:kern w:val="0"/>
                <w:sz w:val="24"/>
              </w:rPr>
            </w:pPr>
          </w:p>
        </w:tc>
      </w:tr>
      <w:tr w:rsidR="00D7560A" w14:paraId="59E4839E" w14:textId="77777777">
        <w:trPr>
          <w:jc w:val="center"/>
          <w:hidden/>
        </w:trPr>
        <w:tc>
          <w:tcPr>
            <w:tcW w:w="0" w:type="auto"/>
            <w:gridSpan w:val="3"/>
            <w:tcBorders>
              <w:top w:val="nil"/>
              <w:left w:val="nil"/>
              <w:bottom w:val="nil"/>
              <w:right w:val="nil"/>
            </w:tcBorders>
            <w:shd w:val="clear" w:color="auto" w:fill="auto"/>
            <w:vAlign w:val="bottom"/>
          </w:tcPr>
          <w:p w14:paraId="59E48396"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397"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398"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399"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39A"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39B"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39C"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39D" w14:textId="77777777" w:rsidR="00D7560A" w:rsidRDefault="00D7560A">
            <w:pPr>
              <w:widowControl/>
              <w:jc w:val="left"/>
              <w:rPr>
                <w:rFonts w:ascii="Times New Roman" w:eastAsia="宋体" w:hAnsi="宋体" w:cs="宋体"/>
                <w:vanish/>
                <w:kern w:val="0"/>
                <w:sz w:val="24"/>
              </w:rPr>
            </w:pPr>
          </w:p>
        </w:tc>
      </w:tr>
      <w:tr w:rsidR="00D7560A" w14:paraId="59E483A7" w14:textId="77777777">
        <w:trPr>
          <w:jc w:val="center"/>
          <w:hidden/>
        </w:trPr>
        <w:tc>
          <w:tcPr>
            <w:tcW w:w="0" w:type="auto"/>
            <w:gridSpan w:val="3"/>
            <w:tcBorders>
              <w:top w:val="nil"/>
              <w:left w:val="nil"/>
              <w:bottom w:val="nil"/>
              <w:right w:val="nil"/>
            </w:tcBorders>
            <w:shd w:val="clear" w:color="auto" w:fill="auto"/>
            <w:vAlign w:val="bottom"/>
          </w:tcPr>
          <w:p w14:paraId="59E4839F"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3A0"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3A1"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3A2"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3A3"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3A4"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3A5"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3A6" w14:textId="77777777" w:rsidR="00D7560A" w:rsidRDefault="00D7560A">
            <w:pPr>
              <w:widowControl/>
              <w:jc w:val="left"/>
              <w:rPr>
                <w:rFonts w:ascii="Times New Roman" w:eastAsia="宋体" w:hAnsi="宋体" w:cs="宋体"/>
                <w:vanish/>
                <w:kern w:val="0"/>
                <w:sz w:val="24"/>
              </w:rPr>
            </w:pPr>
          </w:p>
        </w:tc>
      </w:tr>
      <w:tr w:rsidR="00D7560A" w14:paraId="59E483B0" w14:textId="77777777">
        <w:trPr>
          <w:jc w:val="center"/>
        </w:trPr>
        <w:tc>
          <w:tcPr>
            <w:tcW w:w="0" w:type="auto"/>
            <w:gridSpan w:val="3"/>
            <w:tcBorders>
              <w:top w:val="nil"/>
              <w:left w:val="nil"/>
              <w:bottom w:val="nil"/>
              <w:right w:val="nil"/>
            </w:tcBorders>
            <w:shd w:val="clear" w:color="auto" w:fill="CCEEFF"/>
            <w:tcMar>
              <w:top w:w="40" w:type="dxa"/>
              <w:left w:w="245" w:type="dxa"/>
              <w:bottom w:w="40" w:type="dxa"/>
              <w:right w:w="20" w:type="dxa"/>
            </w:tcMar>
            <w:vAlign w:val="bottom"/>
          </w:tcPr>
          <w:p w14:paraId="59E483A8"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Cash flow hedges:</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3A9"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3AA"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3AB"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3AC"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3AD"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3AE"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3AF" w14:textId="77777777" w:rsidR="00D7560A" w:rsidRDefault="00D7560A">
            <w:pPr>
              <w:widowControl/>
              <w:jc w:val="left"/>
              <w:rPr>
                <w:rFonts w:ascii="Times New Roman" w:eastAsia="宋体" w:hAnsi="宋体" w:cs="宋体"/>
                <w:kern w:val="0"/>
                <w:sz w:val="24"/>
              </w:rPr>
            </w:pPr>
          </w:p>
        </w:tc>
      </w:tr>
      <w:tr w:rsidR="00D7560A" w14:paraId="59E483BD" w14:textId="77777777">
        <w:trPr>
          <w:jc w:val="center"/>
        </w:trPr>
        <w:tc>
          <w:tcPr>
            <w:tcW w:w="0" w:type="auto"/>
            <w:gridSpan w:val="3"/>
            <w:tcBorders>
              <w:top w:val="nil"/>
              <w:left w:val="nil"/>
              <w:bottom w:val="nil"/>
              <w:right w:val="nil"/>
            </w:tcBorders>
            <w:shd w:val="clear" w:color="auto" w:fill="FFFFFF"/>
            <w:tcMar>
              <w:top w:w="40" w:type="dxa"/>
              <w:left w:w="470" w:type="dxa"/>
              <w:bottom w:w="40" w:type="dxa"/>
              <w:right w:w="20" w:type="dxa"/>
            </w:tcMar>
            <w:vAlign w:val="bottom"/>
          </w:tcPr>
          <w:p w14:paraId="59E483B1"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Change in unrealized gains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3B2"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166 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3B3"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3B4"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3B5"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3B6"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3B7"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3B8"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538 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3B9"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3BA"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3BB"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3BC" w14:textId="77777777" w:rsidR="00D7560A" w:rsidRDefault="00D7560A">
            <w:pPr>
              <w:widowControl/>
              <w:jc w:val="right"/>
              <w:rPr>
                <w:rFonts w:ascii="Times New Roman" w:eastAsia="宋体" w:hAnsi="宋体" w:cs="宋体"/>
                <w:kern w:val="0"/>
                <w:sz w:val="24"/>
              </w:rPr>
            </w:pPr>
          </w:p>
        </w:tc>
      </w:tr>
      <w:tr w:rsidR="00D7560A" w14:paraId="59E483CA" w14:textId="77777777">
        <w:trPr>
          <w:jc w:val="center"/>
        </w:trPr>
        <w:tc>
          <w:tcPr>
            <w:tcW w:w="0" w:type="auto"/>
            <w:gridSpan w:val="3"/>
            <w:tcBorders>
              <w:top w:val="nil"/>
              <w:left w:val="nil"/>
              <w:bottom w:val="nil"/>
              <w:right w:val="nil"/>
            </w:tcBorders>
            <w:shd w:val="clear" w:color="auto" w:fill="CCEEFF"/>
            <w:tcMar>
              <w:top w:w="40" w:type="dxa"/>
              <w:left w:w="470" w:type="dxa"/>
              <w:bottom w:w="40" w:type="dxa"/>
              <w:right w:w="20" w:type="dxa"/>
            </w:tcMar>
            <w:vAlign w:val="bottom"/>
          </w:tcPr>
          <w:p w14:paraId="59E483BE"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Reclassification adjustment for net (gains) losses included in net income</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83BF"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(306)</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3C0"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3C1"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83C2"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3C3"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3C4"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83C5"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(402)</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3C6"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3C7"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83C8"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3C9" w14:textId="77777777" w:rsidR="00D7560A" w:rsidRDefault="00D7560A">
            <w:pPr>
              <w:widowControl/>
              <w:jc w:val="right"/>
              <w:rPr>
                <w:rFonts w:ascii="Times New Roman" w:eastAsia="宋体" w:hAnsi="宋体" w:cs="宋体"/>
                <w:kern w:val="0"/>
                <w:sz w:val="24"/>
              </w:rPr>
            </w:pPr>
          </w:p>
        </w:tc>
      </w:tr>
      <w:tr w:rsidR="00D7560A" w14:paraId="59E483D7" w14:textId="77777777">
        <w:trPr>
          <w:jc w:val="center"/>
        </w:trPr>
        <w:tc>
          <w:tcPr>
            <w:tcW w:w="0" w:type="auto"/>
            <w:gridSpan w:val="3"/>
            <w:tcBorders>
              <w:top w:val="nil"/>
              <w:left w:val="nil"/>
              <w:bottom w:val="nil"/>
              <w:right w:val="nil"/>
            </w:tcBorders>
            <w:shd w:val="clear" w:color="auto" w:fill="FFFFFF"/>
            <w:tcMar>
              <w:top w:w="40" w:type="dxa"/>
              <w:left w:w="740" w:type="dxa"/>
              <w:bottom w:w="40" w:type="dxa"/>
              <w:right w:w="20" w:type="dxa"/>
            </w:tcMar>
            <w:vAlign w:val="bottom"/>
          </w:tcPr>
          <w:p w14:paraId="59E483CB"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Net change in cash flow hedges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59E483CC"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(140)</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59E483CD"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3CE" w14:textId="77777777" w:rsidR="00D7560A" w:rsidRDefault="00D7560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59E483CF"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78 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59E483D0"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3D1" w14:textId="77777777" w:rsidR="00D7560A" w:rsidRDefault="00D7560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59E483D2"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136 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59E483D3"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3D4" w14:textId="77777777" w:rsidR="00D7560A" w:rsidRDefault="00D7560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59E483D5"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104 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59E483D6" w14:textId="77777777" w:rsidR="00D7560A" w:rsidRDefault="00D7560A">
            <w:pPr>
              <w:widowControl/>
              <w:jc w:val="right"/>
              <w:rPr>
                <w:rFonts w:ascii="Times New Roman" w:eastAsia="宋体" w:hAnsi="宋体" w:cs="宋体"/>
                <w:kern w:val="0"/>
                <w:sz w:val="24"/>
              </w:rPr>
            </w:pPr>
          </w:p>
        </w:tc>
      </w:tr>
      <w:tr w:rsidR="00D7560A" w14:paraId="59E483E0" w14:textId="77777777">
        <w:trPr>
          <w:jc w:val="center"/>
        </w:trPr>
        <w:tc>
          <w:tcPr>
            <w:tcW w:w="0" w:type="auto"/>
            <w:gridSpan w:val="3"/>
            <w:tcBorders>
              <w:top w:val="nil"/>
              <w:left w:val="nil"/>
              <w:bottom w:val="nil"/>
              <w:right w:val="nil"/>
            </w:tcBorders>
            <w:shd w:val="clear" w:color="auto" w:fill="CCEEFF"/>
            <w:tcMar>
              <w:top w:w="40" w:type="dxa"/>
              <w:left w:w="245" w:type="dxa"/>
              <w:bottom w:w="40" w:type="dxa"/>
              <w:right w:w="20" w:type="dxa"/>
            </w:tcMar>
            <w:vAlign w:val="bottom"/>
          </w:tcPr>
          <w:p w14:paraId="59E483D8"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Pension and other postretirement plans:</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59E483D9"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3DA"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59E483DB"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3DC"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59E483DD"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3DE"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59E483DF" w14:textId="77777777" w:rsidR="00D7560A" w:rsidRDefault="00D7560A">
            <w:pPr>
              <w:widowControl/>
              <w:jc w:val="left"/>
              <w:rPr>
                <w:rFonts w:ascii="Times New Roman" w:eastAsia="宋体" w:hAnsi="宋体" w:cs="宋体"/>
                <w:kern w:val="0"/>
                <w:sz w:val="24"/>
              </w:rPr>
            </w:pPr>
          </w:p>
        </w:tc>
      </w:tr>
      <w:tr w:rsidR="00D7560A" w14:paraId="59E483ED" w14:textId="77777777">
        <w:trPr>
          <w:jc w:val="center"/>
        </w:trPr>
        <w:tc>
          <w:tcPr>
            <w:tcW w:w="0" w:type="auto"/>
            <w:gridSpan w:val="3"/>
            <w:tcBorders>
              <w:top w:val="nil"/>
              <w:left w:val="nil"/>
              <w:bottom w:val="nil"/>
              <w:right w:val="nil"/>
            </w:tcBorders>
            <w:shd w:val="clear" w:color="auto" w:fill="FFFFFF"/>
            <w:tcMar>
              <w:top w:w="40" w:type="dxa"/>
              <w:left w:w="470" w:type="dxa"/>
              <w:bottom w:w="40" w:type="dxa"/>
              <w:right w:w="20" w:type="dxa"/>
            </w:tcMar>
            <w:vAlign w:val="bottom"/>
          </w:tcPr>
          <w:p w14:paraId="59E483E1"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Reco</w:t>
            </w:r>
            <w:r>
              <w:rPr>
                <w:rFonts w:ascii="Times New Roman" w:eastAsia="宋体" w:hAnsi="Times New Roman" w:cs="Times New Roman"/>
                <w:color w:val="000000"/>
                <w:kern w:val="0"/>
                <w:sz w:val="20"/>
                <w:szCs w:val="20"/>
                <w:lang w:bidi="ar"/>
              </w:rPr>
              <w:t>gnition of actuarial net gains (losses) from pension and other postretirement plans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3E2"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3E3"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3E4"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3E5"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3E6"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3E7"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3E8"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3E9"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3EA"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3EB"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3EC" w14:textId="77777777" w:rsidR="00D7560A" w:rsidRDefault="00D7560A">
            <w:pPr>
              <w:widowControl/>
              <w:jc w:val="right"/>
              <w:rPr>
                <w:rFonts w:ascii="Times New Roman" w:eastAsia="宋体" w:hAnsi="宋体" w:cs="宋体"/>
                <w:kern w:val="0"/>
                <w:sz w:val="24"/>
              </w:rPr>
            </w:pPr>
          </w:p>
        </w:tc>
      </w:tr>
      <w:tr w:rsidR="00D7560A" w14:paraId="59E483FA" w14:textId="77777777">
        <w:trPr>
          <w:jc w:val="center"/>
        </w:trPr>
        <w:tc>
          <w:tcPr>
            <w:tcW w:w="0" w:type="auto"/>
            <w:gridSpan w:val="3"/>
            <w:tcBorders>
              <w:top w:val="nil"/>
              <w:left w:val="nil"/>
              <w:bottom w:val="nil"/>
              <w:right w:val="nil"/>
            </w:tcBorders>
            <w:shd w:val="clear" w:color="auto" w:fill="CCEEFF"/>
            <w:tcMar>
              <w:top w:w="40" w:type="dxa"/>
              <w:left w:w="470" w:type="dxa"/>
              <w:bottom w:w="40" w:type="dxa"/>
              <w:right w:w="20" w:type="dxa"/>
            </w:tcMar>
            <w:vAlign w:val="bottom"/>
          </w:tcPr>
          <w:p w14:paraId="59E483EE"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Reclassification adjustments for net losses from pension and other postretirement plans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83EF"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3F0"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3F1"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83F2"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3F3"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3F4"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83F5"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3F6"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3F7"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83F8"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3F9" w14:textId="77777777" w:rsidR="00D7560A" w:rsidRDefault="00D7560A">
            <w:pPr>
              <w:widowControl/>
              <w:jc w:val="right"/>
              <w:rPr>
                <w:rFonts w:ascii="Times New Roman" w:eastAsia="宋体" w:hAnsi="宋体" w:cs="宋体"/>
                <w:kern w:val="0"/>
                <w:sz w:val="24"/>
              </w:rPr>
            </w:pPr>
          </w:p>
        </w:tc>
      </w:tr>
      <w:tr w:rsidR="00D7560A" w14:paraId="59E48407" w14:textId="77777777">
        <w:trPr>
          <w:jc w:val="center"/>
        </w:trPr>
        <w:tc>
          <w:tcPr>
            <w:tcW w:w="0" w:type="auto"/>
            <w:gridSpan w:val="3"/>
            <w:tcBorders>
              <w:top w:val="nil"/>
              <w:left w:val="nil"/>
              <w:bottom w:val="nil"/>
              <w:right w:val="nil"/>
            </w:tcBorders>
            <w:shd w:val="clear" w:color="auto" w:fill="FFFFFF"/>
            <w:tcMar>
              <w:top w:w="40" w:type="dxa"/>
              <w:left w:w="740" w:type="dxa"/>
              <w:bottom w:w="40" w:type="dxa"/>
              <w:right w:w="20" w:type="dxa"/>
            </w:tcMar>
            <w:vAlign w:val="bottom"/>
          </w:tcPr>
          <w:p w14:paraId="59E483FB"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Net change in actuarial net gains from pension and other postretirement plans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59E483FC"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59E483FD"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3FE" w14:textId="77777777" w:rsidR="00D7560A" w:rsidRDefault="00D7560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59E483FF"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59E48400"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401" w14:textId="77777777" w:rsidR="00D7560A" w:rsidRDefault="00D7560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59E48402"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13 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59E48403"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404" w14:textId="77777777" w:rsidR="00D7560A" w:rsidRDefault="00D7560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59E48405"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59E48406" w14:textId="77777777" w:rsidR="00D7560A" w:rsidRDefault="00D7560A">
            <w:pPr>
              <w:widowControl/>
              <w:jc w:val="right"/>
              <w:rPr>
                <w:rFonts w:ascii="Times New Roman" w:eastAsia="宋体" w:hAnsi="宋体" w:cs="宋体"/>
                <w:kern w:val="0"/>
                <w:sz w:val="24"/>
              </w:rPr>
            </w:pPr>
          </w:p>
        </w:tc>
      </w:tr>
      <w:tr w:rsidR="00D7560A" w14:paraId="59E48410" w14:textId="77777777">
        <w:trPr>
          <w:trHeight w:val="300"/>
          <w:jc w:val="center"/>
        </w:trPr>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408"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59E48409"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40A"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59E4840B"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40C"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59E4840D"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40E"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59E4840F" w14:textId="77777777" w:rsidR="00D7560A" w:rsidRDefault="00D7560A">
            <w:pPr>
              <w:widowControl/>
              <w:jc w:val="left"/>
              <w:rPr>
                <w:rFonts w:ascii="Times New Roman" w:eastAsia="宋体" w:hAnsi="宋体" w:cs="宋体"/>
                <w:kern w:val="0"/>
                <w:sz w:val="24"/>
              </w:rPr>
            </w:pPr>
          </w:p>
        </w:tc>
      </w:tr>
      <w:tr w:rsidR="00D7560A" w14:paraId="59E4841D"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59E48411"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Total other comprehensive (loss), net of tax expense (benefit) of $(8) and $7, respectively, and $8 and $5, respectively </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412"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(282)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413"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414"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415"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416"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417"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418"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(275)</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419"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41A"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41B"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41C" w14:textId="77777777" w:rsidR="00D7560A" w:rsidRDefault="00D7560A">
            <w:pPr>
              <w:widowControl/>
              <w:jc w:val="right"/>
              <w:rPr>
                <w:rFonts w:ascii="Times New Roman" w:eastAsia="宋体" w:hAnsi="宋体" w:cs="宋体"/>
                <w:kern w:val="0"/>
                <w:sz w:val="24"/>
              </w:rPr>
            </w:pPr>
          </w:p>
        </w:tc>
      </w:tr>
      <w:tr w:rsidR="00D7560A" w14:paraId="59E4842A" w14:textId="77777777">
        <w:trPr>
          <w:jc w:val="center"/>
        </w:trPr>
        <w:tc>
          <w:tcPr>
            <w:tcW w:w="0" w:type="auto"/>
            <w:gridSpan w:val="3"/>
            <w:tcBorders>
              <w:top w:val="nil"/>
              <w:left w:val="nil"/>
              <w:bottom w:val="nil"/>
              <w:right w:val="nil"/>
            </w:tcBorders>
            <w:shd w:val="clear" w:color="auto" w:fill="CCEEFF"/>
            <w:tcMar>
              <w:top w:w="40" w:type="dxa"/>
              <w:left w:w="245" w:type="dxa"/>
              <w:bottom w:w="40" w:type="dxa"/>
              <w:right w:w="20" w:type="dxa"/>
            </w:tcMar>
            <w:vAlign w:val="bottom"/>
          </w:tcPr>
          <w:p w14:paraId="59E4841E"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Comprehensive income, net of tax</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59E4841F"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224 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59E48420"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421" w14:textId="77777777" w:rsidR="00D7560A" w:rsidRDefault="00D7560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59E48422"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827 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59E48423"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424" w14:textId="77777777" w:rsidR="00D7560A" w:rsidRDefault="00D7560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59E48425"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1,300 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59E48426"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427" w14:textId="77777777" w:rsidR="00D7560A" w:rsidRDefault="00D7560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59E48428"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1,785 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59E48429" w14:textId="77777777" w:rsidR="00D7560A" w:rsidRDefault="00D7560A">
            <w:pPr>
              <w:widowControl/>
              <w:jc w:val="right"/>
              <w:rPr>
                <w:rFonts w:ascii="Times New Roman" w:eastAsia="宋体" w:hAnsi="宋体" w:cs="宋体"/>
                <w:kern w:val="0"/>
                <w:sz w:val="24"/>
              </w:rPr>
            </w:pPr>
          </w:p>
        </w:tc>
      </w:tr>
      <w:tr w:rsidR="00D7560A" w14:paraId="59E48437" w14:textId="77777777">
        <w:trPr>
          <w:jc w:val="center"/>
        </w:trPr>
        <w:tc>
          <w:tcPr>
            <w:tcW w:w="0" w:type="auto"/>
            <w:gridSpan w:val="3"/>
            <w:tcBorders>
              <w:top w:val="nil"/>
              <w:left w:val="nil"/>
              <w:bottom w:val="nil"/>
              <w:right w:val="nil"/>
            </w:tcBorders>
            <w:shd w:val="clear" w:color="auto" w:fill="FFFFFF"/>
            <w:tcMar>
              <w:top w:w="40" w:type="dxa"/>
              <w:left w:w="470" w:type="dxa"/>
              <w:bottom w:w="40" w:type="dxa"/>
              <w:right w:w="20" w:type="dxa"/>
            </w:tcMar>
            <w:vAlign w:val="bottom"/>
          </w:tcPr>
          <w:p w14:paraId="59E4842B"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Less: Net income (loss) attributable to non-controlling interests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59E4842C"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59E4842D"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42E" w14:textId="77777777" w:rsidR="00D7560A" w:rsidRDefault="00D7560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59E4842F"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49 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59E48430"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431" w14:textId="77777777" w:rsidR="00D7560A" w:rsidRDefault="00D7560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59E48432"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(8)</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59E48433"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434" w14:textId="77777777" w:rsidR="00D7560A" w:rsidRDefault="00D7560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59E48435"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100 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59E48436" w14:textId="77777777" w:rsidR="00D7560A" w:rsidRDefault="00D7560A">
            <w:pPr>
              <w:widowControl/>
              <w:jc w:val="right"/>
              <w:rPr>
                <w:rFonts w:ascii="Times New Roman" w:eastAsia="宋体" w:hAnsi="宋体" w:cs="宋体"/>
                <w:kern w:val="0"/>
                <w:sz w:val="24"/>
              </w:rPr>
            </w:pPr>
          </w:p>
        </w:tc>
      </w:tr>
      <w:tr w:rsidR="00D7560A" w14:paraId="59E48444" w14:textId="77777777">
        <w:trPr>
          <w:jc w:val="center"/>
        </w:trPr>
        <w:tc>
          <w:tcPr>
            <w:tcW w:w="0" w:type="auto"/>
            <w:gridSpan w:val="3"/>
            <w:tcBorders>
              <w:top w:val="nil"/>
              <w:left w:val="nil"/>
              <w:bottom w:val="nil"/>
              <w:right w:val="nil"/>
            </w:tcBorders>
            <w:shd w:val="clear" w:color="auto" w:fill="CCEEFF"/>
            <w:tcMar>
              <w:top w:w="40" w:type="dxa"/>
              <w:left w:w="470" w:type="dxa"/>
              <w:bottom w:w="40" w:type="dxa"/>
              <w:right w:w="20" w:type="dxa"/>
            </w:tcMar>
            <w:vAlign w:val="bottom"/>
          </w:tcPr>
          <w:p w14:paraId="59E48438"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Less: Other comprehensive (loss) attributable to non-controlling interests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8439"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43A"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43B"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843C"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43D"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43E"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843F"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440"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441"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8442"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443" w14:textId="77777777" w:rsidR="00D7560A" w:rsidRDefault="00D7560A">
            <w:pPr>
              <w:widowControl/>
              <w:jc w:val="right"/>
              <w:rPr>
                <w:rFonts w:ascii="Times New Roman" w:eastAsia="宋体" w:hAnsi="宋体" w:cs="宋体"/>
                <w:kern w:val="0"/>
                <w:sz w:val="24"/>
              </w:rPr>
            </w:pPr>
          </w:p>
        </w:tc>
      </w:tr>
      <w:tr w:rsidR="00D7560A" w14:paraId="59E48455" w14:textId="77777777">
        <w:trPr>
          <w:jc w:val="center"/>
        </w:trPr>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59E48445"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Comprehensive income attributable to Dell Technologies Inc.</w:t>
            </w: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59E48446"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59E48447"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230 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59E48448"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449"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59E4844A"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59E4844B"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778 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59E4844C"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44D"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59E4844E"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59E4844F"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1,309 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59E48450"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451"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59E48452"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59E48453"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1,685 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59E48454" w14:textId="77777777" w:rsidR="00D7560A" w:rsidRDefault="00D7560A">
            <w:pPr>
              <w:widowControl/>
              <w:jc w:val="right"/>
              <w:rPr>
                <w:rFonts w:ascii="Times New Roman" w:eastAsia="宋体" w:hAnsi="宋体" w:cs="宋体"/>
                <w:kern w:val="0"/>
                <w:sz w:val="24"/>
              </w:rPr>
            </w:pPr>
          </w:p>
        </w:tc>
      </w:tr>
      <w:tr w:rsidR="00D7560A" w14:paraId="59E4845E" w14:textId="77777777">
        <w:trPr>
          <w:jc w:val="center"/>
          <w:hidden/>
        </w:trPr>
        <w:tc>
          <w:tcPr>
            <w:tcW w:w="0" w:type="auto"/>
            <w:gridSpan w:val="3"/>
            <w:tcBorders>
              <w:top w:val="nil"/>
              <w:left w:val="nil"/>
              <w:bottom w:val="nil"/>
              <w:right w:val="nil"/>
            </w:tcBorders>
            <w:shd w:val="clear" w:color="auto" w:fill="auto"/>
            <w:vAlign w:val="bottom"/>
          </w:tcPr>
          <w:p w14:paraId="59E48456"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457"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458"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459"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45A"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45B"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45C"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45D" w14:textId="77777777" w:rsidR="00D7560A" w:rsidRDefault="00D7560A">
            <w:pPr>
              <w:widowControl/>
              <w:jc w:val="left"/>
              <w:rPr>
                <w:rFonts w:ascii="Times New Roman" w:eastAsia="宋体" w:hAnsi="宋体" w:cs="宋体"/>
                <w:vanish/>
                <w:kern w:val="0"/>
                <w:sz w:val="24"/>
              </w:rPr>
            </w:pPr>
          </w:p>
        </w:tc>
      </w:tr>
      <w:tr w:rsidR="00D7560A" w14:paraId="59E48467" w14:textId="77777777">
        <w:trPr>
          <w:jc w:val="center"/>
          <w:hidden/>
        </w:trPr>
        <w:tc>
          <w:tcPr>
            <w:tcW w:w="0" w:type="auto"/>
            <w:gridSpan w:val="3"/>
            <w:tcBorders>
              <w:top w:val="nil"/>
              <w:left w:val="nil"/>
              <w:bottom w:val="nil"/>
              <w:right w:val="nil"/>
            </w:tcBorders>
            <w:shd w:val="clear" w:color="auto" w:fill="auto"/>
            <w:vAlign w:val="bottom"/>
          </w:tcPr>
          <w:p w14:paraId="59E4845F"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460"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461"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462"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463"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464"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465"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466" w14:textId="77777777" w:rsidR="00D7560A" w:rsidRDefault="00D7560A">
            <w:pPr>
              <w:widowControl/>
              <w:jc w:val="left"/>
              <w:rPr>
                <w:rFonts w:ascii="Times New Roman" w:eastAsia="宋体" w:hAnsi="宋体" w:cs="宋体"/>
                <w:vanish/>
                <w:kern w:val="0"/>
                <w:sz w:val="24"/>
              </w:rPr>
            </w:pPr>
          </w:p>
        </w:tc>
      </w:tr>
      <w:tr w:rsidR="00D7560A" w14:paraId="59E48470" w14:textId="77777777">
        <w:trPr>
          <w:jc w:val="center"/>
          <w:hidden/>
        </w:trPr>
        <w:tc>
          <w:tcPr>
            <w:tcW w:w="0" w:type="auto"/>
            <w:gridSpan w:val="3"/>
            <w:tcBorders>
              <w:top w:val="nil"/>
              <w:left w:val="nil"/>
              <w:bottom w:val="nil"/>
              <w:right w:val="nil"/>
            </w:tcBorders>
            <w:shd w:val="clear" w:color="auto" w:fill="auto"/>
            <w:vAlign w:val="bottom"/>
          </w:tcPr>
          <w:p w14:paraId="59E48468"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469"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46A"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46B"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46C"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46D"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46E"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46F" w14:textId="77777777" w:rsidR="00D7560A" w:rsidRDefault="00D7560A">
            <w:pPr>
              <w:widowControl/>
              <w:jc w:val="left"/>
              <w:rPr>
                <w:rFonts w:ascii="Times New Roman" w:eastAsia="宋体" w:hAnsi="宋体" w:cs="宋体"/>
                <w:vanish/>
                <w:kern w:val="0"/>
                <w:sz w:val="24"/>
              </w:rPr>
            </w:pPr>
          </w:p>
        </w:tc>
      </w:tr>
    </w:tbl>
    <w:p w14:paraId="59E48471"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8472"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The accompanying notes are an integral part of these Condensed Consolidated Financial Statements.</w:t>
      </w:r>
    </w:p>
    <w:p w14:paraId="59E48473"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8474"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7</w:t>
      </w:r>
    </w:p>
    <w:p w14:paraId="59E48475"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8476" w14:textId="77777777" w:rsidR="00D7560A" w:rsidRDefault="001E3CAB">
      <w:pPr>
        <w:widowControl/>
        <w:jc w:val="center"/>
      </w:pPr>
      <w:r>
        <w:rPr>
          <w:rFonts w:ascii="宋体" w:eastAsia="宋体" w:hAnsi="宋体" w:cs="宋体"/>
          <w:kern w:val="0"/>
          <w:sz w:val="24"/>
        </w:rPr>
        <w:pict w14:anchorId="59E4C7D2">
          <v:rect id="_x0000_i1031" style="width:6in;height:1.5pt" o:hralign="center" o:hrstd="t" o:hr="t" fillcolor="#a0a0a0" stroked="f"/>
        </w:pict>
      </w:r>
    </w:p>
    <w:p w14:paraId="59E48477" w14:textId="77777777" w:rsidR="00D7560A" w:rsidRDefault="001E3CAB">
      <w:pPr>
        <w:widowControl/>
        <w:jc w:val="left"/>
        <w:rPr>
          <w:rFonts w:ascii="宋体" w:eastAsia="宋体" w:hAnsi="宋体" w:cs="宋体"/>
          <w:kern w:val="0"/>
          <w:sz w:val="24"/>
        </w:rPr>
      </w:pPr>
      <w:hyperlink w:anchor="if933dd1d5d004d2495dd7029e3ecad00_13" w:history="1">
        <w:r>
          <w:rPr>
            <w:rStyle w:val="a4"/>
            <w:rFonts w:ascii="Times New Roman" w:eastAsia="宋体" w:hAnsi="Times New Roman" w:cs="Times New Roman"/>
            <w:sz w:val="20"/>
            <w:szCs w:val="20"/>
          </w:rPr>
          <w:t>Table of Contents</w:t>
        </w:r>
      </w:hyperlink>
    </w:p>
    <w:p w14:paraId="59E48478" w14:textId="77777777" w:rsidR="00D7560A" w:rsidRDefault="001E3CAB">
      <w:pPr>
        <w:widowControl/>
        <w:spacing w:after="120"/>
        <w:jc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DELL TECHNOLOGIES INC.</w:t>
      </w:r>
    </w:p>
    <w:p w14:paraId="59E48479" w14:textId="77777777" w:rsidR="00D7560A" w:rsidRDefault="001E3CAB">
      <w:pPr>
        <w:widowControl/>
        <w:spacing w:after="60"/>
        <w:jc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 xml:space="preserve">CONDENSED CONSOLIDATED STATEMENTS OF CASH </w:t>
      </w:r>
      <w:r>
        <w:rPr>
          <w:rFonts w:ascii="Times New Roman" w:eastAsia="宋体" w:hAnsi="Times New Roman" w:cs="Times New Roman"/>
          <w:b/>
          <w:bCs/>
          <w:color w:val="000000"/>
          <w:kern w:val="0"/>
          <w:sz w:val="20"/>
          <w:szCs w:val="20"/>
          <w:lang w:bidi="ar"/>
        </w:rPr>
        <w:t>FLOWS</w:t>
      </w:r>
    </w:p>
    <w:p w14:paraId="59E4847A" w14:textId="77777777" w:rsidR="00D7560A" w:rsidRDefault="001E3CAB">
      <w:pPr>
        <w:widowControl/>
        <w:spacing w:after="60"/>
        <w:jc w:val="center"/>
        <w:rPr>
          <w:rFonts w:ascii="宋体" w:eastAsia="宋体" w:hAnsi="宋体" w:cs="宋体"/>
          <w:kern w:val="0"/>
          <w:sz w:val="24"/>
        </w:rPr>
      </w:pPr>
      <w:r>
        <w:rPr>
          <w:rFonts w:ascii="Times New Roman" w:eastAsia="宋体" w:hAnsi="Times New Roman" w:cs="Times New Roman"/>
          <w:color w:val="000000"/>
          <w:kern w:val="0"/>
          <w:sz w:val="20"/>
          <w:szCs w:val="20"/>
          <w:shd w:val="clear" w:color="auto" w:fill="FFFFFF"/>
          <w:lang w:bidi="ar"/>
        </w:rPr>
        <w:t>(in millions; continued on next page; 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1"/>
        <w:gridCol w:w="5182"/>
        <w:gridCol w:w="39"/>
        <w:gridCol w:w="120"/>
        <w:gridCol w:w="1219"/>
        <w:gridCol w:w="36"/>
        <w:gridCol w:w="36"/>
        <w:gridCol w:w="36"/>
        <w:gridCol w:w="36"/>
        <w:gridCol w:w="120"/>
        <w:gridCol w:w="1219"/>
        <w:gridCol w:w="36"/>
        <w:gridCol w:w="36"/>
        <w:gridCol w:w="36"/>
        <w:gridCol w:w="36"/>
        <w:gridCol w:w="36"/>
        <w:gridCol w:w="36"/>
        <w:gridCol w:w="36"/>
      </w:tblGrid>
      <w:tr w:rsidR="00D7560A" w14:paraId="59E48489" w14:textId="77777777">
        <w:trPr>
          <w:jc w:val="center"/>
        </w:trPr>
        <w:tc>
          <w:tcPr>
            <w:tcW w:w="50" w:type="pct"/>
            <w:tcBorders>
              <w:top w:val="nil"/>
              <w:left w:val="nil"/>
              <w:bottom w:val="nil"/>
              <w:right w:val="nil"/>
            </w:tcBorders>
            <w:shd w:val="clear" w:color="auto" w:fill="auto"/>
            <w:vAlign w:val="bottom"/>
          </w:tcPr>
          <w:p w14:paraId="59E4847B" w14:textId="77777777" w:rsidR="00D7560A" w:rsidRDefault="00D7560A">
            <w:pPr>
              <w:widowControl/>
              <w:jc w:val="left"/>
              <w:rPr>
                <w:rFonts w:ascii="Times New Roman" w:eastAsia="宋体" w:hAnsi="宋体" w:cs="宋体"/>
                <w:kern w:val="0"/>
                <w:sz w:val="24"/>
              </w:rPr>
            </w:pPr>
          </w:p>
        </w:tc>
        <w:tc>
          <w:tcPr>
            <w:tcW w:w="3234" w:type="pct"/>
            <w:tcBorders>
              <w:top w:val="nil"/>
              <w:left w:val="nil"/>
              <w:bottom w:val="nil"/>
              <w:right w:val="nil"/>
            </w:tcBorders>
            <w:shd w:val="clear" w:color="auto" w:fill="auto"/>
            <w:vAlign w:val="bottom"/>
          </w:tcPr>
          <w:p w14:paraId="59E4847C"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847D"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847E" w14:textId="77777777" w:rsidR="00D7560A" w:rsidRDefault="00D7560A">
            <w:pPr>
              <w:widowControl/>
              <w:jc w:val="left"/>
              <w:rPr>
                <w:rFonts w:ascii="Times New Roman" w:eastAsia="宋体" w:hAnsi="宋体" w:cs="宋体"/>
                <w:kern w:val="0"/>
                <w:sz w:val="24"/>
              </w:rPr>
            </w:pPr>
          </w:p>
        </w:tc>
        <w:tc>
          <w:tcPr>
            <w:tcW w:w="785" w:type="pct"/>
            <w:tcBorders>
              <w:top w:val="nil"/>
              <w:left w:val="nil"/>
              <w:bottom w:val="nil"/>
              <w:right w:val="nil"/>
            </w:tcBorders>
            <w:shd w:val="clear" w:color="auto" w:fill="auto"/>
            <w:vAlign w:val="bottom"/>
          </w:tcPr>
          <w:p w14:paraId="59E4847F"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8480"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8481" w14:textId="77777777" w:rsidR="00D7560A" w:rsidRDefault="00D7560A">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59E48482"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8483"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8484" w14:textId="77777777" w:rsidR="00D7560A" w:rsidRDefault="00D7560A">
            <w:pPr>
              <w:widowControl/>
              <w:jc w:val="left"/>
              <w:rPr>
                <w:rFonts w:ascii="Times New Roman" w:eastAsia="宋体" w:hAnsi="宋体" w:cs="宋体"/>
                <w:kern w:val="0"/>
                <w:sz w:val="24"/>
              </w:rPr>
            </w:pPr>
          </w:p>
        </w:tc>
        <w:tc>
          <w:tcPr>
            <w:tcW w:w="785" w:type="pct"/>
            <w:tcBorders>
              <w:top w:val="nil"/>
              <w:left w:val="nil"/>
              <w:bottom w:val="nil"/>
              <w:right w:val="nil"/>
            </w:tcBorders>
            <w:shd w:val="clear" w:color="auto" w:fill="auto"/>
            <w:vAlign w:val="bottom"/>
          </w:tcPr>
          <w:p w14:paraId="59E48485"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8486"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59E48487"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488" w14:textId="77777777" w:rsidR="00D7560A" w:rsidRDefault="00D7560A">
            <w:pPr>
              <w:widowControl/>
              <w:jc w:val="left"/>
              <w:rPr>
                <w:rFonts w:ascii="Times New Roman" w:eastAsia="宋体" w:hAnsi="宋体" w:cs="宋体"/>
                <w:vanish/>
                <w:kern w:val="0"/>
                <w:sz w:val="24"/>
              </w:rPr>
            </w:pPr>
          </w:p>
        </w:tc>
      </w:tr>
      <w:tr w:rsidR="00D7560A" w14:paraId="59E48492" w14:textId="77777777">
        <w:trPr>
          <w:jc w:val="center"/>
        </w:trPr>
        <w:tc>
          <w:tcPr>
            <w:tcW w:w="0" w:type="auto"/>
            <w:gridSpan w:val="3"/>
            <w:tcBorders>
              <w:top w:val="nil"/>
              <w:left w:val="nil"/>
              <w:bottom w:val="nil"/>
              <w:right w:val="nil"/>
            </w:tcBorders>
            <w:shd w:val="clear" w:color="auto" w:fill="auto"/>
            <w:tcMar>
              <w:top w:w="40" w:type="dxa"/>
              <w:left w:w="132" w:type="dxa"/>
              <w:bottom w:w="40" w:type="dxa"/>
              <w:right w:w="132" w:type="dxa"/>
            </w:tcMar>
            <w:vAlign w:val="bottom"/>
          </w:tcPr>
          <w:p w14:paraId="59E4848A"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59E4848B"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Six Months Ended</w:t>
            </w:r>
          </w:p>
        </w:tc>
        <w:tc>
          <w:tcPr>
            <w:tcW w:w="0" w:type="auto"/>
            <w:tcBorders>
              <w:top w:val="nil"/>
              <w:left w:val="nil"/>
              <w:bottom w:val="nil"/>
              <w:right w:val="nil"/>
            </w:tcBorders>
            <w:shd w:val="clear" w:color="auto" w:fill="auto"/>
            <w:vAlign w:val="bottom"/>
          </w:tcPr>
          <w:p w14:paraId="59E4848C"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848D"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848E"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848F"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8490"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8491" w14:textId="77777777" w:rsidR="00D7560A" w:rsidRDefault="00D7560A">
            <w:pPr>
              <w:widowControl/>
              <w:jc w:val="left"/>
              <w:rPr>
                <w:rFonts w:ascii="Times New Roman" w:eastAsia="宋体" w:hAnsi="宋体" w:cs="宋体"/>
                <w:kern w:val="0"/>
                <w:sz w:val="24"/>
              </w:rPr>
            </w:pPr>
          </w:p>
        </w:tc>
      </w:tr>
      <w:tr w:rsidR="00D7560A" w14:paraId="59E48499"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9E48493"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59E48494"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29, 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59E48495"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59E48496"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30, 2021</w:t>
            </w:r>
          </w:p>
        </w:tc>
        <w:tc>
          <w:tcPr>
            <w:tcW w:w="0" w:type="auto"/>
            <w:gridSpan w:val="3"/>
            <w:tcBorders>
              <w:top w:val="nil"/>
              <w:left w:val="nil"/>
              <w:bottom w:val="nil"/>
              <w:right w:val="nil"/>
            </w:tcBorders>
            <w:shd w:val="clear" w:color="auto" w:fill="auto"/>
            <w:vAlign w:val="bottom"/>
          </w:tcPr>
          <w:p w14:paraId="59E48497"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498" w14:textId="77777777" w:rsidR="00D7560A" w:rsidRDefault="00D7560A">
            <w:pPr>
              <w:widowControl/>
              <w:jc w:val="left"/>
              <w:rPr>
                <w:rFonts w:ascii="Times New Roman" w:eastAsia="宋体" w:hAnsi="宋体" w:cs="宋体"/>
                <w:vanish/>
                <w:kern w:val="0"/>
                <w:sz w:val="24"/>
              </w:rPr>
            </w:pPr>
          </w:p>
        </w:tc>
      </w:tr>
      <w:tr w:rsidR="00D7560A" w14:paraId="59E484A0"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9E4849A"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Cash flows from operating activities:</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59E4849B"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49C"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59E4849D"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 </w:t>
            </w:r>
          </w:p>
        </w:tc>
        <w:tc>
          <w:tcPr>
            <w:tcW w:w="0" w:type="auto"/>
            <w:gridSpan w:val="3"/>
            <w:tcBorders>
              <w:top w:val="nil"/>
              <w:left w:val="nil"/>
              <w:bottom w:val="nil"/>
              <w:right w:val="nil"/>
            </w:tcBorders>
            <w:shd w:val="clear" w:color="auto" w:fill="auto"/>
            <w:vAlign w:val="bottom"/>
          </w:tcPr>
          <w:p w14:paraId="59E4849E"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49F" w14:textId="77777777" w:rsidR="00D7560A" w:rsidRDefault="00D7560A">
            <w:pPr>
              <w:widowControl/>
              <w:jc w:val="left"/>
              <w:rPr>
                <w:rFonts w:ascii="Times New Roman" w:eastAsia="宋体" w:hAnsi="宋体" w:cs="宋体"/>
                <w:vanish/>
                <w:kern w:val="0"/>
                <w:sz w:val="24"/>
              </w:rPr>
            </w:pPr>
          </w:p>
        </w:tc>
      </w:tr>
      <w:tr w:rsidR="00D7560A" w14:paraId="59E484AB" w14:textId="77777777">
        <w:trPr>
          <w:jc w:val="center"/>
        </w:trPr>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59E484A1"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Net income</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9E484A2"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9E484A3"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1,575 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4A4"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4A5"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9E484A6"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9E484A7"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1,818 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4A8"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59E484A9"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4AA" w14:textId="77777777" w:rsidR="00D7560A" w:rsidRDefault="00D7560A">
            <w:pPr>
              <w:widowControl/>
              <w:jc w:val="left"/>
              <w:rPr>
                <w:rFonts w:ascii="Times New Roman" w:eastAsia="宋体" w:hAnsi="宋体" w:cs="宋体"/>
                <w:vanish/>
                <w:kern w:val="0"/>
                <w:sz w:val="24"/>
              </w:rPr>
            </w:pPr>
          </w:p>
        </w:tc>
      </w:tr>
      <w:tr w:rsidR="00D7560A" w14:paraId="59E484B2" w14:textId="77777777">
        <w:trPr>
          <w:jc w:val="center"/>
        </w:trPr>
        <w:tc>
          <w:tcPr>
            <w:tcW w:w="0" w:type="auto"/>
            <w:gridSpan w:val="3"/>
            <w:tcBorders>
              <w:top w:val="nil"/>
              <w:left w:val="nil"/>
              <w:bottom w:val="nil"/>
              <w:right w:val="nil"/>
            </w:tcBorders>
            <w:shd w:val="clear" w:color="auto" w:fill="CCEEFF"/>
            <w:tcMar>
              <w:top w:w="40" w:type="dxa"/>
              <w:left w:w="155" w:type="dxa"/>
              <w:bottom w:w="40" w:type="dxa"/>
              <w:right w:w="20" w:type="dxa"/>
            </w:tcMar>
            <w:vAlign w:val="bottom"/>
          </w:tcPr>
          <w:p w14:paraId="59E484AC"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Adjustments to reconcile net income to net </w:t>
            </w:r>
            <w:r>
              <w:rPr>
                <w:rFonts w:ascii="Times New Roman" w:eastAsia="宋体" w:hAnsi="Times New Roman" w:cs="Times New Roman"/>
                <w:color w:val="000000"/>
                <w:kern w:val="0"/>
                <w:sz w:val="20"/>
                <w:szCs w:val="20"/>
                <w:lang w:bidi="ar"/>
              </w:rPr>
              <w:t>cash provided by operating activities:</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4AD"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4AE"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4AF"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59E484B0"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4B1" w14:textId="77777777" w:rsidR="00D7560A" w:rsidRDefault="00D7560A">
            <w:pPr>
              <w:widowControl/>
              <w:jc w:val="left"/>
              <w:rPr>
                <w:rFonts w:ascii="Times New Roman" w:eastAsia="宋体" w:hAnsi="宋体" w:cs="宋体"/>
                <w:vanish/>
                <w:kern w:val="0"/>
                <w:sz w:val="24"/>
              </w:rPr>
            </w:pPr>
          </w:p>
        </w:tc>
      </w:tr>
      <w:tr w:rsidR="00D7560A" w14:paraId="59E484BB" w14:textId="77777777">
        <w:trPr>
          <w:jc w:val="center"/>
        </w:trPr>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59E484B3"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Depreciation and amortization</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4B4"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1,470 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4B5"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4B6"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4B7"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2,479 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4B8"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59E484B9"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4BA" w14:textId="77777777" w:rsidR="00D7560A" w:rsidRDefault="00D7560A">
            <w:pPr>
              <w:widowControl/>
              <w:jc w:val="left"/>
              <w:rPr>
                <w:rFonts w:ascii="Times New Roman" w:eastAsia="宋体" w:hAnsi="宋体" w:cs="宋体"/>
                <w:vanish/>
                <w:kern w:val="0"/>
                <w:sz w:val="24"/>
              </w:rPr>
            </w:pPr>
          </w:p>
        </w:tc>
      </w:tr>
      <w:tr w:rsidR="00D7560A" w14:paraId="59E484C4" w14:textId="77777777">
        <w:trPr>
          <w:jc w:val="center"/>
        </w:trPr>
        <w:tc>
          <w:tcPr>
            <w:tcW w:w="0" w:type="auto"/>
            <w:gridSpan w:val="3"/>
            <w:tcBorders>
              <w:top w:val="nil"/>
              <w:left w:val="nil"/>
              <w:bottom w:val="nil"/>
              <w:right w:val="nil"/>
            </w:tcBorders>
            <w:shd w:val="clear" w:color="auto" w:fill="CCEEFF"/>
            <w:tcMar>
              <w:top w:w="40" w:type="dxa"/>
              <w:left w:w="245" w:type="dxa"/>
              <w:bottom w:w="40" w:type="dxa"/>
              <w:right w:w="20" w:type="dxa"/>
            </w:tcMar>
            <w:vAlign w:val="bottom"/>
          </w:tcPr>
          <w:p w14:paraId="59E484BC"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Stock-based compensation expense</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84BD"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468 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4BE"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4BF"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84C0"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934 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4C1"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59E484C2"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4C3" w14:textId="77777777" w:rsidR="00D7560A" w:rsidRDefault="00D7560A">
            <w:pPr>
              <w:widowControl/>
              <w:jc w:val="left"/>
              <w:rPr>
                <w:rFonts w:ascii="Times New Roman" w:eastAsia="宋体" w:hAnsi="宋体" w:cs="宋体"/>
                <w:vanish/>
                <w:kern w:val="0"/>
                <w:sz w:val="24"/>
              </w:rPr>
            </w:pPr>
          </w:p>
        </w:tc>
      </w:tr>
      <w:tr w:rsidR="00D7560A" w14:paraId="59E484CD" w14:textId="77777777">
        <w:trPr>
          <w:jc w:val="center"/>
        </w:trPr>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59E484C5"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Deferred income taxes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4C6"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(382)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4C7"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4C8"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4C9"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(300)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4CA"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59E484CB"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4CC" w14:textId="77777777" w:rsidR="00D7560A" w:rsidRDefault="00D7560A">
            <w:pPr>
              <w:widowControl/>
              <w:jc w:val="left"/>
              <w:rPr>
                <w:rFonts w:ascii="Times New Roman" w:eastAsia="宋体" w:hAnsi="宋体" w:cs="宋体"/>
                <w:vanish/>
                <w:kern w:val="0"/>
                <w:sz w:val="24"/>
              </w:rPr>
            </w:pPr>
          </w:p>
        </w:tc>
      </w:tr>
      <w:tr w:rsidR="00D7560A" w14:paraId="59E484D6" w14:textId="77777777">
        <w:trPr>
          <w:jc w:val="center"/>
        </w:trPr>
        <w:tc>
          <w:tcPr>
            <w:tcW w:w="0" w:type="auto"/>
            <w:gridSpan w:val="3"/>
            <w:tcBorders>
              <w:top w:val="nil"/>
              <w:left w:val="nil"/>
              <w:bottom w:val="nil"/>
              <w:right w:val="nil"/>
            </w:tcBorders>
            <w:shd w:val="clear" w:color="auto" w:fill="CCEEFF"/>
            <w:tcMar>
              <w:top w:w="40" w:type="dxa"/>
              <w:left w:w="245" w:type="dxa"/>
              <w:bottom w:w="40" w:type="dxa"/>
              <w:right w:w="20" w:type="dxa"/>
            </w:tcMar>
            <w:vAlign w:val="bottom"/>
          </w:tcPr>
          <w:p w14:paraId="59E484CE"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Other, net</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84CF"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449 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4D0"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4D1"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84D2"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(295)</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4D3"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59E484D4"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4D5" w14:textId="77777777" w:rsidR="00D7560A" w:rsidRDefault="00D7560A">
            <w:pPr>
              <w:widowControl/>
              <w:jc w:val="left"/>
              <w:rPr>
                <w:rFonts w:ascii="Times New Roman" w:eastAsia="宋体" w:hAnsi="宋体" w:cs="宋体"/>
                <w:vanish/>
                <w:kern w:val="0"/>
                <w:sz w:val="24"/>
              </w:rPr>
            </w:pPr>
          </w:p>
        </w:tc>
      </w:tr>
      <w:tr w:rsidR="00D7560A" w14:paraId="59E484DD" w14:textId="77777777">
        <w:trPr>
          <w:jc w:val="center"/>
        </w:trPr>
        <w:tc>
          <w:tcPr>
            <w:tcW w:w="0" w:type="auto"/>
            <w:gridSpan w:val="3"/>
            <w:tcBorders>
              <w:top w:val="nil"/>
              <w:left w:val="nil"/>
              <w:bottom w:val="nil"/>
              <w:right w:val="nil"/>
            </w:tcBorders>
            <w:shd w:val="clear" w:color="auto" w:fill="FFFFFF"/>
            <w:tcMar>
              <w:top w:w="40" w:type="dxa"/>
              <w:left w:w="260" w:type="dxa"/>
              <w:bottom w:w="40" w:type="dxa"/>
              <w:right w:w="20" w:type="dxa"/>
            </w:tcMar>
            <w:vAlign w:val="bottom"/>
          </w:tcPr>
          <w:p w14:paraId="59E484D7"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Changes in assets and </w:t>
            </w:r>
            <w:r>
              <w:rPr>
                <w:rFonts w:ascii="Times New Roman" w:eastAsia="宋体" w:hAnsi="Times New Roman" w:cs="Times New Roman"/>
                <w:color w:val="000000"/>
                <w:kern w:val="0"/>
                <w:sz w:val="20"/>
                <w:szCs w:val="20"/>
                <w:lang w:bidi="ar"/>
              </w:rPr>
              <w:t>liabilities, net of effects from acquisitions and dispositions:</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4D8"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4D9"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4DA"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59E484DB"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4DC" w14:textId="77777777" w:rsidR="00D7560A" w:rsidRDefault="00D7560A">
            <w:pPr>
              <w:widowControl/>
              <w:jc w:val="left"/>
              <w:rPr>
                <w:rFonts w:ascii="Times New Roman" w:eastAsia="宋体" w:hAnsi="宋体" w:cs="宋体"/>
                <w:vanish/>
                <w:kern w:val="0"/>
                <w:sz w:val="24"/>
              </w:rPr>
            </w:pPr>
          </w:p>
        </w:tc>
      </w:tr>
      <w:tr w:rsidR="00D7560A" w14:paraId="59E484E6" w14:textId="77777777">
        <w:trPr>
          <w:jc w:val="center"/>
        </w:trPr>
        <w:tc>
          <w:tcPr>
            <w:tcW w:w="0" w:type="auto"/>
            <w:gridSpan w:val="3"/>
            <w:tcBorders>
              <w:top w:val="nil"/>
              <w:left w:val="nil"/>
              <w:bottom w:val="nil"/>
              <w:right w:val="nil"/>
            </w:tcBorders>
            <w:shd w:val="clear" w:color="auto" w:fill="CCEEFF"/>
            <w:tcMar>
              <w:top w:w="40" w:type="dxa"/>
              <w:left w:w="395" w:type="dxa"/>
              <w:bottom w:w="40" w:type="dxa"/>
              <w:right w:w="20" w:type="dxa"/>
            </w:tcMar>
            <w:vAlign w:val="bottom"/>
          </w:tcPr>
          <w:p w14:paraId="59E484DE"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Accounts receivable</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84DF"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(926)</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4E0"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4E1"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84E2"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(267)</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4E3"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59E484E4"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4E5" w14:textId="77777777" w:rsidR="00D7560A" w:rsidRDefault="00D7560A">
            <w:pPr>
              <w:widowControl/>
              <w:jc w:val="left"/>
              <w:rPr>
                <w:rFonts w:ascii="Times New Roman" w:eastAsia="宋体" w:hAnsi="宋体" w:cs="宋体"/>
                <w:vanish/>
                <w:kern w:val="0"/>
                <w:sz w:val="24"/>
              </w:rPr>
            </w:pPr>
          </w:p>
        </w:tc>
      </w:tr>
      <w:tr w:rsidR="00D7560A" w14:paraId="59E484EF" w14:textId="77777777">
        <w:trPr>
          <w:jc w:val="center"/>
        </w:trPr>
        <w:tc>
          <w:tcPr>
            <w:tcW w:w="0" w:type="auto"/>
            <w:gridSpan w:val="3"/>
            <w:tcBorders>
              <w:top w:val="nil"/>
              <w:left w:val="nil"/>
              <w:bottom w:val="nil"/>
              <w:right w:val="nil"/>
            </w:tcBorders>
            <w:shd w:val="clear" w:color="auto" w:fill="FFFFFF"/>
            <w:tcMar>
              <w:top w:w="40" w:type="dxa"/>
              <w:left w:w="395" w:type="dxa"/>
              <w:bottom w:w="40" w:type="dxa"/>
              <w:right w:w="20" w:type="dxa"/>
            </w:tcMar>
            <w:vAlign w:val="bottom"/>
          </w:tcPr>
          <w:p w14:paraId="59E484E7"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Financing receivables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4E8"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4E9"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4EA"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4EB"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186 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4EC"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59E484ED"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4EE" w14:textId="77777777" w:rsidR="00D7560A" w:rsidRDefault="00D7560A">
            <w:pPr>
              <w:widowControl/>
              <w:jc w:val="left"/>
              <w:rPr>
                <w:rFonts w:ascii="Times New Roman" w:eastAsia="宋体" w:hAnsi="宋体" w:cs="宋体"/>
                <w:vanish/>
                <w:kern w:val="0"/>
                <w:sz w:val="24"/>
              </w:rPr>
            </w:pPr>
          </w:p>
        </w:tc>
      </w:tr>
      <w:tr w:rsidR="00D7560A" w14:paraId="59E484F8" w14:textId="77777777">
        <w:trPr>
          <w:jc w:val="center"/>
        </w:trPr>
        <w:tc>
          <w:tcPr>
            <w:tcW w:w="0" w:type="auto"/>
            <w:gridSpan w:val="3"/>
            <w:tcBorders>
              <w:top w:val="nil"/>
              <w:left w:val="nil"/>
              <w:bottom w:val="nil"/>
              <w:right w:val="nil"/>
            </w:tcBorders>
            <w:shd w:val="clear" w:color="auto" w:fill="CCEEFF"/>
            <w:tcMar>
              <w:top w:w="40" w:type="dxa"/>
              <w:left w:w="395" w:type="dxa"/>
              <w:bottom w:w="40" w:type="dxa"/>
              <w:right w:w="20" w:type="dxa"/>
            </w:tcMar>
            <w:vAlign w:val="bottom"/>
          </w:tcPr>
          <w:p w14:paraId="59E484F0"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Inventories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84F1"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(113)</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4F2"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4F3"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84F4"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(791)</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4F5"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59E484F6"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4F7" w14:textId="77777777" w:rsidR="00D7560A" w:rsidRDefault="00D7560A">
            <w:pPr>
              <w:widowControl/>
              <w:jc w:val="left"/>
              <w:rPr>
                <w:rFonts w:ascii="Times New Roman" w:eastAsia="宋体" w:hAnsi="宋体" w:cs="宋体"/>
                <w:vanish/>
                <w:kern w:val="0"/>
                <w:sz w:val="24"/>
              </w:rPr>
            </w:pPr>
          </w:p>
        </w:tc>
      </w:tr>
      <w:tr w:rsidR="00D7560A" w14:paraId="59E48501" w14:textId="77777777">
        <w:trPr>
          <w:jc w:val="center"/>
        </w:trPr>
        <w:tc>
          <w:tcPr>
            <w:tcW w:w="0" w:type="auto"/>
            <w:gridSpan w:val="3"/>
            <w:tcBorders>
              <w:top w:val="nil"/>
              <w:left w:val="nil"/>
              <w:bottom w:val="nil"/>
              <w:right w:val="nil"/>
            </w:tcBorders>
            <w:shd w:val="clear" w:color="auto" w:fill="FFFFFF"/>
            <w:tcMar>
              <w:top w:w="40" w:type="dxa"/>
              <w:left w:w="395" w:type="dxa"/>
              <w:bottom w:w="40" w:type="dxa"/>
              <w:right w:w="20" w:type="dxa"/>
            </w:tcMar>
            <w:vAlign w:val="bottom"/>
          </w:tcPr>
          <w:p w14:paraId="59E484F9"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Other assets and liabilities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4FA"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(1,710)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4FB"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4FC"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4FD"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(2,443)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4FE"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59E484FF"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500" w14:textId="77777777" w:rsidR="00D7560A" w:rsidRDefault="00D7560A">
            <w:pPr>
              <w:widowControl/>
              <w:jc w:val="left"/>
              <w:rPr>
                <w:rFonts w:ascii="Times New Roman" w:eastAsia="宋体" w:hAnsi="宋体" w:cs="宋体"/>
                <w:vanish/>
                <w:kern w:val="0"/>
                <w:sz w:val="24"/>
              </w:rPr>
            </w:pPr>
          </w:p>
        </w:tc>
      </w:tr>
      <w:tr w:rsidR="00D7560A" w14:paraId="59E4850A" w14:textId="77777777">
        <w:trPr>
          <w:jc w:val="center"/>
        </w:trPr>
        <w:tc>
          <w:tcPr>
            <w:tcW w:w="0" w:type="auto"/>
            <w:gridSpan w:val="3"/>
            <w:tcBorders>
              <w:top w:val="nil"/>
              <w:left w:val="nil"/>
              <w:bottom w:val="nil"/>
              <w:right w:val="nil"/>
            </w:tcBorders>
            <w:shd w:val="clear" w:color="auto" w:fill="CCEEFF"/>
            <w:tcMar>
              <w:top w:w="40" w:type="dxa"/>
              <w:left w:w="395" w:type="dxa"/>
              <w:bottom w:w="40" w:type="dxa"/>
              <w:right w:w="20" w:type="dxa"/>
            </w:tcMar>
            <w:vAlign w:val="bottom"/>
          </w:tcPr>
          <w:p w14:paraId="59E48502"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Due from/to related </w:t>
            </w:r>
            <w:r>
              <w:rPr>
                <w:rFonts w:ascii="Times New Roman" w:eastAsia="宋体" w:hAnsi="Times New Roman" w:cs="Times New Roman"/>
                <w:color w:val="000000"/>
                <w:kern w:val="0"/>
                <w:sz w:val="20"/>
                <w:szCs w:val="20"/>
                <w:lang w:bidi="ar"/>
              </w:rPr>
              <w:t>party, net</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8503"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(84)</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504"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505"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8506"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507"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59E48508"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509" w14:textId="77777777" w:rsidR="00D7560A" w:rsidRDefault="00D7560A">
            <w:pPr>
              <w:widowControl/>
              <w:jc w:val="left"/>
              <w:rPr>
                <w:rFonts w:ascii="Times New Roman" w:eastAsia="宋体" w:hAnsi="宋体" w:cs="宋体"/>
                <w:vanish/>
                <w:kern w:val="0"/>
                <w:sz w:val="24"/>
              </w:rPr>
            </w:pPr>
          </w:p>
        </w:tc>
      </w:tr>
      <w:tr w:rsidR="00D7560A" w14:paraId="59E48513" w14:textId="77777777">
        <w:trPr>
          <w:jc w:val="center"/>
        </w:trPr>
        <w:tc>
          <w:tcPr>
            <w:tcW w:w="0" w:type="auto"/>
            <w:gridSpan w:val="3"/>
            <w:tcBorders>
              <w:top w:val="nil"/>
              <w:left w:val="nil"/>
              <w:bottom w:val="nil"/>
              <w:right w:val="nil"/>
            </w:tcBorders>
            <w:shd w:val="clear" w:color="auto" w:fill="FFFFFF"/>
            <w:tcMar>
              <w:top w:w="40" w:type="dxa"/>
              <w:left w:w="395" w:type="dxa"/>
              <w:bottom w:w="40" w:type="dxa"/>
              <w:right w:w="20" w:type="dxa"/>
            </w:tcMar>
            <w:vAlign w:val="bottom"/>
          </w:tcPr>
          <w:p w14:paraId="59E4850B"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Accounts payable</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50C"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(1,700)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50D"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50E"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50F"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1,353 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510"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59E48511"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512" w14:textId="77777777" w:rsidR="00D7560A" w:rsidRDefault="00D7560A">
            <w:pPr>
              <w:widowControl/>
              <w:jc w:val="left"/>
              <w:rPr>
                <w:rFonts w:ascii="Times New Roman" w:eastAsia="宋体" w:hAnsi="宋体" w:cs="宋体"/>
                <w:vanish/>
                <w:kern w:val="0"/>
                <w:sz w:val="24"/>
              </w:rPr>
            </w:pPr>
          </w:p>
        </w:tc>
      </w:tr>
      <w:tr w:rsidR="00D7560A" w14:paraId="59E4851C" w14:textId="77777777">
        <w:trPr>
          <w:jc w:val="center"/>
        </w:trPr>
        <w:tc>
          <w:tcPr>
            <w:tcW w:w="0" w:type="auto"/>
            <w:gridSpan w:val="3"/>
            <w:tcBorders>
              <w:top w:val="nil"/>
              <w:left w:val="nil"/>
              <w:bottom w:val="nil"/>
              <w:right w:val="nil"/>
            </w:tcBorders>
            <w:shd w:val="clear" w:color="auto" w:fill="CCEEFF"/>
            <w:tcMar>
              <w:top w:w="40" w:type="dxa"/>
              <w:left w:w="395" w:type="dxa"/>
              <w:bottom w:w="40" w:type="dxa"/>
              <w:right w:w="20" w:type="dxa"/>
            </w:tcMar>
            <w:vAlign w:val="bottom"/>
          </w:tcPr>
          <w:p w14:paraId="59E48514"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Deferred revenue</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8515"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1,330 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516"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517"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8518"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1,289 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519"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59E4851A"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51B" w14:textId="77777777" w:rsidR="00D7560A" w:rsidRDefault="00D7560A">
            <w:pPr>
              <w:widowControl/>
              <w:jc w:val="left"/>
              <w:rPr>
                <w:rFonts w:ascii="Times New Roman" w:eastAsia="宋体" w:hAnsi="宋体" w:cs="宋体"/>
                <w:vanish/>
                <w:kern w:val="0"/>
                <w:sz w:val="24"/>
              </w:rPr>
            </w:pPr>
          </w:p>
        </w:tc>
      </w:tr>
      <w:tr w:rsidR="00D7560A" w14:paraId="59E48525" w14:textId="77777777">
        <w:trPr>
          <w:jc w:val="center"/>
        </w:trPr>
        <w:tc>
          <w:tcPr>
            <w:tcW w:w="0" w:type="auto"/>
            <w:gridSpan w:val="3"/>
            <w:tcBorders>
              <w:top w:val="nil"/>
              <w:left w:val="nil"/>
              <w:bottom w:val="nil"/>
              <w:right w:val="nil"/>
            </w:tcBorders>
            <w:shd w:val="clear" w:color="auto" w:fill="FFFFFF"/>
            <w:tcMar>
              <w:top w:w="40" w:type="dxa"/>
              <w:left w:w="500" w:type="dxa"/>
              <w:bottom w:w="40" w:type="dxa"/>
              <w:right w:w="20" w:type="dxa"/>
            </w:tcMar>
            <w:vAlign w:val="bottom"/>
          </w:tcPr>
          <w:p w14:paraId="59E4851D"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Change in cash from operating activities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59E4851E"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455 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59E4851F"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520" w14:textId="77777777" w:rsidR="00D7560A" w:rsidRDefault="00D7560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59E48521"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3,963 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59E48522"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59E48523"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524" w14:textId="77777777" w:rsidR="00D7560A" w:rsidRDefault="00D7560A">
            <w:pPr>
              <w:widowControl/>
              <w:jc w:val="left"/>
              <w:rPr>
                <w:rFonts w:ascii="Times New Roman" w:eastAsia="宋体" w:hAnsi="宋体" w:cs="宋体"/>
                <w:vanish/>
                <w:kern w:val="0"/>
                <w:sz w:val="24"/>
              </w:rPr>
            </w:pPr>
          </w:p>
        </w:tc>
      </w:tr>
      <w:tr w:rsidR="00D7560A" w14:paraId="59E4852C"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9E48526"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Cash flows from investing activities:</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59E48527"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528"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59E48529"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59E4852A"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52B" w14:textId="77777777" w:rsidR="00D7560A" w:rsidRDefault="00D7560A">
            <w:pPr>
              <w:widowControl/>
              <w:jc w:val="left"/>
              <w:rPr>
                <w:rFonts w:ascii="Times New Roman" w:eastAsia="宋体" w:hAnsi="宋体" w:cs="宋体"/>
                <w:vanish/>
                <w:kern w:val="0"/>
                <w:sz w:val="24"/>
              </w:rPr>
            </w:pPr>
          </w:p>
        </w:tc>
      </w:tr>
      <w:tr w:rsidR="00D7560A" w14:paraId="59E48535" w14:textId="77777777">
        <w:trPr>
          <w:jc w:val="center"/>
        </w:trPr>
        <w:tc>
          <w:tcPr>
            <w:tcW w:w="0" w:type="auto"/>
            <w:gridSpan w:val="3"/>
            <w:tcBorders>
              <w:top w:val="nil"/>
              <w:left w:val="nil"/>
              <w:bottom w:val="nil"/>
              <w:right w:val="nil"/>
            </w:tcBorders>
            <w:shd w:val="clear" w:color="auto" w:fill="FFFFFF"/>
            <w:tcMar>
              <w:top w:w="40" w:type="dxa"/>
              <w:left w:w="125" w:type="dxa"/>
              <w:bottom w:w="40" w:type="dxa"/>
              <w:right w:w="20" w:type="dxa"/>
            </w:tcMar>
            <w:vAlign w:val="bottom"/>
          </w:tcPr>
          <w:p w14:paraId="59E4852D"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Purchases of investments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52E"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(80)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52F"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530"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531"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(270)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532"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59E48533"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534" w14:textId="77777777" w:rsidR="00D7560A" w:rsidRDefault="00D7560A">
            <w:pPr>
              <w:widowControl/>
              <w:jc w:val="left"/>
              <w:rPr>
                <w:rFonts w:ascii="Times New Roman" w:eastAsia="宋体" w:hAnsi="宋体" w:cs="宋体"/>
                <w:vanish/>
                <w:kern w:val="0"/>
                <w:sz w:val="24"/>
              </w:rPr>
            </w:pPr>
          </w:p>
        </w:tc>
      </w:tr>
      <w:tr w:rsidR="00D7560A" w14:paraId="59E4853E" w14:textId="77777777">
        <w:trPr>
          <w:jc w:val="center"/>
        </w:trPr>
        <w:tc>
          <w:tcPr>
            <w:tcW w:w="0" w:type="auto"/>
            <w:gridSpan w:val="3"/>
            <w:tcBorders>
              <w:top w:val="nil"/>
              <w:left w:val="nil"/>
              <w:bottom w:val="nil"/>
              <w:right w:val="nil"/>
            </w:tcBorders>
            <w:shd w:val="clear" w:color="auto" w:fill="CCEEFF"/>
            <w:tcMar>
              <w:top w:w="40" w:type="dxa"/>
              <w:left w:w="125" w:type="dxa"/>
              <w:bottom w:w="40" w:type="dxa"/>
              <w:right w:w="20" w:type="dxa"/>
            </w:tcMar>
            <w:vAlign w:val="bottom"/>
          </w:tcPr>
          <w:p w14:paraId="59E48536"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Maturities and sales of investments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8537"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538"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539"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853A"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335 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53B"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59E4853C"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53D" w14:textId="77777777" w:rsidR="00D7560A" w:rsidRDefault="00D7560A">
            <w:pPr>
              <w:widowControl/>
              <w:jc w:val="left"/>
              <w:rPr>
                <w:rFonts w:ascii="Times New Roman" w:eastAsia="宋体" w:hAnsi="宋体" w:cs="宋体"/>
                <w:vanish/>
                <w:kern w:val="0"/>
                <w:sz w:val="24"/>
              </w:rPr>
            </w:pPr>
          </w:p>
        </w:tc>
      </w:tr>
      <w:tr w:rsidR="00D7560A" w14:paraId="59E48547" w14:textId="77777777">
        <w:trPr>
          <w:jc w:val="center"/>
        </w:trPr>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59E4853F"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Capital expenditures and capitalized software development costs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540"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(1,497)</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541"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542"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543"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(1,257)</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544"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59E48545"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546" w14:textId="77777777" w:rsidR="00D7560A" w:rsidRDefault="00D7560A">
            <w:pPr>
              <w:widowControl/>
              <w:jc w:val="left"/>
              <w:rPr>
                <w:rFonts w:ascii="Times New Roman" w:eastAsia="宋体" w:hAnsi="宋体" w:cs="宋体"/>
                <w:vanish/>
                <w:kern w:val="0"/>
                <w:sz w:val="24"/>
              </w:rPr>
            </w:pPr>
          </w:p>
        </w:tc>
      </w:tr>
      <w:tr w:rsidR="00D7560A" w14:paraId="59E48550" w14:textId="77777777">
        <w:trPr>
          <w:jc w:val="center"/>
        </w:trPr>
        <w:tc>
          <w:tcPr>
            <w:tcW w:w="0" w:type="auto"/>
            <w:gridSpan w:val="3"/>
            <w:tcBorders>
              <w:top w:val="nil"/>
              <w:left w:val="nil"/>
              <w:bottom w:val="nil"/>
              <w:right w:val="nil"/>
            </w:tcBorders>
            <w:shd w:val="clear" w:color="auto" w:fill="CCEEFF"/>
            <w:tcMar>
              <w:top w:w="40" w:type="dxa"/>
              <w:left w:w="155" w:type="dxa"/>
              <w:bottom w:w="40" w:type="dxa"/>
              <w:right w:w="20" w:type="dxa"/>
            </w:tcMar>
            <w:vAlign w:val="bottom"/>
          </w:tcPr>
          <w:p w14:paraId="59E48548"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Acquisition of businesses and assets, net</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8549"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54A"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54B"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854C"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(16)</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54D"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59E4854E"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54F" w14:textId="77777777" w:rsidR="00D7560A" w:rsidRDefault="00D7560A">
            <w:pPr>
              <w:widowControl/>
              <w:jc w:val="left"/>
              <w:rPr>
                <w:rFonts w:ascii="Times New Roman" w:eastAsia="宋体" w:hAnsi="宋体" w:cs="宋体"/>
                <w:vanish/>
                <w:kern w:val="0"/>
                <w:sz w:val="24"/>
              </w:rPr>
            </w:pPr>
          </w:p>
        </w:tc>
      </w:tr>
      <w:tr w:rsidR="00D7560A" w14:paraId="59E48557" w14:textId="77777777">
        <w:trPr>
          <w:jc w:val="center"/>
          <w:hidden/>
        </w:trPr>
        <w:tc>
          <w:tcPr>
            <w:tcW w:w="0" w:type="auto"/>
            <w:gridSpan w:val="3"/>
            <w:tcBorders>
              <w:top w:val="nil"/>
              <w:left w:val="nil"/>
              <w:bottom w:val="nil"/>
              <w:right w:val="nil"/>
            </w:tcBorders>
            <w:shd w:val="clear" w:color="auto" w:fill="auto"/>
            <w:vAlign w:val="bottom"/>
          </w:tcPr>
          <w:p w14:paraId="59E48551"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552"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553"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554"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555"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556" w14:textId="77777777" w:rsidR="00D7560A" w:rsidRDefault="00D7560A">
            <w:pPr>
              <w:widowControl/>
              <w:jc w:val="left"/>
              <w:rPr>
                <w:rFonts w:ascii="Times New Roman" w:eastAsia="宋体" w:hAnsi="宋体" w:cs="宋体"/>
                <w:vanish/>
                <w:kern w:val="0"/>
                <w:sz w:val="24"/>
              </w:rPr>
            </w:pPr>
          </w:p>
        </w:tc>
      </w:tr>
      <w:tr w:rsidR="00D7560A" w14:paraId="59E48560" w14:textId="77777777">
        <w:trPr>
          <w:jc w:val="center"/>
        </w:trPr>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59E48558"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Other</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559"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55A"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55B"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55C"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55D"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59E4855E"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55F" w14:textId="77777777" w:rsidR="00D7560A" w:rsidRDefault="00D7560A">
            <w:pPr>
              <w:widowControl/>
              <w:jc w:val="left"/>
              <w:rPr>
                <w:rFonts w:ascii="Times New Roman" w:eastAsia="宋体" w:hAnsi="宋体" w:cs="宋体"/>
                <w:vanish/>
                <w:kern w:val="0"/>
                <w:sz w:val="24"/>
              </w:rPr>
            </w:pPr>
          </w:p>
        </w:tc>
      </w:tr>
      <w:tr w:rsidR="00D7560A" w14:paraId="59E48569" w14:textId="77777777">
        <w:trPr>
          <w:jc w:val="center"/>
        </w:trPr>
        <w:tc>
          <w:tcPr>
            <w:tcW w:w="0" w:type="auto"/>
            <w:gridSpan w:val="3"/>
            <w:tcBorders>
              <w:top w:val="nil"/>
              <w:left w:val="nil"/>
              <w:bottom w:val="nil"/>
              <w:right w:val="nil"/>
            </w:tcBorders>
            <w:shd w:val="clear" w:color="auto" w:fill="CCEEFF"/>
            <w:tcMar>
              <w:top w:w="40" w:type="dxa"/>
              <w:left w:w="500" w:type="dxa"/>
              <w:bottom w:w="40" w:type="dxa"/>
              <w:right w:w="20" w:type="dxa"/>
            </w:tcMar>
            <w:vAlign w:val="bottom"/>
          </w:tcPr>
          <w:p w14:paraId="59E48561"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Change in cash from investing activities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59E48562"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(1,498)</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59E48563"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564" w14:textId="77777777" w:rsidR="00D7560A" w:rsidRDefault="00D7560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59E48565"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(1,188)</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59E48566"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59E48567"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568" w14:textId="77777777" w:rsidR="00D7560A" w:rsidRDefault="00D7560A">
            <w:pPr>
              <w:widowControl/>
              <w:jc w:val="left"/>
              <w:rPr>
                <w:rFonts w:ascii="Times New Roman" w:eastAsia="宋体" w:hAnsi="宋体" w:cs="宋体"/>
                <w:vanish/>
                <w:kern w:val="0"/>
                <w:sz w:val="24"/>
              </w:rPr>
            </w:pPr>
          </w:p>
        </w:tc>
      </w:tr>
      <w:tr w:rsidR="00D7560A" w14:paraId="59E48570"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59E4856A"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Cash flows from financing activities:</w:t>
            </w: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59E4856B"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56C"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59E4856D"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59E4856E"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56F" w14:textId="77777777" w:rsidR="00D7560A" w:rsidRDefault="00D7560A">
            <w:pPr>
              <w:widowControl/>
              <w:jc w:val="left"/>
              <w:rPr>
                <w:rFonts w:ascii="Times New Roman" w:eastAsia="宋体" w:hAnsi="宋体" w:cs="宋体"/>
                <w:vanish/>
                <w:kern w:val="0"/>
                <w:sz w:val="24"/>
              </w:rPr>
            </w:pPr>
          </w:p>
        </w:tc>
      </w:tr>
      <w:tr w:rsidR="00D7560A" w14:paraId="59E48577" w14:textId="77777777">
        <w:trPr>
          <w:jc w:val="center"/>
          <w:hidden/>
        </w:trPr>
        <w:tc>
          <w:tcPr>
            <w:tcW w:w="0" w:type="auto"/>
            <w:gridSpan w:val="3"/>
            <w:tcBorders>
              <w:top w:val="nil"/>
              <w:left w:val="nil"/>
              <w:bottom w:val="nil"/>
              <w:right w:val="nil"/>
            </w:tcBorders>
            <w:shd w:val="clear" w:color="auto" w:fill="auto"/>
            <w:vAlign w:val="bottom"/>
          </w:tcPr>
          <w:p w14:paraId="59E48571"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572"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573"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574"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575"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576" w14:textId="77777777" w:rsidR="00D7560A" w:rsidRDefault="00D7560A">
            <w:pPr>
              <w:widowControl/>
              <w:jc w:val="left"/>
              <w:rPr>
                <w:rFonts w:ascii="Times New Roman" w:eastAsia="宋体" w:hAnsi="宋体" w:cs="宋体"/>
                <w:vanish/>
                <w:kern w:val="0"/>
                <w:sz w:val="24"/>
              </w:rPr>
            </w:pPr>
          </w:p>
        </w:tc>
      </w:tr>
      <w:tr w:rsidR="00D7560A" w14:paraId="59E48580"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9E48578" w14:textId="77777777" w:rsidR="00D7560A" w:rsidRDefault="001E3CAB">
            <w:pPr>
              <w:widowControl/>
              <w:spacing w:before="100" w:after="100"/>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Proceeds from the issuance of common stock</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8579"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57A"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57B"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857C"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186 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57D"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59E4857E"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57F" w14:textId="77777777" w:rsidR="00D7560A" w:rsidRDefault="00D7560A">
            <w:pPr>
              <w:widowControl/>
              <w:jc w:val="left"/>
              <w:rPr>
                <w:rFonts w:ascii="Times New Roman" w:eastAsia="宋体" w:hAnsi="宋体" w:cs="宋体"/>
                <w:vanish/>
                <w:kern w:val="0"/>
                <w:sz w:val="24"/>
              </w:rPr>
            </w:pPr>
          </w:p>
        </w:tc>
      </w:tr>
      <w:tr w:rsidR="00D7560A" w14:paraId="59E48589"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59E48581" w14:textId="77777777" w:rsidR="00D7560A" w:rsidRDefault="001E3CAB">
            <w:pPr>
              <w:widowControl/>
              <w:spacing w:before="100" w:after="100"/>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Repurchases of parent common stock</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582"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(2,468)</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583"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584"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585"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(17)</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586"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59E48587"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588" w14:textId="77777777" w:rsidR="00D7560A" w:rsidRDefault="00D7560A">
            <w:pPr>
              <w:widowControl/>
              <w:jc w:val="left"/>
              <w:rPr>
                <w:rFonts w:ascii="Times New Roman" w:eastAsia="宋体" w:hAnsi="宋体" w:cs="宋体"/>
                <w:vanish/>
                <w:kern w:val="0"/>
                <w:sz w:val="24"/>
              </w:rPr>
            </w:pPr>
          </w:p>
        </w:tc>
      </w:tr>
      <w:tr w:rsidR="00D7560A" w14:paraId="59E48592" w14:textId="77777777">
        <w:trPr>
          <w:jc w:val="center"/>
        </w:trPr>
        <w:tc>
          <w:tcPr>
            <w:tcW w:w="0" w:type="auto"/>
            <w:gridSpan w:val="3"/>
            <w:tcBorders>
              <w:top w:val="nil"/>
              <w:left w:val="nil"/>
              <w:bottom w:val="nil"/>
              <w:right w:val="nil"/>
            </w:tcBorders>
            <w:shd w:val="clear" w:color="auto" w:fill="CCEEFF"/>
            <w:tcMar>
              <w:top w:w="40" w:type="dxa"/>
              <w:left w:w="155" w:type="dxa"/>
              <w:bottom w:w="40" w:type="dxa"/>
              <w:right w:w="20" w:type="dxa"/>
            </w:tcMar>
            <w:vAlign w:val="bottom"/>
          </w:tcPr>
          <w:p w14:paraId="59E4858A"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Repurchases of subsidiary common stock</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858B"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(8)</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58C"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58D"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858E"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(978)</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58F"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59E48590"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591" w14:textId="77777777" w:rsidR="00D7560A" w:rsidRDefault="00D7560A">
            <w:pPr>
              <w:widowControl/>
              <w:jc w:val="left"/>
              <w:rPr>
                <w:rFonts w:ascii="Times New Roman" w:eastAsia="宋体" w:hAnsi="宋体" w:cs="宋体"/>
                <w:vanish/>
                <w:kern w:val="0"/>
                <w:sz w:val="24"/>
              </w:rPr>
            </w:pPr>
          </w:p>
        </w:tc>
      </w:tr>
      <w:tr w:rsidR="00D7560A" w14:paraId="59E48599" w14:textId="77777777">
        <w:trPr>
          <w:jc w:val="center"/>
          <w:hidden/>
        </w:trPr>
        <w:tc>
          <w:tcPr>
            <w:tcW w:w="0" w:type="auto"/>
            <w:gridSpan w:val="3"/>
            <w:tcBorders>
              <w:top w:val="nil"/>
              <w:left w:val="nil"/>
              <w:bottom w:val="nil"/>
              <w:right w:val="nil"/>
            </w:tcBorders>
            <w:shd w:val="clear" w:color="auto" w:fill="auto"/>
            <w:vAlign w:val="bottom"/>
          </w:tcPr>
          <w:p w14:paraId="59E48593"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594"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595"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596"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597"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598" w14:textId="77777777" w:rsidR="00D7560A" w:rsidRDefault="00D7560A">
            <w:pPr>
              <w:widowControl/>
              <w:jc w:val="left"/>
              <w:rPr>
                <w:rFonts w:ascii="Times New Roman" w:eastAsia="宋体" w:hAnsi="宋体" w:cs="宋体"/>
                <w:vanish/>
                <w:kern w:val="0"/>
                <w:sz w:val="24"/>
              </w:rPr>
            </w:pPr>
          </w:p>
        </w:tc>
      </w:tr>
      <w:tr w:rsidR="00D7560A" w14:paraId="59E485A2" w14:textId="77777777">
        <w:trPr>
          <w:jc w:val="center"/>
        </w:trPr>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59E4859A"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Payments of </w:t>
            </w:r>
            <w:r>
              <w:rPr>
                <w:rFonts w:ascii="Times New Roman" w:eastAsia="宋体" w:hAnsi="Times New Roman" w:cs="Times New Roman"/>
                <w:color w:val="000000"/>
                <w:kern w:val="0"/>
                <w:sz w:val="20"/>
                <w:szCs w:val="20"/>
                <w:lang w:bidi="ar"/>
              </w:rPr>
              <w:t>dividends to stockholders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59B"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(490)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59C"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59D"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59E"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59F"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59E485A0"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5A1" w14:textId="77777777" w:rsidR="00D7560A" w:rsidRDefault="00D7560A">
            <w:pPr>
              <w:widowControl/>
              <w:jc w:val="left"/>
              <w:rPr>
                <w:rFonts w:ascii="Times New Roman" w:eastAsia="宋体" w:hAnsi="宋体" w:cs="宋体"/>
                <w:vanish/>
                <w:kern w:val="0"/>
                <w:sz w:val="24"/>
              </w:rPr>
            </w:pPr>
          </w:p>
        </w:tc>
      </w:tr>
      <w:tr w:rsidR="00D7560A" w14:paraId="59E485AB" w14:textId="77777777">
        <w:trPr>
          <w:jc w:val="center"/>
        </w:trPr>
        <w:tc>
          <w:tcPr>
            <w:tcW w:w="0" w:type="auto"/>
            <w:gridSpan w:val="3"/>
            <w:tcBorders>
              <w:top w:val="nil"/>
              <w:left w:val="nil"/>
              <w:bottom w:val="nil"/>
              <w:right w:val="nil"/>
            </w:tcBorders>
            <w:shd w:val="clear" w:color="auto" w:fill="CCEEFF"/>
            <w:tcMar>
              <w:top w:w="40" w:type="dxa"/>
              <w:left w:w="155" w:type="dxa"/>
              <w:bottom w:w="40" w:type="dxa"/>
              <w:right w:w="20" w:type="dxa"/>
            </w:tcMar>
            <w:vAlign w:val="bottom"/>
          </w:tcPr>
          <w:p w14:paraId="59E485A3"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Proceeds from debt</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85A4"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6,465 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5A5"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5A6"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85A7"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3,935 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5A8"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59E485A9"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5AA" w14:textId="77777777" w:rsidR="00D7560A" w:rsidRDefault="00D7560A">
            <w:pPr>
              <w:widowControl/>
              <w:jc w:val="left"/>
              <w:rPr>
                <w:rFonts w:ascii="Times New Roman" w:eastAsia="宋体" w:hAnsi="宋体" w:cs="宋体"/>
                <w:vanish/>
                <w:kern w:val="0"/>
                <w:sz w:val="24"/>
              </w:rPr>
            </w:pPr>
          </w:p>
        </w:tc>
      </w:tr>
      <w:tr w:rsidR="00D7560A" w14:paraId="59E485B4" w14:textId="77777777">
        <w:trPr>
          <w:jc w:val="center"/>
        </w:trPr>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59E485AC"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Repayments of debt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5AD"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(6,242)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5AE"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5AF"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5B0"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(8,423)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5B1"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59E485B2"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5B3" w14:textId="77777777" w:rsidR="00D7560A" w:rsidRDefault="00D7560A">
            <w:pPr>
              <w:widowControl/>
              <w:jc w:val="left"/>
              <w:rPr>
                <w:rFonts w:ascii="Times New Roman" w:eastAsia="宋体" w:hAnsi="宋体" w:cs="宋体"/>
                <w:vanish/>
                <w:kern w:val="0"/>
                <w:sz w:val="24"/>
              </w:rPr>
            </w:pPr>
          </w:p>
        </w:tc>
      </w:tr>
      <w:tr w:rsidR="00D7560A" w14:paraId="59E485BD" w14:textId="77777777">
        <w:trPr>
          <w:jc w:val="center"/>
        </w:trPr>
        <w:tc>
          <w:tcPr>
            <w:tcW w:w="0" w:type="auto"/>
            <w:gridSpan w:val="3"/>
            <w:tcBorders>
              <w:top w:val="nil"/>
              <w:left w:val="nil"/>
              <w:bottom w:val="nil"/>
              <w:right w:val="nil"/>
            </w:tcBorders>
            <w:shd w:val="clear" w:color="auto" w:fill="CCEEFF"/>
            <w:tcMar>
              <w:top w:w="40" w:type="dxa"/>
              <w:left w:w="155" w:type="dxa"/>
              <w:bottom w:w="40" w:type="dxa"/>
              <w:right w:w="20" w:type="dxa"/>
            </w:tcMar>
            <w:vAlign w:val="bottom"/>
          </w:tcPr>
          <w:p w14:paraId="59E485B5"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Debt-related costs and other, net</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85B6"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(14)</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5B7"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5B8"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85B9"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(14)</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5BA"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59E485BB"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5BC" w14:textId="77777777" w:rsidR="00D7560A" w:rsidRDefault="00D7560A">
            <w:pPr>
              <w:widowControl/>
              <w:jc w:val="left"/>
              <w:rPr>
                <w:rFonts w:ascii="Times New Roman" w:eastAsia="宋体" w:hAnsi="宋体" w:cs="宋体"/>
                <w:vanish/>
                <w:kern w:val="0"/>
                <w:sz w:val="24"/>
              </w:rPr>
            </w:pPr>
          </w:p>
        </w:tc>
      </w:tr>
      <w:tr w:rsidR="00D7560A" w14:paraId="59E485C6" w14:textId="77777777">
        <w:trPr>
          <w:jc w:val="center"/>
        </w:trPr>
        <w:tc>
          <w:tcPr>
            <w:tcW w:w="0" w:type="auto"/>
            <w:gridSpan w:val="3"/>
            <w:tcBorders>
              <w:top w:val="nil"/>
              <w:left w:val="nil"/>
              <w:bottom w:val="nil"/>
              <w:right w:val="nil"/>
            </w:tcBorders>
            <w:shd w:val="clear" w:color="auto" w:fill="FFFFFF"/>
            <w:tcMar>
              <w:top w:w="40" w:type="dxa"/>
              <w:left w:w="485" w:type="dxa"/>
              <w:bottom w:w="40" w:type="dxa"/>
              <w:right w:w="20" w:type="dxa"/>
            </w:tcMar>
            <w:vAlign w:val="bottom"/>
          </w:tcPr>
          <w:p w14:paraId="59E485BE"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Change in cash from financing activities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59E485BF"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(2,752)</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59E485C0"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5C1" w14:textId="77777777" w:rsidR="00D7560A" w:rsidRDefault="00D7560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59E485C2"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(5,311)</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59E485C3"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59E485C4"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5C5" w14:textId="77777777" w:rsidR="00D7560A" w:rsidRDefault="00D7560A">
            <w:pPr>
              <w:widowControl/>
              <w:jc w:val="left"/>
              <w:rPr>
                <w:rFonts w:ascii="Times New Roman" w:eastAsia="宋体" w:hAnsi="宋体" w:cs="宋体"/>
                <w:vanish/>
                <w:kern w:val="0"/>
                <w:sz w:val="24"/>
              </w:rPr>
            </w:pPr>
          </w:p>
        </w:tc>
      </w:tr>
      <w:tr w:rsidR="00D7560A" w14:paraId="59E485CF"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9E485C7"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Effect of exchange rate changes on cash, cash equivalents, and restricted cash</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59E485C8"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(194)</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59E485C9"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5CA" w14:textId="77777777" w:rsidR="00D7560A" w:rsidRDefault="00D7560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59E485CB"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(21)</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59E485CC"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59E485CD"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5CE" w14:textId="77777777" w:rsidR="00D7560A" w:rsidRDefault="00D7560A">
            <w:pPr>
              <w:widowControl/>
              <w:jc w:val="left"/>
              <w:rPr>
                <w:rFonts w:ascii="Times New Roman" w:eastAsia="宋体" w:hAnsi="宋体" w:cs="宋体"/>
                <w:vanish/>
                <w:kern w:val="0"/>
                <w:sz w:val="24"/>
              </w:rPr>
            </w:pPr>
          </w:p>
        </w:tc>
      </w:tr>
      <w:tr w:rsidR="00D7560A" w14:paraId="59E485D8"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59E485D0"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Change in cash, cash equivalents, and restricted cash</w:t>
            </w:r>
          </w:p>
        </w:tc>
        <w:tc>
          <w:tcPr>
            <w:tcW w:w="0" w:type="auto"/>
            <w:gridSpan w:val="2"/>
            <w:tcBorders>
              <w:top w:val="single" w:sz="8" w:space="0" w:color="000000"/>
              <w:left w:val="nil"/>
              <w:bottom w:val="single" w:sz="8" w:space="0" w:color="000000"/>
              <w:right w:val="nil"/>
            </w:tcBorders>
            <w:shd w:val="clear" w:color="auto" w:fill="FFFFFF"/>
            <w:tcMar>
              <w:top w:w="40" w:type="dxa"/>
              <w:left w:w="20" w:type="dxa"/>
              <w:bottom w:w="40" w:type="dxa"/>
              <w:right w:w="0" w:type="dxa"/>
            </w:tcMar>
            <w:vAlign w:val="bottom"/>
          </w:tcPr>
          <w:p w14:paraId="59E485D1"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(3,989)</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59E485D2"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5D3" w14:textId="77777777" w:rsidR="00D7560A" w:rsidRDefault="00D7560A">
            <w:pPr>
              <w:widowControl/>
              <w:jc w:val="left"/>
              <w:rPr>
                <w:rFonts w:ascii="Times New Roman" w:eastAsia="宋体" w:hAnsi="宋体" w:cs="宋体"/>
                <w:kern w:val="0"/>
                <w:sz w:val="24"/>
              </w:rPr>
            </w:pPr>
          </w:p>
        </w:tc>
        <w:tc>
          <w:tcPr>
            <w:tcW w:w="0" w:type="auto"/>
            <w:gridSpan w:val="2"/>
            <w:tcBorders>
              <w:top w:val="single" w:sz="8" w:space="0" w:color="000000"/>
              <w:left w:val="nil"/>
              <w:bottom w:val="single" w:sz="8" w:space="0" w:color="000000"/>
              <w:right w:val="nil"/>
            </w:tcBorders>
            <w:shd w:val="clear" w:color="auto" w:fill="FFFFFF"/>
            <w:tcMar>
              <w:top w:w="40" w:type="dxa"/>
              <w:left w:w="20" w:type="dxa"/>
              <w:bottom w:w="40" w:type="dxa"/>
              <w:right w:w="0" w:type="dxa"/>
            </w:tcMar>
            <w:vAlign w:val="bottom"/>
          </w:tcPr>
          <w:p w14:paraId="59E485D4"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(2,557)</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59E485D5"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59E485D6"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5D7" w14:textId="77777777" w:rsidR="00D7560A" w:rsidRDefault="00D7560A">
            <w:pPr>
              <w:widowControl/>
              <w:jc w:val="left"/>
              <w:rPr>
                <w:rFonts w:ascii="Times New Roman" w:eastAsia="宋体" w:hAnsi="宋体" w:cs="宋体"/>
                <w:vanish/>
                <w:kern w:val="0"/>
                <w:sz w:val="24"/>
              </w:rPr>
            </w:pPr>
          </w:p>
        </w:tc>
      </w:tr>
    </w:tbl>
    <w:p w14:paraId="59E485D9" w14:textId="77777777" w:rsidR="00D7560A" w:rsidRDefault="001E3CAB">
      <w:pPr>
        <w:widowControl/>
        <w:spacing w:before="180"/>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The accompanying notes are an integral part of these Condensed Consolidated </w:t>
      </w:r>
      <w:r>
        <w:rPr>
          <w:rFonts w:ascii="Times New Roman" w:eastAsia="宋体" w:hAnsi="Times New Roman" w:cs="Times New Roman"/>
          <w:color w:val="000000"/>
          <w:kern w:val="0"/>
          <w:sz w:val="20"/>
          <w:szCs w:val="20"/>
          <w:lang w:bidi="ar"/>
        </w:rPr>
        <w:t>Financial Statements.</w:t>
      </w:r>
    </w:p>
    <w:p w14:paraId="59E485DA"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85DB"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85DC"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85DD" w14:textId="77777777" w:rsidR="00D7560A" w:rsidRDefault="001E3CAB">
      <w:pPr>
        <w:widowControl/>
        <w:spacing w:after="120"/>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85DE" w14:textId="77777777" w:rsidR="00D7560A" w:rsidRDefault="001E3CAB">
      <w:pPr>
        <w:widowControl/>
        <w:spacing w:after="120"/>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85DF" w14:textId="77777777" w:rsidR="00D7560A" w:rsidRDefault="001E3CAB">
      <w:pPr>
        <w:widowControl/>
        <w:spacing w:after="120"/>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85E0"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85E1"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8</w:t>
      </w:r>
    </w:p>
    <w:p w14:paraId="59E485E2"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85E3" w14:textId="77777777" w:rsidR="00D7560A" w:rsidRDefault="001E3CAB">
      <w:pPr>
        <w:widowControl/>
        <w:jc w:val="center"/>
      </w:pPr>
      <w:r>
        <w:rPr>
          <w:rFonts w:ascii="宋体" w:eastAsia="宋体" w:hAnsi="宋体" w:cs="宋体"/>
          <w:kern w:val="0"/>
          <w:sz w:val="24"/>
        </w:rPr>
        <w:pict w14:anchorId="59E4C7D3">
          <v:rect id="_x0000_i1032" style="width:6in;height:1.5pt" o:hralign="center" o:hrstd="t" o:hr="t" fillcolor="#a0a0a0" stroked="f"/>
        </w:pict>
      </w:r>
    </w:p>
    <w:p w14:paraId="59E485E4" w14:textId="77777777" w:rsidR="00D7560A" w:rsidRDefault="001E3CAB">
      <w:pPr>
        <w:widowControl/>
        <w:jc w:val="left"/>
        <w:rPr>
          <w:rFonts w:ascii="宋体" w:eastAsia="宋体" w:hAnsi="宋体" w:cs="宋体"/>
          <w:kern w:val="0"/>
          <w:sz w:val="24"/>
        </w:rPr>
      </w:pPr>
      <w:hyperlink w:anchor="if933dd1d5d004d2495dd7029e3ecad00_13" w:history="1">
        <w:r>
          <w:rPr>
            <w:rStyle w:val="a4"/>
            <w:rFonts w:ascii="Times New Roman" w:eastAsia="宋体" w:hAnsi="Times New Roman" w:cs="Times New Roman"/>
            <w:sz w:val="20"/>
            <w:szCs w:val="20"/>
          </w:rPr>
          <w:t>Table of Contents</w:t>
        </w:r>
      </w:hyperlink>
    </w:p>
    <w:p w14:paraId="59E485E5" w14:textId="77777777" w:rsidR="00D7560A" w:rsidRDefault="001E3CAB">
      <w:pPr>
        <w:widowControl/>
        <w:spacing w:after="120"/>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85E6" w14:textId="77777777" w:rsidR="00D7560A" w:rsidRDefault="001E3CAB">
      <w:pPr>
        <w:widowControl/>
        <w:spacing w:after="120"/>
        <w:jc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DELL TECHNOLOGIES INC.</w:t>
      </w:r>
    </w:p>
    <w:p w14:paraId="59E485E7" w14:textId="77777777" w:rsidR="00D7560A" w:rsidRDefault="001E3CAB">
      <w:pPr>
        <w:widowControl/>
        <w:spacing w:after="60"/>
        <w:jc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CONDENSED CONSOLIDATED STATEMENTS OF CASH FLOWS</w:t>
      </w:r>
    </w:p>
    <w:p w14:paraId="59E485E8" w14:textId="77777777" w:rsidR="00D7560A" w:rsidRDefault="001E3CAB">
      <w:pPr>
        <w:widowControl/>
        <w:spacing w:after="60"/>
        <w:jc w:val="center"/>
        <w:rPr>
          <w:rFonts w:ascii="宋体" w:eastAsia="宋体" w:hAnsi="宋体" w:cs="宋体"/>
          <w:kern w:val="0"/>
          <w:sz w:val="24"/>
        </w:rPr>
      </w:pPr>
      <w:r>
        <w:rPr>
          <w:rFonts w:ascii="Times New Roman" w:eastAsia="宋体" w:hAnsi="Times New Roman" w:cs="Times New Roman"/>
          <w:color w:val="000000"/>
          <w:kern w:val="0"/>
          <w:sz w:val="20"/>
          <w:szCs w:val="20"/>
          <w:shd w:val="clear" w:color="auto" w:fill="FFFFFF"/>
          <w:lang w:bidi="ar"/>
        </w:rPr>
        <w:t>(continued; in millions; unaudited)</w:t>
      </w:r>
    </w:p>
    <w:p w14:paraId="59E485E9"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5183"/>
        <w:gridCol w:w="38"/>
        <w:gridCol w:w="120"/>
        <w:gridCol w:w="1219"/>
        <w:gridCol w:w="36"/>
        <w:gridCol w:w="36"/>
        <w:gridCol w:w="36"/>
        <w:gridCol w:w="36"/>
        <w:gridCol w:w="120"/>
        <w:gridCol w:w="1220"/>
        <w:gridCol w:w="36"/>
        <w:gridCol w:w="36"/>
        <w:gridCol w:w="36"/>
        <w:gridCol w:w="36"/>
        <w:gridCol w:w="36"/>
        <w:gridCol w:w="36"/>
        <w:gridCol w:w="36"/>
      </w:tblGrid>
      <w:tr w:rsidR="00D7560A" w14:paraId="59E485F8" w14:textId="77777777">
        <w:trPr>
          <w:jc w:val="center"/>
        </w:trPr>
        <w:tc>
          <w:tcPr>
            <w:tcW w:w="50" w:type="pct"/>
            <w:tcBorders>
              <w:top w:val="nil"/>
              <w:left w:val="nil"/>
              <w:bottom w:val="nil"/>
              <w:right w:val="nil"/>
            </w:tcBorders>
            <w:shd w:val="clear" w:color="auto" w:fill="auto"/>
            <w:vAlign w:val="bottom"/>
          </w:tcPr>
          <w:p w14:paraId="59E485EA" w14:textId="77777777" w:rsidR="00D7560A" w:rsidRDefault="00D7560A">
            <w:pPr>
              <w:widowControl/>
              <w:jc w:val="left"/>
              <w:rPr>
                <w:rFonts w:ascii="Times New Roman" w:eastAsia="宋体" w:hAnsi="宋体" w:cs="宋体"/>
                <w:kern w:val="0"/>
                <w:sz w:val="24"/>
              </w:rPr>
            </w:pPr>
          </w:p>
        </w:tc>
        <w:tc>
          <w:tcPr>
            <w:tcW w:w="3234" w:type="pct"/>
            <w:tcBorders>
              <w:top w:val="nil"/>
              <w:left w:val="nil"/>
              <w:bottom w:val="nil"/>
              <w:right w:val="nil"/>
            </w:tcBorders>
            <w:shd w:val="clear" w:color="auto" w:fill="auto"/>
            <w:vAlign w:val="bottom"/>
          </w:tcPr>
          <w:p w14:paraId="59E485EB"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85EC"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85ED" w14:textId="77777777" w:rsidR="00D7560A" w:rsidRDefault="00D7560A">
            <w:pPr>
              <w:widowControl/>
              <w:jc w:val="left"/>
              <w:rPr>
                <w:rFonts w:ascii="Times New Roman" w:eastAsia="宋体" w:hAnsi="宋体" w:cs="宋体"/>
                <w:kern w:val="0"/>
                <w:sz w:val="24"/>
              </w:rPr>
            </w:pPr>
          </w:p>
        </w:tc>
        <w:tc>
          <w:tcPr>
            <w:tcW w:w="785" w:type="pct"/>
            <w:tcBorders>
              <w:top w:val="nil"/>
              <w:left w:val="nil"/>
              <w:bottom w:val="nil"/>
              <w:right w:val="nil"/>
            </w:tcBorders>
            <w:shd w:val="clear" w:color="auto" w:fill="auto"/>
            <w:vAlign w:val="bottom"/>
          </w:tcPr>
          <w:p w14:paraId="59E485EE"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85EF"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85F0" w14:textId="77777777" w:rsidR="00D7560A" w:rsidRDefault="00D7560A">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59E485F1"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85F2"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85F3" w14:textId="77777777" w:rsidR="00D7560A" w:rsidRDefault="00D7560A">
            <w:pPr>
              <w:widowControl/>
              <w:jc w:val="left"/>
              <w:rPr>
                <w:rFonts w:ascii="Times New Roman" w:eastAsia="宋体" w:hAnsi="宋体" w:cs="宋体"/>
                <w:kern w:val="0"/>
                <w:sz w:val="24"/>
              </w:rPr>
            </w:pPr>
          </w:p>
        </w:tc>
        <w:tc>
          <w:tcPr>
            <w:tcW w:w="785" w:type="pct"/>
            <w:tcBorders>
              <w:top w:val="nil"/>
              <w:left w:val="nil"/>
              <w:bottom w:val="nil"/>
              <w:right w:val="nil"/>
            </w:tcBorders>
            <w:shd w:val="clear" w:color="auto" w:fill="auto"/>
            <w:vAlign w:val="bottom"/>
          </w:tcPr>
          <w:p w14:paraId="59E485F4"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85F5"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59E485F6"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5F7" w14:textId="77777777" w:rsidR="00D7560A" w:rsidRDefault="00D7560A">
            <w:pPr>
              <w:widowControl/>
              <w:jc w:val="left"/>
              <w:rPr>
                <w:rFonts w:ascii="Times New Roman" w:eastAsia="宋体" w:hAnsi="宋体" w:cs="宋体"/>
                <w:vanish/>
                <w:kern w:val="0"/>
                <w:sz w:val="24"/>
              </w:rPr>
            </w:pPr>
          </w:p>
        </w:tc>
      </w:tr>
      <w:tr w:rsidR="00D7560A" w14:paraId="59E48601" w14:textId="77777777">
        <w:trPr>
          <w:jc w:val="center"/>
        </w:trPr>
        <w:tc>
          <w:tcPr>
            <w:tcW w:w="0" w:type="auto"/>
            <w:gridSpan w:val="3"/>
            <w:tcBorders>
              <w:top w:val="nil"/>
              <w:left w:val="nil"/>
              <w:bottom w:val="nil"/>
              <w:right w:val="nil"/>
            </w:tcBorders>
            <w:shd w:val="clear" w:color="auto" w:fill="auto"/>
            <w:tcMar>
              <w:top w:w="40" w:type="dxa"/>
              <w:left w:w="132" w:type="dxa"/>
              <w:bottom w:w="40" w:type="dxa"/>
              <w:right w:w="132" w:type="dxa"/>
            </w:tcMar>
            <w:vAlign w:val="bottom"/>
          </w:tcPr>
          <w:p w14:paraId="59E485F9"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59E485FA"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 xml:space="preserve">Six </w:t>
            </w:r>
            <w:r>
              <w:rPr>
                <w:rFonts w:ascii="Times New Roman" w:eastAsia="宋体" w:hAnsi="Times New Roman" w:cs="Times New Roman"/>
                <w:b/>
                <w:bCs/>
                <w:color w:val="000000"/>
                <w:kern w:val="0"/>
                <w:sz w:val="20"/>
                <w:szCs w:val="20"/>
                <w:lang w:bidi="ar"/>
              </w:rPr>
              <w:t>Months Ended</w:t>
            </w:r>
          </w:p>
        </w:tc>
        <w:tc>
          <w:tcPr>
            <w:tcW w:w="0" w:type="auto"/>
            <w:tcBorders>
              <w:top w:val="nil"/>
              <w:left w:val="nil"/>
              <w:bottom w:val="nil"/>
              <w:right w:val="nil"/>
            </w:tcBorders>
            <w:shd w:val="clear" w:color="auto" w:fill="auto"/>
            <w:vAlign w:val="bottom"/>
          </w:tcPr>
          <w:p w14:paraId="59E485FB"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85FC"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85FD"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85FE"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85FF"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8600" w14:textId="77777777" w:rsidR="00D7560A" w:rsidRDefault="00D7560A">
            <w:pPr>
              <w:widowControl/>
              <w:jc w:val="left"/>
              <w:rPr>
                <w:rFonts w:ascii="Times New Roman" w:eastAsia="宋体" w:hAnsi="宋体" w:cs="宋体"/>
                <w:kern w:val="0"/>
                <w:sz w:val="24"/>
              </w:rPr>
            </w:pPr>
          </w:p>
        </w:tc>
      </w:tr>
      <w:tr w:rsidR="00D7560A" w14:paraId="59E48608"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9E48602"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59E48603"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29, 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59E48604"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59E48605"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30, 2021</w:t>
            </w:r>
          </w:p>
        </w:tc>
        <w:tc>
          <w:tcPr>
            <w:tcW w:w="0" w:type="auto"/>
            <w:gridSpan w:val="3"/>
            <w:tcBorders>
              <w:top w:val="nil"/>
              <w:left w:val="nil"/>
              <w:bottom w:val="nil"/>
              <w:right w:val="nil"/>
            </w:tcBorders>
            <w:shd w:val="clear" w:color="auto" w:fill="auto"/>
            <w:vAlign w:val="bottom"/>
          </w:tcPr>
          <w:p w14:paraId="59E48606"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607" w14:textId="77777777" w:rsidR="00D7560A" w:rsidRDefault="00D7560A">
            <w:pPr>
              <w:widowControl/>
              <w:jc w:val="left"/>
              <w:rPr>
                <w:rFonts w:ascii="Times New Roman" w:eastAsia="宋体" w:hAnsi="宋体" w:cs="宋体"/>
                <w:vanish/>
                <w:kern w:val="0"/>
                <w:sz w:val="24"/>
              </w:rPr>
            </w:pPr>
          </w:p>
        </w:tc>
      </w:tr>
      <w:tr w:rsidR="00D7560A" w14:paraId="59E48611"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9E48609"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Change in cash, cash equivalents, and restricted cash</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59E4860A"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(3,989)</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59E4860B"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60C" w14:textId="77777777" w:rsidR="00D7560A" w:rsidRDefault="00D7560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59E4860D"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(2,557)</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59E4860E"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59E4860F"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610" w14:textId="77777777" w:rsidR="00D7560A" w:rsidRDefault="00D7560A">
            <w:pPr>
              <w:widowControl/>
              <w:jc w:val="left"/>
              <w:rPr>
                <w:rFonts w:ascii="Times New Roman" w:eastAsia="宋体" w:hAnsi="宋体" w:cs="宋体"/>
                <w:vanish/>
                <w:kern w:val="0"/>
                <w:sz w:val="24"/>
              </w:rPr>
            </w:pPr>
          </w:p>
        </w:tc>
      </w:tr>
      <w:tr w:rsidR="00D7560A" w14:paraId="59E4861A"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59E48612"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Cash</w:t>
            </w:r>
            <w:r>
              <w:rPr>
                <w:rFonts w:ascii="Times New Roman" w:eastAsia="宋体" w:hAnsi="Times New Roman" w:cs="Times New Roman"/>
                <w:color w:val="000000"/>
                <w:kern w:val="0"/>
                <w:sz w:val="20"/>
                <w:szCs w:val="20"/>
                <w:lang w:bidi="ar"/>
              </w:rPr>
              <w:t>, cash equivalents, and restricted cash at beginning of the period, including cash attributable to discontinued operations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613"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10,082 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614"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615"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616"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15,184 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617"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59E48618"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619" w14:textId="77777777" w:rsidR="00D7560A" w:rsidRDefault="00D7560A">
            <w:pPr>
              <w:widowControl/>
              <w:jc w:val="left"/>
              <w:rPr>
                <w:rFonts w:ascii="Times New Roman" w:eastAsia="宋体" w:hAnsi="宋体" w:cs="宋体"/>
                <w:vanish/>
                <w:kern w:val="0"/>
                <w:sz w:val="24"/>
              </w:rPr>
            </w:pPr>
          </w:p>
        </w:tc>
      </w:tr>
      <w:tr w:rsidR="00D7560A" w14:paraId="59E48623"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9E4861B"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Cash, cash equivalents, and restricted cash at end of the period, including cash attributable to </w:t>
            </w:r>
            <w:r>
              <w:rPr>
                <w:rFonts w:ascii="Times New Roman" w:eastAsia="宋体" w:hAnsi="Times New Roman" w:cs="Times New Roman"/>
                <w:color w:val="000000"/>
                <w:kern w:val="0"/>
                <w:sz w:val="20"/>
                <w:szCs w:val="20"/>
                <w:lang w:bidi="ar"/>
              </w:rPr>
              <w:t>discontinued operations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59E4861C"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6,093 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59E4861D"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61E" w14:textId="77777777" w:rsidR="00D7560A" w:rsidRDefault="00D7560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59E4861F"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12,627 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59E48620"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59E48621"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622" w14:textId="77777777" w:rsidR="00D7560A" w:rsidRDefault="00D7560A">
            <w:pPr>
              <w:widowControl/>
              <w:jc w:val="left"/>
              <w:rPr>
                <w:rFonts w:ascii="Times New Roman" w:eastAsia="宋体" w:hAnsi="宋体" w:cs="宋体"/>
                <w:vanish/>
                <w:kern w:val="0"/>
                <w:sz w:val="24"/>
              </w:rPr>
            </w:pPr>
          </w:p>
        </w:tc>
      </w:tr>
      <w:tr w:rsidR="00D7560A" w14:paraId="59E4862C" w14:textId="77777777">
        <w:trPr>
          <w:jc w:val="center"/>
        </w:trPr>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59E48624"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Less</w:t>
            </w:r>
            <w:r>
              <w:rPr>
                <w:rFonts w:ascii="Times New Roman" w:eastAsia="宋体" w:hAnsi="Times New Roman" w:cs="Times New Roman"/>
                <w:color w:val="000000"/>
                <w:kern w:val="0"/>
                <w:sz w:val="20"/>
                <w:szCs w:val="20"/>
                <w:lang w:bidi="ar"/>
              </w:rPr>
              <w:t>: Cash, cash equivalents, and restricted cash attributable to discontinued operations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59E48625"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59E48626"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627" w14:textId="77777777" w:rsidR="00D7560A" w:rsidRDefault="00D7560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59E48628"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5,922 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59E48629"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59E4862A"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62B" w14:textId="77777777" w:rsidR="00D7560A" w:rsidRDefault="00D7560A">
            <w:pPr>
              <w:widowControl/>
              <w:jc w:val="left"/>
              <w:rPr>
                <w:rFonts w:ascii="Times New Roman" w:eastAsia="宋体" w:hAnsi="宋体" w:cs="宋体"/>
                <w:vanish/>
                <w:kern w:val="0"/>
                <w:sz w:val="24"/>
              </w:rPr>
            </w:pPr>
          </w:p>
        </w:tc>
      </w:tr>
      <w:tr w:rsidR="00D7560A" w14:paraId="59E48637"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9E4862D"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Cash, cash equivalents, and restricted cash from continuing operations</w:t>
            </w: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59E4862E"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59E4862F"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6,093 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59E48630"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631"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59E48632"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59E48633"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6,705 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59E48634"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59E48635"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636" w14:textId="77777777" w:rsidR="00D7560A" w:rsidRDefault="00D7560A">
            <w:pPr>
              <w:widowControl/>
              <w:jc w:val="left"/>
              <w:rPr>
                <w:rFonts w:ascii="Times New Roman" w:eastAsia="宋体" w:hAnsi="宋体" w:cs="宋体"/>
                <w:vanish/>
                <w:kern w:val="0"/>
                <w:sz w:val="24"/>
              </w:rPr>
            </w:pPr>
          </w:p>
        </w:tc>
      </w:tr>
      <w:tr w:rsidR="00D7560A" w14:paraId="59E4863E" w14:textId="77777777">
        <w:trPr>
          <w:jc w:val="center"/>
          <w:hidden/>
        </w:trPr>
        <w:tc>
          <w:tcPr>
            <w:tcW w:w="0" w:type="auto"/>
            <w:gridSpan w:val="3"/>
            <w:tcBorders>
              <w:top w:val="nil"/>
              <w:left w:val="nil"/>
              <w:bottom w:val="nil"/>
              <w:right w:val="nil"/>
            </w:tcBorders>
            <w:shd w:val="clear" w:color="auto" w:fill="auto"/>
            <w:vAlign w:val="bottom"/>
          </w:tcPr>
          <w:p w14:paraId="59E48638"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639"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63A"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63B"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63C"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63D" w14:textId="77777777" w:rsidR="00D7560A" w:rsidRDefault="00D7560A">
            <w:pPr>
              <w:widowControl/>
              <w:jc w:val="left"/>
              <w:rPr>
                <w:rFonts w:ascii="Times New Roman" w:eastAsia="宋体" w:hAnsi="宋体" w:cs="宋体"/>
                <w:vanish/>
                <w:kern w:val="0"/>
                <w:sz w:val="24"/>
              </w:rPr>
            </w:pPr>
          </w:p>
        </w:tc>
      </w:tr>
      <w:tr w:rsidR="00D7560A" w14:paraId="59E48645" w14:textId="77777777">
        <w:trPr>
          <w:jc w:val="center"/>
          <w:hidden/>
        </w:trPr>
        <w:tc>
          <w:tcPr>
            <w:tcW w:w="0" w:type="auto"/>
            <w:gridSpan w:val="3"/>
            <w:tcBorders>
              <w:top w:val="nil"/>
              <w:left w:val="nil"/>
              <w:bottom w:val="nil"/>
              <w:right w:val="nil"/>
            </w:tcBorders>
            <w:shd w:val="clear" w:color="auto" w:fill="auto"/>
            <w:vAlign w:val="bottom"/>
          </w:tcPr>
          <w:p w14:paraId="59E4863F"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640"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641"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642"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643"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644" w14:textId="77777777" w:rsidR="00D7560A" w:rsidRDefault="00D7560A">
            <w:pPr>
              <w:widowControl/>
              <w:jc w:val="left"/>
              <w:rPr>
                <w:rFonts w:ascii="Times New Roman" w:eastAsia="宋体" w:hAnsi="宋体" w:cs="宋体"/>
                <w:vanish/>
                <w:kern w:val="0"/>
                <w:sz w:val="24"/>
              </w:rPr>
            </w:pPr>
          </w:p>
        </w:tc>
      </w:tr>
    </w:tbl>
    <w:p w14:paraId="59E48646"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8647"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The accompanying notes are an integral part of these Condensed Consolidated Financial Statements.</w:t>
      </w:r>
    </w:p>
    <w:p w14:paraId="59E48648"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8649"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9</w:t>
      </w:r>
    </w:p>
    <w:p w14:paraId="59E4864A"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864B" w14:textId="77777777" w:rsidR="00D7560A" w:rsidRDefault="001E3CAB">
      <w:pPr>
        <w:widowControl/>
        <w:jc w:val="center"/>
      </w:pPr>
      <w:r>
        <w:rPr>
          <w:rFonts w:ascii="宋体" w:eastAsia="宋体" w:hAnsi="宋体" w:cs="宋体"/>
          <w:kern w:val="0"/>
          <w:sz w:val="24"/>
        </w:rPr>
        <w:pict w14:anchorId="59E4C7D4">
          <v:rect id="_x0000_i1033" style="width:6in;height:1.5pt" o:hralign="center" o:hrstd="t" o:hr="t" fillcolor="#a0a0a0" stroked="f"/>
        </w:pict>
      </w:r>
    </w:p>
    <w:p w14:paraId="59E4864C" w14:textId="77777777" w:rsidR="00D7560A" w:rsidRDefault="001E3CAB">
      <w:pPr>
        <w:widowControl/>
        <w:jc w:val="left"/>
        <w:rPr>
          <w:rFonts w:ascii="宋体" w:eastAsia="宋体" w:hAnsi="宋体" w:cs="宋体"/>
          <w:kern w:val="0"/>
          <w:sz w:val="24"/>
        </w:rPr>
      </w:pPr>
      <w:hyperlink w:anchor="if933dd1d5d004d2495dd7029e3ecad00_13" w:history="1">
        <w:r>
          <w:rPr>
            <w:rStyle w:val="a4"/>
            <w:rFonts w:ascii="Times New Roman" w:eastAsia="宋体" w:hAnsi="Times New Roman" w:cs="Times New Roman"/>
            <w:sz w:val="20"/>
            <w:szCs w:val="20"/>
          </w:rPr>
          <w:t>Table of Contents</w:t>
        </w:r>
      </w:hyperlink>
    </w:p>
    <w:p w14:paraId="59E4864D" w14:textId="77777777" w:rsidR="00D7560A" w:rsidRDefault="001E3CAB">
      <w:pPr>
        <w:widowControl/>
        <w:spacing w:after="120"/>
        <w:jc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DELL TECHNOLOGIES INC.</w:t>
      </w:r>
    </w:p>
    <w:p w14:paraId="59E4864E" w14:textId="77777777" w:rsidR="00D7560A" w:rsidRDefault="001E3CAB">
      <w:pPr>
        <w:widowControl/>
        <w:spacing w:after="60"/>
        <w:jc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CONDENSED CONSOLIDATED STATEMENTS OF STOCKHOLDERS' EQUITY (DEFICIT)</w:t>
      </w:r>
    </w:p>
    <w:p w14:paraId="59E4864F"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shd w:val="clear" w:color="auto" w:fill="FFFFFF"/>
          <w:lang w:bidi="ar"/>
        </w:rPr>
        <w:t>(in millions; continued on next page; unaudited</w:t>
      </w:r>
      <w:r>
        <w:rPr>
          <w:rFonts w:ascii="Times New Roman" w:eastAsia="宋体" w:hAnsi="Times New Roman" w:cs="Times New Roman"/>
          <w:color w:val="000000"/>
          <w:kern w:val="0"/>
          <w:sz w:val="20"/>
          <w:szCs w:val="20"/>
          <w:lang w:bidi="ar"/>
        </w:rPr>
        <w:t>)</w:t>
      </w:r>
    </w:p>
    <w:p w14:paraId="59E48650"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tbl>
      <w:tblPr>
        <w:tblW w:w="5000" w:type="pct"/>
        <w:jc w:val="center"/>
        <w:tblCellMar>
          <w:top w:w="15" w:type="dxa"/>
          <w:left w:w="15" w:type="dxa"/>
          <w:bottom w:w="15" w:type="dxa"/>
          <w:right w:w="15" w:type="dxa"/>
        </w:tblCellMar>
        <w:tblLook w:val="04A0" w:firstRow="1" w:lastRow="0" w:firstColumn="1" w:lastColumn="0" w:noHBand="0" w:noVBand="1"/>
      </w:tblPr>
      <w:tblGrid>
        <w:gridCol w:w="78"/>
        <w:gridCol w:w="905"/>
        <w:gridCol w:w="37"/>
        <w:gridCol w:w="73"/>
        <w:gridCol w:w="346"/>
        <w:gridCol w:w="35"/>
        <w:gridCol w:w="37"/>
        <w:gridCol w:w="35"/>
        <w:gridCol w:w="35"/>
        <w:gridCol w:w="90"/>
        <w:gridCol w:w="415"/>
        <w:gridCol w:w="36"/>
        <w:gridCol w:w="37"/>
        <w:gridCol w:w="35"/>
        <w:gridCol w:w="35"/>
        <w:gridCol w:w="74"/>
        <w:gridCol w:w="347"/>
        <w:gridCol w:w="35"/>
        <w:gridCol w:w="37"/>
        <w:gridCol w:w="35"/>
        <w:gridCol w:w="35"/>
        <w:gridCol w:w="90"/>
        <w:gridCol w:w="391"/>
        <w:gridCol w:w="35"/>
        <w:gridCol w:w="37"/>
        <w:gridCol w:w="35"/>
        <w:gridCol w:w="35"/>
        <w:gridCol w:w="104"/>
        <w:gridCol w:w="681"/>
        <w:gridCol w:w="35"/>
        <w:gridCol w:w="37"/>
        <w:gridCol w:w="35"/>
        <w:gridCol w:w="35"/>
        <w:gridCol w:w="93"/>
        <w:gridCol w:w="825"/>
        <w:gridCol w:w="35"/>
        <w:gridCol w:w="37"/>
        <w:gridCol w:w="35"/>
        <w:gridCol w:w="35"/>
        <w:gridCol w:w="90"/>
        <w:gridCol w:w="733"/>
        <w:gridCol w:w="35"/>
        <w:gridCol w:w="37"/>
        <w:gridCol w:w="35"/>
        <w:gridCol w:w="35"/>
        <w:gridCol w:w="98"/>
        <w:gridCol w:w="871"/>
        <w:gridCol w:w="35"/>
        <w:gridCol w:w="37"/>
        <w:gridCol w:w="35"/>
        <w:gridCol w:w="35"/>
        <w:gridCol w:w="90"/>
        <w:gridCol w:w="733"/>
        <w:gridCol w:w="35"/>
      </w:tblGrid>
      <w:tr w:rsidR="00D7560A" w14:paraId="59E48687" w14:textId="77777777">
        <w:trPr>
          <w:jc w:val="center"/>
        </w:trPr>
        <w:tc>
          <w:tcPr>
            <w:tcW w:w="50" w:type="pct"/>
            <w:tcBorders>
              <w:top w:val="nil"/>
              <w:left w:val="nil"/>
              <w:bottom w:val="nil"/>
              <w:right w:val="nil"/>
            </w:tcBorders>
            <w:shd w:val="clear" w:color="auto" w:fill="auto"/>
            <w:vAlign w:val="bottom"/>
          </w:tcPr>
          <w:p w14:paraId="59E48651" w14:textId="77777777" w:rsidR="00D7560A" w:rsidRDefault="00D7560A">
            <w:pPr>
              <w:widowControl/>
              <w:jc w:val="left"/>
              <w:rPr>
                <w:rFonts w:ascii="Times New Roman" w:eastAsia="宋体" w:hAnsi="宋体" w:cs="宋体"/>
                <w:kern w:val="0"/>
                <w:sz w:val="24"/>
              </w:rPr>
            </w:pPr>
          </w:p>
        </w:tc>
        <w:tc>
          <w:tcPr>
            <w:tcW w:w="966" w:type="pct"/>
            <w:tcBorders>
              <w:top w:val="nil"/>
              <w:left w:val="nil"/>
              <w:bottom w:val="nil"/>
              <w:right w:val="nil"/>
            </w:tcBorders>
            <w:shd w:val="clear" w:color="auto" w:fill="auto"/>
            <w:vAlign w:val="bottom"/>
          </w:tcPr>
          <w:p w14:paraId="59E48652"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8653"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8654" w14:textId="77777777" w:rsidR="00D7560A" w:rsidRDefault="00D7560A">
            <w:pPr>
              <w:widowControl/>
              <w:jc w:val="left"/>
              <w:rPr>
                <w:rFonts w:ascii="Times New Roman" w:eastAsia="宋体" w:hAnsi="宋体" w:cs="宋体"/>
                <w:kern w:val="0"/>
                <w:sz w:val="24"/>
              </w:rPr>
            </w:pPr>
          </w:p>
        </w:tc>
        <w:tc>
          <w:tcPr>
            <w:tcW w:w="258" w:type="pct"/>
            <w:tcBorders>
              <w:top w:val="nil"/>
              <w:left w:val="nil"/>
              <w:bottom w:val="nil"/>
              <w:right w:val="nil"/>
            </w:tcBorders>
            <w:shd w:val="clear" w:color="auto" w:fill="auto"/>
            <w:vAlign w:val="bottom"/>
          </w:tcPr>
          <w:p w14:paraId="59E48655"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8656"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8657" w14:textId="77777777" w:rsidR="00D7560A" w:rsidRDefault="00D7560A">
            <w:pPr>
              <w:widowControl/>
              <w:jc w:val="left"/>
              <w:rPr>
                <w:rFonts w:ascii="Times New Roman" w:eastAsia="宋体" w:hAnsi="宋体" w:cs="宋体"/>
                <w:kern w:val="0"/>
                <w:sz w:val="24"/>
              </w:rPr>
            </w:pPr>
          </w:p>
        </w:tc>
        <w:tc>
          <w:tcPr>
            <w:tcW w:w="11" w:type="pct"/>
            <w:tcBorders>
              <w:top w:val="nil"/>
              <w:left w:val="nil"/>
              <w:bottom w:val="nil"/>
              <w:right w:val="nil"/>
            </w:tcBorders>
            <w:shd w:val="clear" w:color="auto" w:fill="auto"/>
            <w:vAlign w:val="bottom"/>
          </w:tcPr>
          <w:p w14:paraId="59E48658"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8659"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865A" w14:textId="77777777" w:rsidR="00D7560A" w:rsidRDefault="00D7560A">
            <w:pPr>
              <w:widowControl/>
              <w:jc w:val="left"/>
              <w:rPr>
                <w:rFonts w:ascii="Times New Roman" w:eastAsia="宋体" w:hAnsi="宋体" w:cs="宋体"/>
                <w:kern w:val="0"/>
                <w:sz w:val="24"/>
              </w:rPr>
            </w:pPr>
          </w:p>
        </w:tc>
        <w:tc>
          <w:tcPr>
            <w:tcW w:w="258" w:type="pct"/>
            <w:tcBorders>
              <w:top w:val="nil"/>
              <w:left w:val="nil"/>
              <w:bottom w:val="nil"/>
              <w:right w:val="nil"/>
            </w:tcBorders>
            <w:shd w:val="clear" w:color="auto" w:fill="auto"/>
            <w:vAlign w:val="bottom"/>
          </w:tcPr>
          <w:p w14:paraId="59E4865B"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865C"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865D" w14:textId="77777777" w:rsidR="00D7560A" w:rsidRDefault="00D7560A">
            <w:pPr>
              <w:widowControl/>
              <w:jc w:val="left"/>
              <w:rPr>
                <w:rFonts w:ascii="Times New Roman" w:eastAsia="宋体" w:hAnsi="宋体" w:cs="宋体"/>
                <w:kern w:val="0"/>
                <w:sz w:val="24"/>
              </w:rPr>
            </w:pPr>
          </w:p>
        </w:tc>
        <w:tc>
          <w:tcPr>
            <w:tcW w:w="11" w:type="pct"/>
            <w:tcBorders>
              <w:top w:val="nil"/>
              <w:left w:val="nil"/>
              <w:bottom w:val="nil"/>
              <w:right w:val="nil"/>
            </w:tcBorders>
            <w:shd w:val="clear" w:color="auto" w:fill="auto"/>
            <w:vAlign w:val="bottom"/>
          </w:tcPr>
          <w:p w14:paraId="59E4865E"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865F"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8660" w14:textId="77777777" w:rsidR="00D7560A" w:rsidRDefault="00D7560A">
            <w:pPr>
              <w:widowControl/>
              <w:jc w:val="left"/>
              <w:rPr>
                <w:rFonts w:ascii="Times New Roman" w:eastAsia="宋体" w:hAnsi="宋体" w:cs="宋体"/>
                <w:kern w:val="0"/>
                <w:sz w:val="24"/>
              </w:rPr>
            </w:pPr>
          </w:p>
        </w:tc>
        <w:tc>
          <w:tcPr>
            <w:tcW w:w="258" w:type="pct"/>
            <w:tcBorders>
              <w:top w:val="nil"/>
              <w:left w:val="nil"/>
              <w:bottom w:val="nil"/>
              <w:right w:val="nil"/>
            </w:tcBorders>
            <w:shd w:val="clear" w:color="auto" w:fill="auto"/>
            <w:vAlign w:val="bottom"/>
          </w:tcPr>
          <w:p w14:paraId="59E48661"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8662"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8663" w14:textId="77777777" w:rsidR="00D7560A" w:rsidRDefault="00D7560A">
            <w:pPr>
              <w:widowControl/>
              <w:jc w:val="left"/>
              <w:rPr>
                <w:rFonts w:ascii="Times New Roman" w:eastAsia="宋体" w:hAnsi="宋体" w:cs="宋体"/>
                <w:kern w:val="0"/>
                <w:sz w:val="24"/>
              </w:rPr>
            </w:pPr>
          </w:p>
        </w:tc>
        <w:tc>
          <w:tcPr>
            <w:tcW w:w="11" w:type="pct"/>
            <w:tcBorders>
              <w:top w:val="nil"/>
              <w:left w:val="nil"/>
              <w:bottom w:val="nil"/>
              <w:right w:val="nil"/>
            </w:tcBorders>
            <w:shd w:val="clear" w:color="auto" w:fill="auto"/>
            <w:vAlign w:val="bottom"/>
          </w:tcPr>
          <w:p w14:paraId="59E48664"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8665"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8666" w14:textId="77777777" w:rsidR="00D7560A" w:rsidRDefault="00D7560A">
            <w:pPr>
              <w:widowControl/>
              <w:jc w:val="left"/>
              <w:rPr>
                <w:rFonts w:ascii="Times New Roman" w:eastAsia="宋体" w:hAnsi="宋体" w:cs="宋体"/>
                <w:kern w:val="0"/>
                <w:sz w:val="24"/>
              </w:rPr>
            </w:pPr>
          </w:p>
        </w:tc>
        <w:tc>
          <w:tcPr>
            <w:tcW w:w="258" w:type="pct"/>
            <w:tcBorders>
              <w:top w:val="nil"/>
              <w:left w:val="nil"/>
              <w:bottom w:val="nil"/>
              <w:right w:val="nil"/>
            </w:tcBorders>
            <w:shd w:val="clear" w:color="auto" w:fill="auto"/>
            <w:vAlign w:val="bottom"/>
          </w:tcPr>
          <w:p w14:paraId="59E48667"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8668"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8669" w14:textId="77777777" w:rsidR="00D7560A" w:rsidRDefault="00D7560A">
            <w:pPr>
              <w:widowControl/>
              <w:jc w:val="left"/>
              <w:rPr>
                <w:rFonts w:ascii="Times New Roman" w:eastAsia="宋体" w:hAnsi="宋体" w:cs="宋体"/>
                <w:kern w:val="0"/>
                <w:sz w:val="24"/>
              </w:rPr>
            </w:pPr>
          </w:p>
        </w:tc>
        <w:tc>
          <w:tcPr>
            <w:tcW w:w="11" w:type="pct"/>
            <w:tcBorders>
              <w:top w:val="nil"/>
              <w:left w:val="nil"/>
              <w:bottom w:val="nil"/>
              <w:right w:val="nil"/>
            </w:tcBorders>
            <w:shd w:val="clear" w:color="auto" w:fill="auto"/>
            <w:vAlign w:val="bottom"/>
          </w:tcPr>
          <w:p w14:paraId="59E4866A"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866B"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866C" w14:textId="77777777" w:rsidR="00D7560A" w:rsidRDefault="00D7560A">
            <w:pPr>
              <w:widowControl/>
              <w:jc w:val="left"/>
              <w:rPr>
                <w:rFonts w:ascii="Times New Roman" w:eastAsia="宋体" w:hAnsi="宋体" w:cs="宋体"/>
                <w:kern w:val="0"/>
                <w:sz w:val="24"/>
              </w:rPr>
            </w:pPr>
          </w:p>
        </w:tc>
        <w:tc>
          <w:tcPr>
            <w:tcW w:w="350" w:type="pct"/>
            <w:tcBorders>
              <w:top w:val="nil"/>
              <w:left w:val="nil"/>
              <w:bottom w:val="nil"/>
              <w:right w:val="nil"/>
            </w:tcBorders>
            <w:shd w:val="clear" w:color="auto" w:fill="auto"/>
            <w:vAlign w:val="bottom"/>
          </w:tcPr>
          <w:p w14:paraId="59E4866D"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866E"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866F" w14:textId="77777777" w:rsidR="00D7560A" w:rsidRDefault="00D7560A">
            <w:pPr>
              <w:widowControl/>
              <w:jc w:val="left"/>
              <w:rPr>
                <w:rFonts w:ascii="Times New Roman" w:eastAsia="宋体" w:hAnsi="宋体" w:cs="宋体"/>
                <w:kern w:val="0"/>
                <w:sz w:val="24"/>
              </w:rPr>
            </w:pPr>
          </w:p>
        </w:tc>
        <w:tc>
          <w:tcPr>
            <w:tcW w:w="11" w:type="pct"/>
            <w:tcBorders>
              <w:top w:val="nil"/>
              <w:left w:val="nil"/>
              <w:bottom w:val="nil"/>
              <w:right w:val="nil"/>
            </w:tcBorders>
            <w:shd w:val="clear" w:color="auto" w:fill="auto"/>
            <w:vAlign w:val="bottom"/>
          </w:tcPr>
          <w:p w14:paraId="59E48670"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8671"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8672" w14:textId="77777777" w:rsidR="00D7560A" w:rsidRDefault="00D7560A">
            <w:pPr>
              <w:widowControl/>
              <w:jc w:val="left"/>
              <w:rPr>
                <w:rFonts w:ascii="Times New Roman" w:eastAsia="宋体" w:hAnsi="宋体" w:cs="宋体"/>
                <w:kern w:val="0"/>
                <w:sz w:val="24"/>
              </w:rPr>
            </w:pPr>
          </w:p>
        </w:tc>
        <w:tc>
          <w:tcPr>
            <w:tcW w:w="480" w:type="pct"/>
            <w:tcBorders>
              <w:top w:val="nil"/>
              <w:left w:val="nil"/>
              <w:bottom w:val="nil"/>
              <w:right w:val="nil"/>
            </w:tcBorders>
            <w:shd w:val="clear" w:color="auto" w:fill="auto"/>
            <w:vAlign w:val="bottom"/>
          </w:tcPr>
          <w:p w14:paraId="59E48673"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8674"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8675" w14:textId="77777777" w:rsidR="00D7560A" w:rsidRDefault="00D7560A">
            <w:pPr>
              <w:widowControl/>
              <w:jc w:val="left"/>
              <w:rPr>
                <w:rFonts w:ascii="Times New Roman" w:eastAsia="宋体" w:hAnsi="宋体" w:cs="宋体"/>
                <w:kern w:val="0"/>
                <w:sz w:val="24"/>
              </w:rPr>
            </w:pPr>
          </w:p>
        </w:tc>
        <w:tc>
          <w:tcPr>
            <w:tcW w:w="11" w:type="pct"/>
            <w:tcBorders>
              <w:top w:val="nil"/>
              <w:left w:val="nil"/>
              <w:bottom w:val="nil"/>
              <w:right w:val="nil"/>
            </w:tcBorders>
            <w:shd w:val="clear" w:color="auto" w:fill="auto"/>
            <w:vAlign w:val="bottom"/>
          </w:tcPr>
          <w:p w14:paraId="59E48676"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8677"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8678" w14:textId="77777777" w:rsidR="00D7560A" w:rsidRDefault="00D7560A">
            <w:pPr>
              <w:widowControl/>
              <w:jc w:val="left"/>
              <w:rPr>
                <w:rFonts w:ascii="Times New Roman" w:eastAsia="宋体" w:hAnsi="宋体" w:cs="宋体"/>
                <w:kern w:val="0"/>
                <w:sz w:val="24"/>
              </w:rPr>
            </w:pPr>
          </w:p>
        </w:tc>
        <w:tc>
          <w:tcPr>
            <w:tcW w:w="480" w:type="pct"/>
            <w:tcBorders>
              <w:top w:val="nil"/>
              <w:left w:val="nil"/>
              <w:bottom w:val="nil"/>
              <w:right w:val="nil"/>
            </w:tcBorders>
            <w:shd w:val="clear" w:color="auto" w:fill="auto"/>
            <w:vAlign w:val="bottom"/>
          </w:tcPr>
          <w:p w14:paraId="59E48679"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867A"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867B" w14:textId="77777777" w:rsidR="00D7560A" w:rsidRDefault="00D7560A">
            <w:pPr>
              <w:widowControl/>
              <w:jc w:val="left"/>
              <w:rPr>
                <w:rFonts w:ascii="Times New Roman" w:eastAsia="宋体" w:hAnsi="宋体" w:cs="宋体"/>
                <w:kern w:val="0"/>
                <w:sz w:val="24"/>
              </w:rPr>
            </w:pPr>
          </w:p>
        </w:tc>
        <w:tc>
          <w:tcPr>
            <w:tcW w:w="11" w:type="pct"/>
            <w:tcBorders>
              <w:top w:val="nil"/>
              <w:left w:val="nil"/>
              <w:bottom w:val="nil"/>
              <w:right w:val="nil"/>
            </w:tcBorders>
            <w:shd w:val="clear" w:color="auto" w:fill="auto"/>
            <w:vAlign w:val="bottom"/>
          </w:tcPr>
          <w:p w14:paraId="59E4867C"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867D"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867E" w14:textId="77777777" w:rsidR="00D7560A" w:rsidRDefault="00D7560A">
            <w:pPr>
              <w:widowControl/>
              <w:jc w:val="left"/>
              <w:rPr>
                <w:rFonts w:ascii="Times New Roman" w:eastAsia="宋体" w:hAnsi="宋体" w:cs="宋体"/>
                <w:kern w:val="0"/>
                <w:sz w:val="24"/>
              </w:rPr>
            </w:pPr>
          </w:p>
        </w:tc>
        <w:tc>
          <w:tcPr>
            <w:tcW w:w="480" w:type="pct"/>
            <w:tcBorders>
              <w:top w:val="nil"/>
              <w:left w:val="nil"/>
              <w:bottom w:val="nil"/>
              <w:right w:val="nil"/>
            </w:tcBorders>
            <w:shd w:val="clear" w:color="auto" w:fill="auto"/>
            <w:vAlign w:val="bottom"/>
          </w:tcPr>
          <w:p w14:paraId="59E4867F"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8680"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8681" w14:textId="77777777" w:rsidR="00D7560A" w:rsidRDefault="00D7560A">
            <w:pPr>
              <w:widowControl/>
              <w:jc w:val="left"/>
              <w:rPr>
                <w:rFonts w:ascii="Times New Roman" w:eastAsia="宋体" w:hAnsi="宋体" w:cs="宋体"/>
                <w:kern w:val="0"/>
                <w:sz w:val="24"/>
              </w:rPr>
            </w:pPr>
          </w:p>
        </w:tc>
        <w:tc>
          <w:tcPr>
            <w:tcW w:w="11" w:type="pct"/>
            <w:tcBorders>
              <w:top w:val="nil"/>
              <w:left w:val="nil"/>
              <w:bottom w:val="nil"/>
              <w:right w:val="nil"/>
            </w:tcBorders>
            <w:shd w:val="clear" w:color="auto" w:fill="auto"/>
            <w:vAlign w:val="bottom"/>
          </w:tcPr>
          <w:p w14:paraId="59E48682"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8683"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8684" w14:textId="77777777" w:rsidR="00D7560A" w:rsidRDefault="00D7560A">
            <w:pPr>
              <w:widowControl/>
              <w:jc w:val="left"/>
              <w:rPr>
                <w:rFonts w:ascii="Times New Roman" w:eastAsia="宋体" w:hAnsi="宋体" w:cs="宋体"/>
                <w:kern w:val="0"/>
                <w:sz w:val="24"/>
              </w:rPr>
            </w:pPr>
          </w:p>
        </w:tc>
        <w:tc>
          <w:tcPr>
            <w:tcW w:w="480" w:type="pct"/>
            <w:tcBorders>
              <w:top w:val="nil"/>
              <w:left w:val="nil"/>
              <w:bottom w:val="nil"/>
              <w:right w:val="nil"/>
            </w:tcBorders>
            <w:shd w:val="clear" w:color="auto" w:fill="auto"/>
            <w:vAlign w:val="bottom"/>
          </w:tcPr>
          <w:p w14:paraId="59E48685"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8686" w14:textId="77777777" w:rsidR="00D7560A" w:rsidRDefault="00D7560A">
            <w:pPr>
              <w:widowControl/>
              <w:jc w:val="left"/>
              <w:rPr>
                <w:rFonts w:ascii="Times New Roman" w:eastAsia="宋体" w:hAnsi="宋体" w:cs="宋体"/>
                <w:kern w:val="0"/>
                <w:sz w:val="24"/>
              </w:rPr>
            </w:pPr>
          </w:p>
        </w:tc>
      </w:tr>
      <w:tr w:rsidR="00D7560A" w14:paraId="59E48696"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8688" w14:textId="77777777" w:rsidR="00D7560A" w:rsidRDefault="00D7560A">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59E48689"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6"/>
                <w:szCs w:val="16"/>
                <w:lang w:bidi="ar"/>
              </w:rPr>
              <w:t>Common Stock and Capital in Excess of Par Value</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868A" w14:textId="77777777" w:rsidR="00D7560A" w:rsidRDefault="00D7560A">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59E4868B"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6"/>
                <w:szCs w:val="16"/>
                <w:lang w:bidi="ar"/>
              </w:rPr>
              <w:t>Treasury Stock</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868C"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868D"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868E"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868F"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8690"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8691"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8692"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8693"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8694"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8695" w14:textId="77777777" w:rsidR="00D7560A" w:rsidRDefault="00D7560A">
            <w:pPr>
              <w:widowControl/>
              <w:jc w:val="left"/>
              <w:rPr>
                <w:rFonts w:ascii="Times New Roman" w:eastAsia="宋体" w:hAnsi="宋体" w:cs="宋体"/>
                <w:kern w:val="0"/>
                <w:sz w:val="24"/>
              </w:rPr>
            </w:pPr>
          </w:p>
        </w:tc>
      </w:tr>
      <w:tr w:rsidR="00D7560A" w14:paraId="59E486A9"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9E48697"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16"/>
                <w:szCs w:val="16"/>
                <w:lang w:bidi="ar"/>
              </w:rPr>
              <w:t>Three Months Ended July 29, 2022</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59E48698"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6"/>
                <w:szCs w:val="16"/>
                <w:lang w:bidi="ar"/>
              </w:rPr>
              <w:t>Issued Shares</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59E48699"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59E4869A"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6"/>
                <w:szCs w:val="16"/>
                <w:lang w:bidi="ar"/>
              </w:rPr>
              <w:t>Amount</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869B"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59E4869C"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6"/>
                <w:szCs w:val="16"/>
                <w:lang w:bidi="ar"/>
              </w:rPr>
              <w:t>Shares</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59E4869D"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59E4869E"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6"/>
                <w:szCs w:val="16"/>
                <w:lang w:bidi="ar"/>
              </w:rPr>
              <w:t>Amount</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869F"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9E486A0"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6"/>
                <w:szCs w:val="16"/>
                <w:lang w:bidi="ar"/>
              </w:rPr>
              <w:t>Accumulated Deficit</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86A1"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9E486A2"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6"/>
                <w:szCs w:val="16"/>
                <w:lang w:bidi="ar"/>
              </w:rPr>
              <w:t>Accumulated Other Comprehensive Income/(Loss)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86A3"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9E486A4"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6"/>
                <w:szCs w:val="16"/>
                <w:lang w:bidi="ar"/>
              </w:rPr>
              <w:t>Dell Technologies</w:t>
            </w:r>
            <w:r>
              <w:rPr>
                <w:rFonts w:ascii="Times New Roman" w:eastAsia="宋体" w:hAnsi="Times New Roman" w:cs="Times New Roman"/>
                <w:b/>
                <w:bCs/>
                <w:color w:val="000000"/>
                <w:kern w:val="0"/>
                <w:sz w:val="16"/>
                <w:szCs w:val="16"/>
                <w:lang w:bidi="ar"/>
              </w:rPr>
              <w:br/>
              <w:t>Stockholders’ Equity (Deficit)</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86A5"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9E486A6"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6"/>
                <w:szCs w:val="16"/>
                <w:lang w:bidi="ar"/>
              </w:rPr>
              <w:t>Non-Controlling Interests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86A7"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9E486A8"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6"/>
                <w:szCs w:val="16"/>
                <w:lang w:bidi="ar"/>
              </w:rPr>
              <w:t>Total Stockholders</w:t>
            </w:r>
            <w:r>
              <w:rPr>
                <w:rFonts w:ascii="Times New Roman" w:eastAsia="宋体" w:hAnsi="Times New Roman" w:cs="Times New Roman"/>
                <w:color w:val="000000"/>
                <w:kern w:val="0"/>
                <w:sz w:val="16"/>
                <w:szCs w:val="16"/>
                <w:lang w:bidi="ar"/>
              </w:rPr>
              <w:t>’</w:t>
            </w:r>
            <w:r>
              <w:rPr>
                <w:rFonts w:ascii="Times New Roman" w:eastAsia="宋体" w:hAnsi="Times New Roman" w:cs="Times New Roman"/>
                <w:b/>
                <w:bCs/>
                <w:color w:val="000000"/>
                <w:kern w:val="0"/>
                <w:sz w:val="16"/>
                <w:szCs w:val="16"/>
                <w:lang w:bidi="ar"/>
              </w:rPr>
              <w:t xml:space="preserve"> Equity (Deficit)</w:t>
            </w:r>
          </w:p>
        </w:tc>
      </w:tr>
      <w:tr w:rsidR="001E3CAB" w14:paraId="59E486CC"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9E486AA"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16"/>
                <w:szCs w:val="16"/>
                <w:lang w:bidi="ar"/>
              </w:rPr>
              <w:t>Balances as of April 29, 2022</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59E486AB"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795 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59E486AC"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6AD"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59E486AE"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59E486AF"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7,777 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59E486B0"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6B1" w14:textId="77777777" w:rsidR="00D7560A" w:rsidRDefault="00D7560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59E486B2"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48 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59E486B3"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6B4"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59E486B5"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59E486B6"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(2,446)</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59E486B7"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6B8"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59E486B9"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59E486BA"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(7,369)</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59E486BB"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6BC"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59E486BD"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59E486BE"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(424)</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59E486BF"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6C0"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59E486C1"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59E486C2"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(2,462)</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59E486C3"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6C4"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59E486C5"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59E486C6"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107 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59E486C7"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6C8"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59E486C9"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59E486CA"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(2,355)</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59E486CB" w14:textId="77777777" w:rsidR="00D7560A" w:rsidRDefault="00D7560A">
            <w:pPr>
              <w:widowControl/>
              <w:jc w:val="right"/>
              <w:rPr>
                <w:rFonts w:ascii="Times New Roman" w:eastAsia="宋体" w:hAnsi="宋体" w:cs="宋体"/>
                <w:kern w:val="0"/>
                <w:sz w:val="24"/>
              </w:rPr>
            </w:pPr>
          </w:p>
        </w:tc>
      </w:tr>
      <w:tr w:rsidR="00D7560A" w14:paraId="59E486DF" w14:textId="77777777">
        <w:trPr>
          <w:jc w:val="center"/>
          <w:hidden/>
        </w:trPr>
        <w:tc>
          <w:tcPr>
            <w:tcW w:w="0" w:type="auto"/>
            <w:gridSpan w:val="3"/>
            <w:tcBorders>
              <w:top w:val="nil"/>
              <w:left w:val="nil"/>
              <w:bottom w:val="nil"/>
              <w:right w:val="nil"/>
            </w:tcBorders>
            <w:shd w:val="clear" w:color="auto" w:fill="auto"/>
            <w:vAlign w:val="bottom"/>
          </w:tcPr>
          <w:p w14:paraId="59E486CD"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6CE"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6CF"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6D0"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6D1"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6D2"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6D3"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6D4"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6D5"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6D6"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6D7"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6D8"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6D9"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6DA"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6DB"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6DC"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6DD"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6DE" w14:textId="77777777" w:rsidR="00D7560A" w:rsidRDefault="00D7560A">
            <w:pPr>
              <w:widowControl/>
              <w:jc w:val="left"/>
              <w:rPr>
                <w:rFonts w:ascii="Times New Roman" w:eastAsia="宋体" w:hAnsi="宋体" w:cs="宋体"/>
                <w:vanish/>
                <w:kern w:val="0"/>
                <w:sz w:val="24"/>
              </w:rPr>
            </w:pPr>
          </w:p>
        </w:tc>
      </w:tr>
      <w:tr w:rsidR="00D7560A" w14:paraId="59E486FB" w14:textId="77777777">
        <w:trPr>
          <w:jc w:val="center"/>
        </w:trPr>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59E486E0"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Net income</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6E1"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6E2"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6E3"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6E4"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6E5"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6E6"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6E7"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6E8"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6E9"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6EA"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6EB"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6EC"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6ED"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511 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6EE"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6EF"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6F0"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6F1"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6F2"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6F3"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511 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6F4"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6F5"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6F6"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(5)</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6F7"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6F8"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6F9"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506 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6FA" w14:textId="77777777" w:rsidR="00D7560A" w:rsidRDefault="00D7560A">
            <w:pPr>
              <w:widowControl/>
              <w:jc w:val="right"/>
              <w:rPr>
                <w:rFonts w:ascii="Times New Roman" w:eastAsia="宋体" w:hAnsi="宋体" w:cs="宋体"/>
                <w:kern w:val="0"/>
                <w:sz w:val="24"/>
              </w:rPr>
            </w:pPr>
          </w:p>
        </w:tc>
      </w:tr>
      <w:tr w:rsidR="00D7560A" w14:paraId="59E48717"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9E486FC"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Dividends and dividend equivalents declared ($0.33 per common share)</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86FD"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6FE"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6FF"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8700"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701"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702"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8703"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704"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705"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8706"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707"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708"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8709"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(248)</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70A"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70B"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870C"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70D"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70E"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870F"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(248)</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710"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711"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8712"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713"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714"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8715"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(248)</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716" w14:textId="77777777" w:rsidR="00D7560A" w:rsidRDefault="00D7560A">
            <w:pPr>
              <w:widowControl/>
              <w:jc w:val="right"/>
              <w:rPr>
                <w:rFonts w:ascii="Times New Roman" w:eastAsia="宋体" w:hAnsi="宋体" w:cs="宋体"/>
                <w:kern w:val="0"/>
                <w:sz w:val="24"/>
              </w:rPr>
            </w:pPr>
          </w:p>
        </w:tc>
      </w:tr>
      <w:tr w:rsidR="00D7560A" w14:paraId="59E48733" w14:textId="77777777">
        <w:trPr>
          <w:jc w:val="center"/>
        </w:trPr>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59E48718"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Foreign currency translation adjustments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719"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71A"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71B"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71C"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71D"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71E"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71F"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720"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721"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722"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723"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724"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725"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726"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727"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728"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(137)</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729"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72A"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72B"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(137)</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72C"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72D"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72E"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72F"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730"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731"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(138)</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732" w14:textId="77777777" w:rsidR="00D7560A" w:rsidRDefault="00D7560A">
            <w:pPr>
              <w:widowControl/>
              <w:jc w:val="right"/>
              <w:rPr>
                <w:rFonts w:ascii="Times New Roman" w:eastAsia="宋体" w:hAnsi="宋体" w:cs="宋体"/>
                <w:kern w:val="0"/>
                <w:sz w:val="24"/>
              </w:rPr>
            </w:pPr>
          </w:p>
        </w:tc>
      </w:tr>
      <w:tr w:rsidR="00D7560A" w14:paraId="59E4874F" w14:textId="77777777">
        <w:trPr>
          <w:jc w:val="center"/>
        </w:trPr>
        <w:tc>
          <w:tcPr>
            <w:tcW w:w="0" w:type="auto"/>
            <w:gridSpan w:val="3"/>
            <w:tcBorders>
              <w:top w:val="nil"/>
              <w:left w:val="nil"/>
              <w:bottom w:val="nil"/>
              <w:right w:val="nil"/>
            </w:tcBorders>
            <w:shd w:val="clear" w:color="auto" w:fill="CCEEFF"/>
            <w:tcMar>
              <w:top w:w="40" w:type="dxa"/>
              <w:left w:w="155" w:type="dxa"/>
              <w:bottom w:w="40" w:type="dxa"/>
              <w:right w:w="20" w:type="dxa"/>
            </w:tcMar>
            <w:vAlign w:val="bottom"/>
          </w:tcPr>
          <w:p w14:paraId="59E48734"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Cash flow hedges, net change</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8735"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736"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737"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8738"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739"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73A"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873B"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73C"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73D"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873E"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73F"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740"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8741"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742"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743"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8744"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(140)</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745"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746"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8747"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(140)</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748"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749"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874A"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74B"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74C"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874D"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(140)</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74E" w14:textId="77777777" w:rsidR="00D7560A" w:rsidRDefault="00D7560A">
            <w:pPr>
              <w:widowControl/>
              <w:jc w:val="right"/>
              <w:rPr>
                <w:rFonts w:ascii="Times New Roman" w:eastAsia="宋体" w:hAnsi="宋体" w:cs="宋体"/>
                <w:kern w:val="0"/>
                <w:sz w:val="24"/>
              </w:rPr>
            </w:pPr>
          </w:p>
        </w:tc>
      </w:tr>
      <w:tr w:rsidR="00D7560A" w14:paraId="59E4876B" w14:textId="77777777">
        <w:trPr>
          <w:jc w:val="center"/>
        </w:trPr>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59E48750"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Pension and other post-retirement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751"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752"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753"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754"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755"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756"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757"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758"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759"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75A"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75B"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75C"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75D"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75E"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75F"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760"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761"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762"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763"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764"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765"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766"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767"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768"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769"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76A" w14:textId="77777777" w:rsidR="00D7560A" w:rsidRDefault="00D7560A">
            <w:pPr>
              <w:widowControl/>
              <w:jc w:val="right"/>
              <w:rPr>
                <w:rFonts w:ascii="Times New Roman" w:eastAsia="宋体" w:hAnsi="宋体" w:cs="宋体"/>
                <w:kern w:val="0"/>
                <w:sz w:val="24"/>
              </w:rPr>
            </w:pPr>
          </w:p>
        </w:tc>
      </w:tr>
      <w:tr w:rsidR="00D7560A" w14:paraId="59E48787" w14:textId="77777777">
        <w:trPr>
          <w:jc w:val="center"/>
        </w:trPr>
        <w:tc>
          <w:tcPr>
            <w:tcW w:w="0" w:type="auto"/>
            <w:gridSpan w:val="3"/>
            <w:tcBorders>
              <w:top w:val="nil"/>
              <w:left w:val="nil"/>
              <w:bottom w:val="nil"/>
              <w:right w:val="nil"/>
            </w:tcBorders>
            <w:shd w:val="clear" w:color="auto" w:fill="CCEEFF"/>
            <w:tcMar>
              <w:top w:w="40" w:type="dxa"/>
              <w:left w:w="155" w:type="dxa"/>
              <w:bottom w:w="40" w:type="dxa"/>
              <w:right w:w="20" w:type="dxa"/>
            </w:tcMar>
            <w:vAlign w:val="bottom"/>
          </w:tcPr>
          <w:p w14:paraId="59E4876C"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Issuance of common stock</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876D"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76E"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76F"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8770"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(5)</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771"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772"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8773"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774"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775"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8776"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777"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778"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8779"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77A"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77B"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877C"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77D"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77E"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877F"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(5)</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780"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781"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8782"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783"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784"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8785"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(5)</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786" w14:textId="77777777" w:rsidR="00D7560A" w:rsidRDefault="00D7560A">
            <w:pPr>
              <w:widowControl/>
              <w:jc w:val="right"/>
              <w:rPr>
                <w:rFonts w:ascii="Times New Roman" w:eastAsia="宋体" w:hAnsi="宋体" w:cs="宋体"/>
                <w:kern w:val="0"/>
                <w:sz w:val="24"/>
              </w:rPr>
            </w:pPr>
          </w:p>
        </w:tc>
      </w:tr>
      <w:tr w:rsidR="00D7560A" w14:paraId="59E487A3" w14:textId="77777777">
        <w:trPr>
          <w:jc w:val="center"/>
        </w:trPr>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59E48788"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Stock-based compensation expense</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789"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78A"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78B"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78C"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227 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78D"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78E"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78F"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790"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791"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792"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793"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794"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795"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796"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797"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798"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799"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79A"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79B"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227 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79C"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79D"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79E"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79F"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7A0"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7A1"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236 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7A2" w14:textId="77777777" w:rsidR="00D7560A" w:rsidRDefault="00D7560A">
            <w:pPr>
              <w:widowControl/>
              <w:jc w:val="right"/>
              <w:rPr>
                <w:rFonts w:ascii="Times New Roman" w:eastAsia="宋体" w:hAnsi="宋体" w:cs="宋体"/>
                <w:kern w:val="0"/>
                <w:sz w:val="24"/>
              </w:rPr>
            </w:pPr>
          </w:p>
        </w:tc>
      </w:tr>
      <w:tr w:rsidR="00D7560A" w14:paraId="59E487BF" w14:textId="77777777">
        <w:trPr>
          <w:jc w:val="center"/>
        </w:trPr>
        <w:tc>
          <w:tcPr>
            <w:tcW w:w="0" w:type="auto"/>
            <w:gridSpan w:val="3"/>
            <w:tcBorders>
              <w:top w:val="nil"/>
              <w:left w:val="nil"/>
              <w:bottom w:val="nil"/>
              <w:right w:val="nil"/>
            </w:tcBorders>
            <w:shd w:val="clear" w:color="auto" w:fill="CCEEFF"/>
            <w:tcMar>
              <w:top w:w="40" w:type="dxa"/>
              <w:left w:w="155" w:type="dxa"/>
              <w:bottom w:w="40" w:type="dxa"/>
              <w:right w:w="20" w:type="dxa"/>
            </w:tcMar>
            <w:vAlign w:val="bottom"/>
          </w:tcPr>
          <w:p w14:paraId="59E487A4"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Treasury stock repurchases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87A5"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7A6"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7A7"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87A8"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7A9"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7AA"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87AB"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14 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7AC"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7AD"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87AE"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(608)</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7AF"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7B0"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87B1"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7B2"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7B3"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87B4"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7B5"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7B6"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87B7"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(608)</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7B8"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7B9"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87BA"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7BB"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7BC"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87BD"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(608)</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7BE" w14:textId="77777777" w:rsidR="00D7560A" w:rsidRDefault="00D7560A">
            <w:pPr>
              <w:widowControl/>
              <w:jc w:val="right"/>
              <w:rPr>
                <w:rFonts w:ascii="Times New Roman" w:eastAsia="宋体" w:hAnsi="宋体" w:cs="宋体"/>
                <w:kern w:val="0"/>
                <w:sz w:val="24"/>
              </w:rPr>
            </w:pPr>
          </w:p>
        </w:tc>
      </w:tr>
      <w:tr w:rsidR="00D7560A" w14:paraId="59E487D2" w14:textId="77777777">
        <w:trPr>
          <w:jc w:val="center"/>
          <w:hidden/>
        </w:trPr>
        <w:tc>
          <w:tcPr>
            <w:tcW w:w="0" w:type="auto"/>
            <w:gridSpan w:val="3"/>
            <w:tcBorders>
              <w:top w:val="nil"/>
              <w:left w:val="nil"/>
              <w:bottom w:val="nil"/>
              <w:right w:val="nil"/>
            </w:tcBorders>
            <w:shd w:val="clear" w:color="auto" w:fill="auto"/>
            <w:vAlign w:val="bottom"/>
          </w:tcPr>
          <w:p w14:paraId="59E487C0"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7C1"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7C2"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7C3"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7C4"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7C5"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7C6"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7C7"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7C8"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7C9"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7CA"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7CB"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7CC"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7CD"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7CE"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7CF"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7D0"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7D1" w14:textId="77777777" w:rsidR="00D7560A" w:rsidRDefault="00D7560A">
            <w:pPr>
              <w:widowControl/>
              <w:jc w:val="left"/>
              <w:rPr>
                <w:rFonts w:ascii="Times New Roman" w:eastAsia="宋体" w:hAnsi="宋体" w:cs="宋体"/>
                <w:vanish/>
                <w:kern w:val="0"/>
                <w:sz w:val="24"/>
              </w:rPr>
            </w:pPr>
          </w:p>
        </w:tc>
      </w:tr>
      <w:tr w:rsidR="00D7560A" w14:paraId="59E487EE" w14:textId="77777777">
        <w:trPr>
          <w:jc w:val="center"/>
        </w:trPr>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59E487D3"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Impact from equity transactions of non-controlling interests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7D4"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7D5"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7D6"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7D7"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7D8"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7D9"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7DA"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7DB"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7DC"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7DD"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7DE"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7DF"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7E0"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7E1"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7E2"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7E3"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7E4"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7E5"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7E6"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7E7"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7E8"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7E9"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(5)</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7EA"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7EB"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7EC"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7ED" w14:textId="77777777" w:rsidR="00D7560A" w:rsidRDefault="00D7560A">
            <w:pPr>
              <w:widowControl/>
              <w:jc w:val="right"/>
              <w:rPr>
                <w:rFonts w:ascii="Times New Roman" w:eastAsia="宋体" w:hAnsi="宋体" w:cs="宋体"/>
                <w:kern w:val="0"/>
                <w:sz w:val="24"/>
              </w:rPr>
            </w:pPr>
          </w:p>
        </w:tc>
      </w:tr>
      <w:tr w:rsidR="00D7560A" w14:paraId="59E48801" w14:textId="77777777">
        <w:trPr>
          <w:jc w:val="center"/>
          <w:hidden/>
        </w:trPr>
        <w:tc>
          <w:tcPr>
            <w:tcW w:w="0" w:type="auto"/>
            <w:gridSpan w:val="3"/>
            <w:tcBorders>
              <w:top w:val="nil"/>
              <w:left w:val="nil"/>
              <w:bottom w:val="nil"/>
              <w:right w:val="nil"/>
            </w:tcBorders>
            <w:shd w:val="clear" w:color="auto" w:fill="auto"/>
            <w:vAlign w:val="bottom"/>
          </w:tcPr>
          <w:p w14:paraId="59E487EF"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7F0"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7F1"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7F2"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7F3"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7F4"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7F5"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7F6"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7F7"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7F8"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7F9"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7FA"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7FB"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7FC"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7FD"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7FE"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7FF"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800" w14:textId="77777777" w:rsidR="00D7560A" w:rsidRDefault="00D7560A">
            <w:pPr>
              <w:widowControl/>
              <w:jc w:val="left"/>
              <w:rPr>
                <w:rFonts w:ascii="Times New Roman" w:eastAsia="宋体" w:hAnsi="宋体" w:cs="宋体"/>
                <w:vanish/>
                <w:kern w:val="0"/>
                <w:sz w:val="24"/>
              </w:rPr>
            </w:pPr>
          </w:p>
        </w:tc>
      </w:tr>
      <w:tr w:rsidR="001E3CAB" w14:paraId="59E48824"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9E48802"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16"/>
                <w:szCs w:val="16"/>
                <w:lang w:bidi="ar"/>
              </w:rPr>
              <w:t>Balances as of July 29, 2022</w:t>
            </w: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59E48803"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796 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59E48804"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805"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59E48806"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59E48807"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8,005 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59E48808"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809" w14:textId="77777777" w:rsidR="00D7560A" w:rsidRDefault="00D7560A">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59E4880A"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62 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59E4880B"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80C"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59E4880D"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59E4880E"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(3,054)</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59E4880F"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810"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59E48811"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59E48812"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(7,106)</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59E48813"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814"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59E48815"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59E48816"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(705)</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59E48817"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818"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59E48819"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59E4881A"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(2,860)</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59E4881B"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81C"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59E4881D"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59E4881E"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105 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59E4881F"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820"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59E48821"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59E48822"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(2,755)</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59E48823" w14:textId="77777777" w:rsidR="00D7560A" w:rsidRDefault="00D7560A">
            <w:pPr>
              <w:widowControl/>
              <w:jc w:val="right"/>
              <w:rPr>
                <w:rFonts w:ascii="Times New Roman" w:eastAsia="宋体" w:hAnsi="宋体" w:cs="宋体"/>
                <w:kern w:val="0"/>
                <w:sz w:val="24"/>
              </w:rPr>
            </w:pPr>
          </w:p>
        </w:tc>
      </w:tr>
    </w:tbl>
    <w:p w14:paraId="59E48825" w14:textId="77777777" w:rsidR="00D7560A" w:rsidRDefault="001E3CAB">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57"/>
        <w:gridCol w:w="1091"/>
        <w:gridCol w:w="40"/>
        <w:gridCol w:w="81"/>
        <w:gridCol w:w="414"/>
        <w:gridCol w:w="37"/>
        <w:gridCol w:w="36"/>
        <w:gridCol w:w="36"/>
        <w:gridCol w:w="36"/>
        <w:gridCol w:w="101"/>
        <w:gridCol w:w="496"/>
        <w:gridCol w:w="37"/>
        <w:gridCol w:w="36"/>
        <w:gridCol w:w="36"/>
        <w:gridCol w:w="36"/>
        <w:gridCol w:w="81"/>
        <w:gridCol w:w="414"/>
        <w:gridCol w:w="36"/>
        <w:gridCol w:w="36"/>
        <w:gridCol w:w="36"/>
        <w:gridCol w:w="36"/>
        <w:gridCol w:w="100"/>
        <w:gridCol w:w="467"/>
        <w:gridCol w:w="36"/>
        <w:gridCol w:w="36"/>
        <w:gridCol w:w="36"/>
        <w:gridCol w:w="36"/>
        <w:gridCol w:w="117"/>
        <w:gridCol w:w="819"/>
        <w:gridCol w:w="36"/>
        <w:gridCol w:w="36"/>
        <w:gridCol w:w="36"/>
        <w:gridCol w:w="36"/>
        <w:gridCol w:w="104"/>
        <w:gridCol w:w="993"/>
        <w:gridCol w:w="36"/>
        <w:gridCol w:w="36"/>
        <w:gridCol w:w="36"/>
        <w:gridCol w:w="36"/>
        <w:gridCol w:w="101"/>
        <w:gridCol w:w="882"/>
        <w:gridCol w:w="36"/>
        <w:gridCol w:w="36"/>
        <w:gridCol w:w="36"/>
        <w:gridCol w:w="36"/>
        <w:gridCol w:w="110"/>
        <w:gridCol w:w="1049"/>
        <w:gridCol w:w="36"/>
        <w:gridCol w:w="36"/>
        <w:gridCol w:w="36"/>
        <w:gridCol w:w="36"/>
        <w:gridCol w:w="101"/>
        <w:gridCol w:w="882"/>
        <w:gridCol w:w="36"/>
      </w:tblGrid>
      <w:tr w:rsidR="00D7560A" w14:paraId="59E4885C" w14:textId="77777777">
        <w:tc>
          <w:tcPr>
            <w:tcW w:w="50" w:type="pct"/>
            <w:tcBorders>
              <w:top w:val="nil"/>
              <w:left w:val="nil"/>
              <w:bottom w:val="nil"/>
              <w:right w:val="nil"/>
            </w:tcBorders>
            <w:shd w:val="clear" w:color="auto" w:fill="auto"/>
            <w:vAlign w:val="bottom"/>
          </w:tcPr>
          <w:p w14:paraId="59E48826" w14:textId="77777777" w:rsidR="00D7560A" w:rsidRDefault="00D7560A">
            <w:pPr>
              <w:widowControl/>
              <w:jc w:val="left"/>
              <w:rPr>
                <w:rFonts w:ascii="Times New Roman" w:eastAsia="宋体" w:hAnsi="宋体" w:cs="宋体"/>
                <w:kern w:val="0"/>
                <w:sz w:val="24"/>
              </w:rPr>
            </w:pPr>
          </w:p>
        </w:tc>
        <w:tc>
          <w:tcPr>
            <w:tcW w:w="966" w:type="pct"/>
            <w:tcBorders>
              <w:top w:val="nil"/>
              <w:left w:val="nil"/>
              <w:bottom w:val="nil"/>
              <w:right w:val="nil"/>
            </w:tcBorders>
            <w:shd w:val="clear" w:color="auto" w:fill="auto"/>
            <w:vAlign w:val="bottom"/>
          </w:tcPr>
          <w:p w14:paraId="59E48827"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8828"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8829" w14:textId="77777777" w:rsidR="00D7560A" w:rsidRDefault="00D7560A">
            <w:pPr>
              <w:widowControl/>
              <w:jc w:val="left"/>
              <w:rPr>
                <w:rFonts w:ascii="Times New Roman" w:eastAsia="宋体" w:hAnsi="宋体" w:cs="宋体"/>
                <w:kern w:val="0"/>
                <w:sz w:val="24"/>
              </w:rPr>
            </w:pPr>
          </w:p>
        </w:tc>
        <w:tc>
          <w:tcPr>
            <w:tcW w:w="258" w:type="pct"/>
            <w:tcBorders>
              <w:top w:val="nil"/>
              <w:left w:val="nil"/>
              <w:bottom w:val="nil"/>
              <w:right w:val="nil"/>
            </w:tcBorders>
            <w:shd w:val="clear" w:color="auto" w:fill="auto"/>
            <w:vAlign w:val="bottom"/>
          </w:tcPr>
          <w:p w14:paraId="59E4882A"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882B"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882C" w14:textId="77777777" w:rsidR="00D7560A" w:rsidRDefault="00D7560A">
            <w:pPr>
              <w:widowControl/>
              <w:jc w:val="left"/>
              <w:rPr>
                <w:rFonts w:ascii="Times New Roman" w:eastAsia="宋体" w:hAnsi="宋体" w:cs="宋体"/>
                <w:kern w:val="0"/>
                <w:sz w:val="24"/>
              </w:rPr>
            </w:pPr>
          </w:p>
        </w:tc>
        <w:tc>
          <w:tcPr>
            <w:tcW w:w="11" w:type="pct"/>
            <w:tcBorders>
              <w:top w:val="nil"/>
              <w:left w:val="nil"/>
              <w:bottom w:val="nil"/>
              <w:right w:val="nil"/>
            </w:tcBorders>
            <w:shd w:val="clear" w:color="auto" w:fill="auto"/>
            <w:vAlign w:val="bottom"/>
          </w:tcPr>
          <w:p w14:paraId="59E4882D"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882E"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882F" w14:textId="77777777" w:rsidR="00D7560A" w:rsidRDefault="00D7560A">
            <w:pPr>
              <w:widowControl/>
              <w:jc w:val="left"/>
              <w:rPr>
                <w:rFonts w:ascii="Times New Roman" w:eastAsia="宋体" w:hAnsi="宋体" w:cs="宋体"/>
                <w:kern w:val="0"/>
                <w:sz w:val="24"/>
              </w:rPr>
            </w:pPr>
          </w:p>
        </w:tc>
        <w:tc>
          <w:tcPr>
            <w:tcW w:w="258" w:type="pct"/>
            <w:tcBorders>
              <w:top w:val="nil"/>
              <w:left w:val="nil"/>
              <w:bottom w:val="nil"/>
              <w:right w:val="nil"/>
            </w:tcBorders>
            <w:shd w:val="clear" w:color="auto" w:fill="auto"/>
            <w:vAlign w:val="bottom"/>
          </w:tcPr>
          <w:p w14:paraId="59E48830"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8831"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8832" w14:textId="77777777" w:rsidR="00D7560A" w:rsidRDefault="00D7560A">
            <w:pPr>
              <w:widowControl/>
              <w:jc w:val="left"/>
              <w:rPr>
                <w:rFonts w:ascii="Times New Roman" w:eastAsia="宋体" w:hAnsi="宋体" w:cs="宋体"/>
                <w:kern w:val="0"/>
                <w:sz w:val="24"/>
              </w:rPr>
            </w:pPr>
          </w:p>
        </w:tc>
        <w:tc>
          <w:tcPr>
            <w:tcW w:w="11" w:type="pct"/>
            <w:tcBorders>
              <w:top w:val="nil"/>
              <w:left w:val="nil"/>
              <w:bottom w:val="nil"/>
              <w:right w:val="nil"/>
            </w:tcBorders>
            <w:shd w:val="clear" w:color="auto" w:fill="auto"/>
            <w:vAlign w:val="bottom"/>
          </w:tcPr>
          <w:p w14:paraId="59E48833"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8834"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8835" w14:textId="77777777" w:rsidR="00D7560A" w:rsidRDefault="00D7560A">
            <w:pPr>
              <w:widowControl/>
              <w:jc w:val="left"/>
              <w:rPr>
                <w:rFonts w:ascii="Times New Roman" w:eastAsia="宋体" w:hAnsi="宋体" w:cs="宋体"/>
                <w:kern w:val="0"/>
                <w:sz w:val="24"/>
              </w:rPr>
            </w:pPr>
          </w:p>
        </w:tc>
        <w:tc>
          <w:tcPr>
            <w:tcW w:w="258" w:type="pct"/>
            <w:tcBorders>
              <w:top w:val="nil"/>
              <w:left w:val="nil"/>
              <w:bottom w:val="nil"/>
              <w:right w:val="nil"/>
            </w:tcBorders>
            <w:shd w:val="clear" w:color="auto" w:fill="auto"/>
            <w:vAlign w:val="bottom"/>
          </w:tcPr>
          <w:p w14:paraId="59E48836"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8837"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8838" w14:textId="77777777" w:rsidR="00D7560A" w:rsidRDefault="00D7560A">
            <w:pPr>
              <w:widowControl/>
              <w:jc w:val="left"/>
              <w:rPr>
                <w:rFonts w:ascii="Times New Roman" w:eastAsia="宋体" w:hAnsi="宋体" w:cs="宋体"/>
                <w:kern w:val="0"/>
                <w:sz w:val="24"/>
              </w:rPr>
            </w:pPr>
          </w:p>
        </w:tc>
        <w:tc>
          <w:tcPr>
            <w:tcW w:w="11" w:type="pct"/>
            <w:tcBorders>
              <w:top w:val="nil"/>
              <w:left w:val="nil"/>
              <w:bottom w:val="nil"/>
              <w:right w:val="nil"/>
            </w:tcBorders>
            <w:shd w:val="clear" w:color="auto" w:fill="auto"/>
            <w:vAlign w:val="bottom"/>
          </w:tcPr>
          <w:p w14:paraId="59E48839"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883A"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883B" w14:textId="77777777" w:rsidR="00D7560A" w:rsidRDefault="00D7560A">
            <w:pPr>
              <w:widowControl/>
              <w:jc w:val="left"/>
              <w:rPr>
                <w:rFonts w:ascii="Times New Roman" w:eastAsia="宋体" w:hAnsi="宋体" w:cs="宋体"/>
                <w:kern w:val="0"/>
                <w:sz w:val="24"/>
              </w:rPr>
            </w:pPr>
          </w:p>
        </w:tc>
        <w:tc>
          <w:tcPr>
            <w:tcW w:w="258" w:type="pct"/>
            <w:tcBorders>
              <w:top w:val="nil"/>
              <w:left w:val="nil"/>
              <w:bottom w:val="nil"/>
              <w:right w:val="nil"/>
            </w:tcBorders>
            <w:shd w:val="clear" w:color="auto" w:fill="auto"/>
            <w:vAlign w:val="bottom"/>
          </w:tcPr>
          <w:p w14:paraId="59E4883C"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883D"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883E" w14:textId="77777777" w:rsidR="00D7560A" w:rsidRDefault="00D7560A">
            <w:pPr>
              <w:widowControl/>
              <w:jc w:val="left"/>
              <w:rPr>
                <w:rFonts w:ascii="Times New Roman" w:eastAsia="宋体" w:hAnsi="宋体" w:cs="宋体"/>
                <w:kern w:val="0"/>
                <w:sz w:val="24"/>
              </w:rPr>
            </w:pPr>
          </w:p>
        </w:tc>
        <w:tc>
          <w:tcPr>
            <w:tcW w:w="11" w:type="pct"/>
            <w:tcBorders>
              <w:top w:val="nil"/>
              <w:left w:val="nil"/>
              <w:bottom w:val="nil"/>
              <w:right w:val="nil"/>
            </w:tcBorders>
            <w:shd w:val="clear" w:color="auto" w:fill="auto"/>
            <w:vAlign w:val="bottom"/>
          </w:tcPr>
          <w:p w14:paraId="59E4883F"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8840"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8841" w14:textId="77777777" w:rsidR="00D7560A" w:rsidRDefault="00D7560A">
            <w:pPr>
              <w:widowControl/>
              <w:jc w:val="left"/>
              <w:rPr>
                <w:rFonts w:ascii="Times New Roman" w:eastAsia="宋体" w:hAnsi="宋体" w:cs="宋体"/>
                <w:kern w:val="0"/>
                <w:sz w:val="24"/>
              </w:rPr>
            </w:pPr>
          </w:p>
        </w:tc>
        <w:tc>
          <w:tcPr>
            <w:tcW w:w="350" w:type="pct"/>
            <w:tcBorders>
              <w:top w:val="nil"/>
              <w:left w:val="nil"/>
              <w:bottom w:val="nil"/>
              <w:right w:val="nil"/>
            </w:tcBorders>
            <w:shd w:val="clear" w:color="auto" w:fill="auto"/>
            <w:vAlign w:val="bottom"/>
          </w:tcPr>
          <w:p w14:paraId="59E48842"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8843"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8844" w14:textId="77777777" w:rsidR="00D7560A" w:rsidRDefault="00D7560A">
            <w:pPr>
              <w:widowControl/>
              <w:jc w:val="left"/>
              <w:rPr>
                <w:rFonts w:ascii="Times New Roman" w:eastAsia="宋体" w:hAnsi="宋体" w:cs="宋体"/>
                <w:kern w:val="0"/>
                <w:sz w:val="24"/>
              </w:rPr>
            </w:pPr>
          </w:p>
        </w:tc>
        <w:tc>
          <w:tcPr>
            <w:tcW w:w="11" w:type="pct"/>
            <w:tcBorders>
              <w:top w:val="nil"/>
              <w:left w:val="nil"/>
              <w:bottom w:val="nil"/>
              <w:right w:val="nil"/>
            </w:tcBorders>
            <w:shd w:val="clear" w:color="auto" w:fill="auto"/>
            <w:vAlign w:val="bottom"/>
          </w:tcPr>
          <w:p w14:paraId="59E48845"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8846"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8847" w14:textId="77777777" w:rsidR="00D7560A" w:rsidRDefault="00D7560A">
            <w:pPr>
              <w:widowControl/>
              <w:jc w:val="left"/>
              <w:rPr>
                <w:rFonts w:ascii="Times New Roman" w:eastAsia="宋体" w:hAnsi="宋体" w:cs="宋体"/>
                <w:kern w:val="0"/>
                <w:sz w:val="24"/>
              </w:rPr>
            </w:pPr>
          </w:p>
        </w:tc>
        <w:tc>
          <w:tcPr>
            <w:tcW w:w="480" w:type="pct"/>
            <w:tcBorders>
              <w:top w:val="nil"/>
              <w:left w:val="nil"/>
              <w:bottom w:val="nil"/>
              <w:right w:val="nil"/>
            </w:tcBorders>
            <w:shd w:val="clear" w:color="auto" w:fill="auto"/>
            <w:vAlign w:val="bottom"/>
          </w:tcPr>
          <w:p w14:paraId="59E48848"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8849"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884A" w14:textId="77777777" w:rsidR="00D7560A" w:rsidRDefault="00D7560A">
            <w:pPr>
              <w:widowControl/>
              <w:jc w:val="left"/>
              <w:rPr>
                <w:rFonts w:ascii="Times New Roman" w:eastAsia="宋体" w:hAnsi="宋体" w:cs="宋体"/>
                <w:kern w:val="0"/>
                <w:sz w:val="24"/>
              </w:rPr>
            </w:pPr>
          </w:p>
        </w:tc>
        <w:tc>
          <w:tcPr>
            <w:tcW w:w="11" w:type="pct"/>
            <w:tcBorders>
              <w:top w:val="nil"/>
              <w:left w:val="nil"/>
              <w:bottom w:val="nil"/>
              <w:right w:val="nil"/>
            </w:tcBorders>
            <w:shd w:val="clear" w:color="auto" w:fill="auto"/>
            <w:vAlign w:val="bottom"/>
          </w:tcPr>
          <w:p w14:paraId="59E4884B"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884C"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884D" w14:textId="77777777" w:rsidR="00D7560A" w:rsidRDefault="00D7560A">
            <w:pPr>
              <w:widowControl/>
              <w:jc w:val="left"/>
              <w:rPr>
                <w:rFonts w:ascii="Times New Roman" w:eastAsia="宋体" w:hAnsi="宋体" w:cs="宋体"/>
                <w:kern w:val="0"/>
                <w:sz w:val="24"/>
              </w:rPr>
            </w:pPr>
          </w:p>
        </w:tc>
        <w:tc>
          <w:tcPr>
            <w:tcW w:w="480" w:type="pct"/>
            <w:tcBorders>
              <w:top w:val="nil"/>
              <w:left w:val="nil"/>
              <w:bottom w:val="nil"/>
              <w:right w:val="nil"/>
            </w:tcBorders>
            <w:shd w:val="clear" w:color="auto" w:fill="auto"/>
            <w:vAlign w:val="bottom"/>
          </w:tcPr>
          <w:p w14:paraId="59E4884E"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884F"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8850" w14:textId="77777777" w:rsidR="00D7560A" w:rsidRDefault="00D7560A">
            <w:pPr>
              <w:widowControl/>
              <w:jc w:val="left"/>
              <w:rPr>
                <w:rFonts w:ascii="Times New Roman" w:eastAsia="宋体" w:hAnsi="宋体" w:cs="宋体"/>
                <w:kern w:val="0"/>
                <w:sz w:val="24"/>
              </w:rPr>
            </w:pPr>
          </w:p>
        </w:tc>
        <w:tc>
          <w:tcPr>
            <w:tcW w:w="11" w:type="pct"/>
            <w:tcBorders>
              <w:top w:val="nil"/>
              <w:left w:val="nil"/>
              <w:bottom w:val="nil"/>
              <w:right w:val="nil"/>
            </w:tcBorders>
            <w:shd w:val="clear" w:color="auto" w:fill="auto"/>
            <w:vAlign w:val="bottom"/>
          </w:tcPr>
          <w:p w14:paraId="59E48851"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8852"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8853" w14:textId="77777777" w:rsidR="00D7560A" w:rsidRDefault="00D7560A">
            <w:pPr>
              <w:widowControl/>
              <w:jc w:val="left"/>
              <w:rPr>
                <w:rFonts w:ascii="Times New Roman" w:eastAsia="宋体" w:hAnsi="宋体" w:cs="宋体"/>
                <w:kern w:val="0"/>
                <w:sz w:val="24"/>
              </w:rPr>
            </w:pPr>
          </w:p>
        </w:tc>
        <w:tc>
          <w:tcPr>
            <w:tcW w:w="480" w:type="pct"/>
            <w:tcBorders>
              <w:top w:val="nil"/>
              <w:left w:val="nil"/>
              <w:bottom w:val="nil"/>
              <w:right w:val="nil"/>
            </w:tcBorders>
            <w:shd w:val="clear" w:color="auto" w:fill="auto"/>
            <w:vAlign w:val="bottom"/>
          </w:tcPr>
          <w:p w14:paraId="59E48854"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8855"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8856" w14:textId="77777777" w:rsidR="00D7560A" w:rsidRDefault="00D7560A">
            <w:pPr>
              <w:widowControl/>
              <w:jc w:val="left"/>
              <w:rPr>
                <w:rFonts w:ascii="Times New Roman" w:eastAsia="宋体" w:hAnsi="宋体" w:cs="宋体"/>
                <w:kern w:val="0"/>
                <w:sz w:val="24"/>
              </w:rPr>
            </w:pPr>
          </w:p>
        </w:tc>
        <w:tc>
          <w:tcPr>
            <w:tcW w:w="11" w:type="pct"/>
            <w:tcBorders>
              <w:top w:val="nil"/>
              <w:left w:val="nil"/>
              <w:bottom w:val="nil"/>
              <w:right w:val="nil"/>
            </w:tcBorders>
            <w:shd w:val="clear" w:color="auto" w:fill="auto"/>
            <w:vAlign w:val="bottom"/>
          </w:tcPr>
          <w:p w14:paraId="59E48857"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8858"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8859" w14:textId="77777777" w:rsidR="00D7560A" w:rsidRDefault="00D7560A">
            <w:pPr>
              <w:widowControl/>
              <w:jc w:val="left"/>
              <w:rPr>
                <w:rFonts w:ascii="Times New Roman" w:eastAsia="宋体" w:hAnsi="宋体" w:cs="宋体"/>
                <w:kern w:val="0"/>
                <w:sz w:val="24"/>
              </w:rPr>
            </w:pPr>
          </w:p>
        </w:tc>
        <w:tc>
          <w:tcPr>
            <w:tcW w:w="480" w:type="pct"/>
            <w:tcBorders>
              <w:top w:val="nil"/>
              <w:left w:val="nil"/>
              <w:bottom w:val="nil"/>
              <w:right w:val="nil"/>
            </w:tcBorders>
            <w:shd w:val="clear" w:color="auto" w:fill="auto"/>
            <w:vAlign w:val="bottom"/>
          </w:tcPr>
          <w:p w14:paraId="59E4885A"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885B" w14:textId="77777777" w:rsidR="00D7560A" w:rsidRDefault="00D7560A">
            <w:pPr>
              <w:widowControl/>
              <w:jc w:val="left"/>
              <w:rPr>
                <w:rFonts w:ascii="Times New Roman" w:eastAsia="宋体" w:hAnsi="宋体" w:cs="宋体"/>
                <w:kern w:val="0"/>
                <w:sz w:val="24"/>
              </w:rPr>
            </w:pPr>
          </w:p>
        </w:tc>
      </w:tr>
      <w:tr w:rsidR="00D7560A" w14:paraId="59E4886B"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885D" w14:textId="77777777" w:rsidR="00D7560A" w:rsidRDefault="00D7560A">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59E4885E"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6"/>
                <w:szCs w:val="16"/>
                <w:lang w:bidi="ar"/>
              </w:rPr>
              <w:t>Common Stock and Capital in Excess of Par Value</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885F" w14:textId="77777777" w:rsidR="00D7560A" w:rsidRDefault="00D7560A">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59E48860"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6"/>
                <w:szCs w:val="16"/>
                <w:lang w:bidi="ar"/>
              </w:rPr>
              <w:t>Treasury Stock</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8861"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8862"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8863"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8864"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8865"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8866"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8867"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8868"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8869"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886A" w14:textId="77777777" w:rsidR="00D7560A" w:rsidRDefault="00D7560A">
            <w:pPr>
              <w:widowControl/>
              <w:jc w:val="left"/>
              <w:rPr>
                <w:rFonts w:ascii="Times New Roman" w:eastAsia="宋体" w:hAnsi="宋体" w:cs="宋体"/>
                <w:kern w:val="0"/>
                <w:sz w:val="24"/>
              </w:rPr>
            </w:pPr>
          </w:p>
        </w:tc>
      </w:tr>
      <w:tr w:rsidR="00D7560A" w14:paraId="59E4887E"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9E4886C"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16"/>
                <w:szCs w:val="16"/>
                <w:lang w:bidi="ar"/>
              </w:rPr>
              <w:t>Six Months Ended July 29, 2022</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59E4886D"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6"/>
                <w:szCs w:val="16"/>
                <w:lang w:bidi="ar"/>
              </w:rPr>
              <w:t>Issued Shares</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59E4886E"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59E4886F"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6"/>
                <w:szCs w:val="16"/>
                <w:lang w:bidi="ar"/>
              </w:rPr>
              <w:t>Amount</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8870"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59E48871"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6"/>
                <w:szCs w:val="16"/>
                <w:lang w:bidi="ar"/>
              </w:rPr>
              <w:t>Shares</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59E48872"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59E48873"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6"/>
                <w:szCs w:val="16"/>
                <w:lang w:bidi="ar"/>
              </w:rPr>
              <w:t>Amount</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8874"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9E48875"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6"/>
                <w:szCs w:val="16"/>
                <w:lang w:bidi="ar"/>
              </w:rPr>
              <w:t>Accumulated Deficit</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8876"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9E48877"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6"/>
                <w:szCs w:val="16"/>
                <w:lang w:bidi="ar"/>
              </w:rPr>
              <w:t>Accumulated Other Comprehensive Income/(Loss)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8878"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9E48879"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6"/>
                <w:szCs w:val="16"/>
                <w:lang w:bidi="ar"/>
              </w:rPr>
              <w:t>Dell Technologies</w:t>
            </w:r>
            <w:r>
              <w:rPr>
                <w:rFonts w:ascii="Times New Roman" w:eastAsia="宋体" w:hAnsi="Times New Roman" w:cs="Times New Roman"/>
                <w:b/>
                <w:bCs/>
                <w:color w:val="000000"/>
                <w:kern w:val="0"/>
                <w:sz w:val="16"/>
                <w:szCs w:val="16"/>
                <w:lang w:bidi="ar"/>
              </w:rPr>
              <w:br/>
              <w:t>Stockholders’ Equity (Deficit)</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887A"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9E4887B"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6"/>
                <w:szCs w:val="16"/>
                <w:lang w:bidi="ar"/>
              </w:rPr>
              <w:t>Non-Controlling Interests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887C"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9E4887D"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6"/>
                <w:szCs w:val="16"/>
                <w:lang w:bidi="ar"/>
              </w:rPr>
              <w:t>Total Stockholders</w:t>
            </w:r>
            <w:r>
              <w:rPr>
                <w:rFonts w:ascii="Times New Roman" w:eastAsia="宋体" w:hAnsi="Times New Roman" w:cs="Times New Roman"/>
                <w:color w:val="000000"/>
                <w:kern w:val="0"/>
                <w:sz w:val="16"/>
                <w:szCs w:val="16"/>
                <w:lang w:bidi="ar"/>
              </w:rPr>
              <w:t>’</w:t>
            </w:r>
            <w:r>
              <w:rPr>
                <w:rFonts w:ascii="Times New Roman" w:eastAsia="宋体" w:hAnsi="Times New Roman" w:cs="Times New Roman"/>
                <w:b/>
                <w:bCs/>
                <w:color w:val="000000"/>
                <w:kern w:val="0"/>
                <w:sz w:val="16"/>
                <w:szCs w:val="16"/>
                <w:lang w:bidi="ar"/>
              </w:rPr>
              <w:t xml:space="preserve"> Equity (Deficit)</w:t>
            </w:r>
          </w:p>
        </w:tc>
      </w:tr>
      <w:tr w:rsidR="001E3CAB" w14:paraId="59E488A1"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9E4887F"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16"/>
                <w:szCs w:val="16"/>
                <w:lang w:bidi="ar"/>
              </w:rPr>
              <w:t>Balances as of January 28, 2022</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59E48880"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777 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59E48881"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882"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59E48883"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59E48884"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7,898 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59E48885"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886" w14:textId="77777777" w:rsidR="00D7560A" w:rsidRDefault="00D7560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59E48887"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20 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59E48888"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889"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59E4888A"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59E4888B"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(964)</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59E4888C"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88D"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59E4888E"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59E4888F"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(8,188)</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59E48890"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891"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59E48892"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59E48893"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(431)</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59E48894"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895"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59E48896"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59E48897"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(1,685)</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59E48898"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899"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59E4889A"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59E4889B"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105 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59E4889C"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89D"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59E4889E"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59E4889F"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(1,580)</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59E488A0" w14:textId="77777777" w:rsidR="00D7560A" w:rsidRDefault="00D7560A">
            <w:pPr>
              <w:widowControl/>
              <w:jc w:val="right"/>
              <w:rPr>
                <w:rFonts w:ascii="Times New Roman" w:eastAsia="宋体" w:hAnsi="宋体" w:cs="宋体"/>
                <w:kern w:val="0"/>
                <w:sz w:val="24"/>
              </w:rPr>
            </w:pPr>
          </w:p>
        </w:tc>
      </w:tr>
      <w:tr w:rsidR="00D7560A" w14:paraId="59E488B4" w14:textId="77777777">
        <w:trPr>
          <w:hidden/>
        </w:trPr>
        <w:tc>
          <w:tcPr>
            <w:tcW w:w="0" w:type="auto"/>
            <w:gridSpan w:val="3"/>
            <w:tcBorders>
              <w:top w:val="nil"/>
              <w:left w:val="nil"/>
              <w:bottom w:val="nil"/>
              <w:right w:val="nil"/>
            </w:tcBorders>
            <w:shd w:val="clear" w:color="auto" w:fill="auto"/>
            <w:vAlign w:val="bottom"/>
          </w:tcPr>
          <w:p w14:paraId="59E488A2"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8A3"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8A4"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8A5"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8A6"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8A7"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8A8"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8A9"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8AA"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8AB"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8AC"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8AD"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8AE"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8AF"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8B0"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8B1"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8B2"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8B3" w14:textId="77777777" w:rsidR="00D7560A" w:rsidRDefault="00D7560A">
            <w:pPr>
              <w:widowControl/>
              <w:jc w:val="left"/>
              <w:rPr>
                <w:rFonts w:ascii="Times New Roman" w:eastAsia="宋体" w:hAnsi="宋体" w:cs="宋体"/>
                <w:vanish/>
                <w:kern w:val="0"/>
                <w:sz w:val="24"/>
              </w:rPr>
            </w:pPr>
          </w:p>
        </w:tc>
      </w:tr>
      <w:tr w:rsidR="00D7560A" w14:paraId="59E488D0" w14:textId="77777777">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59E488B5"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Net income</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8B6"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8B7"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8B8"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8B9"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8BA"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8BB"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8BC"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8BD"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8BE"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8BF"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8C0"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8C1"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8C2"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1,583 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8C3"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8C4"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8C5"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8C6"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8C7"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8C8"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1,583 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8C9"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8CA"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8CB"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(8)</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8CC"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8CD"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8CE"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1,575 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8CF" w14:textId="77777777" w:rsidR="00D7560A" w:rsidRDefault="00D7560A">
            <w:pPr>
              <w:widowControl/>
              <w:jc w:val="right"/>
              <w:rPr>
                <w:rFonts w:ascii="Times New Roman" w:eastAsia="宋体" w:hAnsi="宋体" w:cs="宋体"/>
                <w:kern w:val="0"/>
                <w:sz w:val="24"/>
              </w:rPr>
            </w:pPr>
          </w:p>
        </w:tc>
      </w:tr>
      <w:tr w:rsidR="00D7560A" w14:paraId="59E488EC"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9E488D1"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Dividends and dividend equivalents declared ($0.66 per common share)</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88D2"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8D3"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8D4"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88D5"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8D6"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8D7"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88D8"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8D9"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8DA"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88DB"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8DC"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8DD"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88DE"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(501)</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8DF"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8E0"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88E1"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8E2"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8E3"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88E4"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(501)</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8E5"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8E6"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88E7"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8E8"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8E9"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88EA"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(501)</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8EB" w14:textId="77777777" w:rsidR="00D7560A" w:rsidRDefault="00D7560A">
            <w:pPr>
              <w:widowControl/>
              <w:jc w:val="right"/>
              <w:rPr>
                <w:rFonts w:ascii="Times New Roman" w:eastAsia="宋体" w:hAnsi="宋体" w:cs="宋体"/>
                <w:kern w:val="0"/>
                <w:sz w:val="24"/>
              </w:rPr>
            </w:pPr>
          </w:p>
        </w:tc>
      </w:tr>
      <w:tr w:rsidR="00D7560A" w14:paraId="59E48908" w14:textId="77777777">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59E488ED"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Foreign currency translation adjustments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8EE"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8EF"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8F0"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8F1"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8F2"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8F3"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8F4"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8F5"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8F6"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8F7"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8F8"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8F9"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8FA"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8FB"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8FC"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8FD"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(423)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8FE"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8FF"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900"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(423)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901"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902"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903"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904"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905"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906"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(424)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907" w14:textId="77777777" w:rsidR="00D7560A" w:rsidRDefault="00D7560A">
            <w:pPr>
              <w:widowControl/>
              <w:jc w:val="right"/>
              <w:rPr>
                <w:rFonts w:ascii="Times New Roman" w:eastAsia="宋体" w:hAnsi="宋体" w:cs="宋体"/>
                <w:kern w:val="0"/>
                <w:sz w:val="24"/>
              </w:rPr>
            </w:pPr>
          </w:p>
        </w:tc>
      </w:tr>
      <w:tr w:rsidR="00D7560A" w14:paraId="59E48924" w14:textId="77777777">
        <w:tc>
          <w:tcPr>
            <w:tcW w:w="0" w:type="auto"/>
            <w:gridSpan w:val="3"/>
            <w:tcBorders>
              <w:top w:val="nil"/>
              <w:left w:val="nil"/>
              <w:bottom w:val="nil"/>
              <w:right w:val="nil"/>
            </w:tcBorders>
            <w:shd w:val="clear" w:color="auto" w:fill="CCEEFF"/>
            <w:tcMar>
              <w:top w:w="40" w:type="dxa"/>
              <w:left w:w="155" w:type="dxa"/>
              <w:bottom w:w="40" w:type="dxa"/>
              <w:right w:w="20" w:type="dxa"/>
            </w:tcMar>
            <w:vAlign w:val="bottom"/>
          </w:tcPr>
          <w:p w14:paraId="59E48909"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Cash flow hedges, net change</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890A"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90B"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90C"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890D"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90E"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90F"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8910"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911"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912"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8913"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914"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915"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8916"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917"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918"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8919"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136 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91A"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91B"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891C"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136 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91D"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91E"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891F"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920"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921"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8922"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136 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923" w14:textId="77777777" w:rsidR="00D7560A" w:rsidRDefault="00D7560A">
            <w:pPr>
              <w:widowControl/>
              <w:jc w:val="right"/>
              <w:rPr>
                <w:rFonts w:ascii="Times New Roman" w:eastAsia="宋体" w:hAnsi="宋体" w:cs="宋体"/>
                <w:kern w:val="0"/>
                <w:sz w:val="24"/>
              </w:rPr>
            </w:pPr>
          </w:p>
        </w:tc>
      </w:tr>
      <w:tr w:rsidR="00D7560A" w14:paraId="59E48940" w14:textId="77777777">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59E48925"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Pension and other post-retirement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926"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927"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928"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929"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92A"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92B"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92C"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92D"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92E"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92F"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930"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931"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932"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933"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934"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935"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13 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936"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937"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938"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13 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939"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93A"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93B"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93C"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93D"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93E"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13 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93F" w14:textId="77777777" w:rsidR="00D7560A" w:rsidRDefault="00D7560A">
            <w:pPr>
              <w:widowControl/>
              <w:jc w:val="right"/>
              <w:rPr>
                <w:rFonts w:ascii="Times New Roman" w:eastAsia="宋体" w:hAnsi="宋体" w:cs="宋体"/>
                <w:kern w:val="0"/>
                <w:sz w:val="24"/>
              </w:rPr>
            </w:pPr>
          </w:p>
        </w:tc>
      </w:tr>
      <w:tr w:rsidR="00D7560A" w14:paraId="59E4895C" w14:textId="77777777">
        <w:tc>
          <w:tcPr>
            <w:tcW w:w="0" w:type="auto"/>
            <w:gridSpan w:val="3"/>
            <w:tcBorders>
              <w:top w:val="nil"/>
              <w:left w:val="nil"/>
              <w:bottom w:val="nil"/>
              <w:right w:val="nil"/>
            </w:tcBorders>
            <w:shd w:val="clear" w:color="auto" w:fill="CCEEFF"/>
            <w:tcMar>
              <w:top w:w="40" w:type="dxa"/>
              <w:left w:w="155" w:type="dxa"/>
              <w:bottom w:w="40" w:type="dxa"/>
              <w:right w:w="20" w:type="dxa"/>
            </w:tcMar>
            <w:vAlign w:val="bottom"/>
          </w:tcPr>
          <w:p w14:paraId="59E48941"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Issuance of common stock</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8942"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19 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943"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944"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8945"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(344)</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946"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947"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8948"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949"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94A"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894B"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94C"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94D"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894E"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94F"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950"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8951"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952"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953"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8954"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(344)</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955"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956"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8957"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958"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959"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895A"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(344)</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95B" w14:textId="77777777" w:rsidR="00D7560A" w:rsidRDefault="00D7560A">
            <w:pPr>
              <w:widowControl/>
              <w:jc w:val="right"/>
              <w:rPr>
                <w:rFonts w:ascii="Times New Roman" w:eastAsia="宋体" w:hAnsi="宋体" w:cs="宋体"/>
                <w:kern w:val="0"/>
                <w:sz w:val="24"/>
              </w:rPr>
            </w:pPr>
          </w:p>
        </w:tc>
      </w:tr>
      <w:tr w:rsidR="00D7560A" w14:paraId="59E48978" w14:textId="77777777">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59E4895D"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Stock-based compensation expense</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95E"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95F"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960"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961"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451 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962"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963"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964"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965"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966"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967"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968"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969"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96A"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96B"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96C"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96D"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96E"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96F"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970"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451 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971"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972"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973"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17 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974"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975"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976"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468 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977" w14:textId="77777777" w:rsidR="00D7560A" w:rsidRDefault="00D7560A">
            <w:pPr>
              <w:widowControl/>
              <w:jc w:val="right"/>
              <w:rPr>
                <w:rFonts w:ascii="Times New Roman" w:eastAsia="宋体" w:hAnsi="宋体" w:cs="宋体"/>
                <w:kern w:val="0"/>
                <w:sz w:val="24"/>
              </w:rPr>
            </w:pPr>
          </w:p>
        </w:tc>
      </w:tr>
      <w:tr w:rsidR="00D7560A" w14:paraId="59E48994" w14:textId="77777777">
        <w:tc>
          <w:tcPr>
            <w:tcW w:w="0" w:type="auto"/>
            <w:gridSpan w:val="3"/>
            <w:tcBorders>
              <w:top w:val="nil"/>
              <w:left w:val="nil"/>
              <w:bottom w:val="nil"/>
              <w:right w:val="nil"/>
            </w:tcBorders>
            <w:shd w:val="clear" w:color="auto" w:fill="CCEEFF"/>
            <w:tcMar>
              <w:top w:w="40" w:type="dxa"/>
              <w:left w:w="155" w:type="dxa"/>
              <w:bottom w:w="40" w:type="dxa"/>
              <w:right w:w="20" w:type="dxa"/>
            </w:tcMar>
            <w:vAlign w:val="bottom"/>
          </w:tcPr>
          <w:p w14:paraId="59E48979"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Treasury stock repurchases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897A"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97B"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97C"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897D"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97E"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97F"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8980"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42 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981"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982"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8983"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(2,090)</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984"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985"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8986"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987"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988"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8989"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98A"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98B"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898C"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(2,090)</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98D"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98E"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898F"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990"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991"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8992"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(2,090)</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993" w14:textId="77777777" w:rsidR="00D7560A" w:rsidRDefault="00D7560A">
            <w:pPr>
              <w:widowControl/>
              <w:jc w:val="right"/>
              <w:rPr>
                <w:rFonts w:ascii="Times New Roman" w:eastAsia="宋体" w:hAnsi="宋体" w:cs="宋体"/>
                <w:kern w:val="0"/>
                <w:sz w:val="24"/>
              </w:rPr>
            </w:pPr>
          </w:p>
        </w:tc>
      </w:tr>
      <w:tr w:rsidR="00D7560A" w14:paraId="59E489A7" w14:textId="77777777">
        <w:trPr>
          <w:hidden/>
        </w:trPr>
        <w:tc>
          <w:tcPr>
            <w:tcW w:w="0" w:type="auto"/>
            <w:gridSpan w:val="3"/>
            <w:tcBorders>
              <w:top w:val="nil"/>
              <w:left w:val="nil"/>
              <w:bottom w:val="nil"/>
              <w:right w:val="nil"/>
            </w:tcBorders>
            <w:shd w:val="clear" w:color="auto" w:fill="auto"/>
            <w:vAlign w:val="bottom"/>
          </w:tcPr>
          <w:p w14:paraId="59E48995"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996"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997"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998"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999"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99A"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99B"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99C"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99D"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99E"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99F"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9A0"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9A1"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9A2"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9A3"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9A4"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9A5"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9A6" w14:textId="77777777" w:rsidR="00D7560A" w:rsidRDefault="00D7560A">
            <w:pPr>
              <w:widowControl/>
              <w:jc w:val="left"/>
              <w:rPr>
                <w:rFonts w:ascii="Times New Roman" w:eastAsia="宋体" w:hAnsi="宋体" w:cs="宋体"/>
                <w:vanish/>
                <w:kern w:val="0"/>
                <w:sz w:val="24"/>
              </w:rPr>
            </w:pPr>
          </w:p>
        </w:tc>
      </w:tr>
      <w:tr w:rsidR="00D7560A" w14:paraId="59E489C3" w14:textId="77777777">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59E489A8"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Impact from equity transactions of non-controlling interests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9A9"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9AA"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9AB"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9AC"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9AD"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9AE"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9AF"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9B0"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9B1"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9B2"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9B3"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9B4"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9B5"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9B6"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9B7"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9B8"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9B9"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9BA"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9BB"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9BC"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9BD"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9BE"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(8)</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9BF"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9C0"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9C1"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(8)</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9C2" w14:textId="77777777" w:rsidR="00D7560A" w:rsidRDefault="00D7560A">
            <w:pPr>
              <w:widowControl/>
              <w:jc w:val="right"/>
              <w:rPr>
                <w:rFonts w:ascii="Times New Roman" w:eastAsia="宋体" w:hAnsi="宋体" w:cs="宋体"/>
                <w:kern w:val="0"/>
                <w:sz w:val="24"/>
              </w:rPr>
            </w:pPr>
          </w:p>
        </w:tc>
      </w:tr>
      <w:tr w:rsidR="00D7560A" w14:paraId="59E489D6" w14:textId="77777777">
        <w:trPr>
          <w:hidden/>
        </w:trPr>
        <w:tc>
          <w:tcPr>
            <w:tcW w:w="0" w:type="auto"/>
            <w:gridSpan w:val="3"/>
            <w:tcBorders>
              <w:top w:val="nil"/>
              <w:left w:val="nil"/>
              <w:bottom w:val="nil"/>
              <w:right w:val="nil"/>
            </w:tcBorders>
            <w:shd w:val="clear" w:color="auto" w:fill="auto"/>
            <w:vAlign w:val="bottom"/>
          </w:tcPr>
          <w:p w14:paraId="59E489C4"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9C5"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9C6"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9C7"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9C8"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9C9"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9CA"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9CB"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9CC"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9CD"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9CE"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9CF"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9D0"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9D1"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9D2"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9D3"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9D4"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9D5" w14:textId="77777777" w:rsidR="00D7560A" w:rsidRDefault="00D7560A">
            <w:pPr>
              <w:widowControl/>
              <w:jc w:val="left"/>
              <w:rPr>
                <w:rFonts w:ascii="Times New Roman" w:eastAsia="宋体" w:hAnsi="宋体" w:cs="宋体"/>
                <w:vanish/>
                <w:kern w:val="0"/>
                <w:sz w:val="24"/>
              </w:rPr>
            </w:pPr>
          </w:p>
        </w:tc>
      </w:tr>
      <w:tr w:rsidR="001E3CAB" w14:paraId="59E489F9"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9E489D7"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16"/>
                <w:szCs w:val="16"/>
                <w:lang w:bidi="ar"/>
              </w:rPr>
              <w:t>Balances as of July 29, 2022</w:t>
            </w: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59E489D8"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796 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59E489D9"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9DA"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59E489DB"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59E489DC"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8,005 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59E489DD"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9DE" w14:textId="77777777" w:rsidR="00D7560A" w:rsidRDefault="00D7560A">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59E489DF"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62 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59E489E0"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9E1"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59E489E2"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59E489E3"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(3,054)</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59E489E4"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9E5"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59E489E6"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59E489E7"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(7,106)</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59E489E8"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9E9"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59E489EA"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59E489EB"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(705)</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59E489EC"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9ED"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59E489EE"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59E489EF"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(2,860)</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59E489F0"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9F1"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59E489F2"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59E489F3"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105 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59E489F4"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9F5"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59E489F6"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59E489F7"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(2,755)</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59E489F8" w14:textId="77777777" w:rsidR="00D7560A" w:rsidRDefault="00D7560A">
            <w:pPr>
              <w:widowControl/>
              <w:jc w:val="right"/>
              <w:rPr>
                <w:rFonts w:ascii="Times New Roman" w:eastAsia="宋体" w:hAnsi="宋体" w:cs="宋体"/>
                <w:kern w:val="0"/>
                <w:sz w:val="24"/>
              </w:rPr>
            </w:pPr>
          </w:p>
        </w:tc>
      </w:tr>
    </w:tbl>
    <w:p w14:paraId="59E489FA" w14:textId="77777777" w:rsidR="00D7560A" w:rsidRDefault="001E3CAB">
      <w:pPr>
        <w:widowControl/>
        <w:spacing w:after="60"/>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The accompanying</w:t>
      </w:r>
      <w:r>
        <w:rPr>
          <w:rFonts w:ascii="Times New Roman" w:eastAsia="宋体" w:hAnsi="Times New Roman" w:cs="Times New Roman"/>
          <w:color w:val="000000"/>
          <w:kern w:val="0"/>
          <w:sz w:val="20"/>
          <w:szCs w:val="20"/>
          <w:lang w:bidi="ar"/>
        </w:rPr>
        <w:t xml:space="preserve"> notes are an integral part of these Condensed Consolidated Financial Statements.</w:t>
      </w:r>
    </w:p>
    <w:p w14:paraId="59E489FB"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89FC"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10</w:t>
      </w:r>
    </w:p>
    <w:p w14:paraId="59E489FD"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89FE" w14:textId="77777777" w:rsidR="00D7560A" w:rsidRDefault="001E3CAB">
      <w:pPr>
        <w:widowControl/>
        <w:jc w:val="center"/>
      </w:pPr>
      <w:r>
        <w:rPr>
          <w:rFonts w:ascii="宋体" w:eastAsia="宋体" w:hAnsi="宋体" w:cs="宋体"/>
          <w:kern w:val="0"/>
          <w:sz w:val="24"/>
        </w:rPr>
        <w:pict w14:anchorId="59E4C7D5">
          <v:rect id="_x0000_i1034" style="width:6in;height:1.5pt" o:hralign="center" o:hrstd="t" o:hr="t" fillcolor="#a0a0a0" stroked="f"/>
        </w:pict>
      </w:r>
    </w:p>
    <w:p w14:paraId="59E489FF" w14:textId="77777777" w:rsidR="00D7560A" w:rsidRDefault="001E3CAB">
      <w:pPr>
        <w:widowControl/>
        <w:jc w:val="left"/>
        <w:rPr>
          <w:rFonts w:ascii="宋体" w:eastAsia="宋体" w:hAnsi="宋体" w:cs="宋体"/>
          <w:kern w:val="0"/>
          <w:sz w:val="24"/>
        </w:rPr>
      </w:pPr>
      <w:hyperlink w:anchor="if933dd1d5d004d2495dd7029e3ecad00_13" w:history="1">
        <w:r>
          <w:rPr>
            <w:rStyle w:val="a4"/>
            <w:rFonts w:ascii="Times New Roman" w:eastAsia="宋体" w:hAnsi="Times New Roman" w:cs="Times New Roman"/>
            <w:sz w:val="20"/>
            <w:szCs w:val="20"/>
          </w:rPr>
          <w:t>Table of Contents</w:t>
        </w:r>
      </w:hyperlink>
    </w:p>
    <w:p w14:paraId="59E48A00" w14:textId="77777777" w:rsidR="00D7560A" w:rsidRDefault="001E3CAB">
      <w:pPr>
        <w:widowControl/>
        <w:spacing w:after="120"/>
        <w:jc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DELL TECHNOLOGIES INC.</w:t>
      </w:r>
    </w:p>
    <w:p w14:paraId="59E48A01" w14:textId="77777777" w:rsidR="00D7560A" w:rsidRDefault="001E3CAB">
      <w:pPr>
        <w:widowControl/>
        <w:spacing w:after="60"/>
        <w:jc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 xml:space="preserve">CONDENSED CONSOLIDATED STATEMENTS OF STOCKHOLDERS' EQUITY </w:t>
      </w:r>
      <w:r>
        <w:rPr>
          <w:rFonts w:ascii="Times New Roman" w:eastAsia="宋体" w:hAnsi="Times New Roman" w:cs="Times New Roman"/>
          <w:b/>
          <w:bCs/>
          <w:color w:val="000000"/>
          <w:kern w:val="0"/>
          <w:sz w:val="20"/>
          <w:szCs w:val="20"/>
          <w:lang w:bidi="ar"/>
        </w:rPr>
        <w:t>(DEFICIT)</w:t>
      </w:r>
    </w:p>
    <w:p w14:paraId="59E48A02"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shd w:val="clear" w:color="auto" w:fill="FFFFFF"/>
          <w:lang w:bidi="ar"/>
        </w:rPr>
        <w:t>(continued; in millions; unaudited</w:t>
      </w:r>
      <w:r>
        <w:rPr>
          <w:rFonts w:ascii="Times New Roman" w:eastAsia="宋体" w:hAnsi="Times New Roman" w:cs="Times New Roman"/>
          <w:color w:val="000000"/>
          <w:kern w:val="0"/>
          <w:sz w:val="20"/>
          <w:szCs w:val="20"/>
          <w:lang w:bidi="ar"/>
        </w:rPr>
        <w:t>)</w:t>
      </w:r>
    </w:p>
    <w:p w14:paraId="59E48A03"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tbl>
      <w:tblPr>
        <w:tblW w:w="5000" w:type="pct"/>
        <w:jc w:val="center"/>
        <w:tblCellMar>
          <w:top w:w="15" w:type="dxa"/>
          <w:left w:w="15" w:type="dxa"/>
          <w:bottom w:w="15" w:type="dxa"/>
          <w:right w:w="15" w:type="dxa"/>
        </w:tblCellMar>
        <w:tblLook w:val="04A0" w:firstRow="1" w:lastRow="0" w:firstColumn="1" w:lastColumn="0" w:noHBand="0" w:noVBand="1"/>
      </w:tblPr>
      <w:tblGrid>
        <w:gridCol w:w="78"/>
        <w:gridCol w:w="903"/>
        <w:gridCol w:w="36"/>
        <w:gridCol w:w="72"/>
        <w:gridCol w:w="349"/>
        <w:gridCol w:w="35"/>
        <w:gridCol w:w="37"/>
        <w:gridCol w:w="35"/>
        <w:gridCol w:w="35"/>
        <w:gridCol w:w="89"/>
        <w:gridCol w:w="401"/>
        <w:gridCol w:w="35"/>
        <w:gridCol w:w="37"/>
        <w:gridCol w:w="35"/>
        <w:gridCol w:w="35"/>
        <w:gridCol w:w="72"/>
        <w:gridCol w:w="349"/>
        <w:gridCol w:w="35"/>
        <w:gridCol w:w="37"/>
        <w:gridCol w:w="35"/>
        <w:gridCol w:w="35"/>
        <w:gridCol w:w="90"/>
        <w:gridCol w:w="416"/>
        <w:gridCol w:w="36"/>
        <w:gridCol w:w="37"/>
        <w:gridCol w:w="35"/>
        <w:gridCol w:w="35"/>
        <w:gridCol w:w="103"/>
        <w:gridCol w:w="680"/>
        <w:gridCol w:w="35"/>
        <w:gridCol w:w="37"/>
        <w:gridCol w:w="35"/>
        <w:gridCol w:w="35"/>
        <w:gridCol w:w="94"/>
        <w:gridCol w:w="823"/>
        <w:gridCol w:w="35"/>
        <w:gridCol w:w="37"/>
        <w:gridCol w:w="35"/>
        <w:gridCol w:w="35"/>
        <w:gridCol w:w="90"/>
        <w:gridCol w:w="731"/>
        <w:gridCol w:w="35"/>
        <w:gridCol w:w="37"/>
        <w:gridCol w:w="35"/>
        <w:gridCol w:w="35"/>
        <w:gridCol w:w="99"/>
        <w:gridCol w:w="868"/>
        <w:gridCol w:w="35"/>
        <w:gridCol w:w="37"/>
        <w:gridCol w:w="35"/>
        <w:gridCol w:w="35"/>
        <w:gridCol w:w="90"/>
        <w:gridCol w:w="731"/>
        <w:gridCol w:w="35"/>
      </w:tblGrid>
      <w:tr w:rsidR="00D7560A" w14:paraId="59E48A3A" w14:textId="77777777">
        <w:trPr>
          <w:jc w:val="center"/>
        </w:trPr>
        <w:tc>
          <w:tcPr>
            <w:tcW w:w="50" w:type="pct"/>
            <w:tcBorders>
              <w:top w:val="nil"/>
              <w:left w:val="nil"/>
              <w:bottom w:val="nil"/>
              <w:right w:val="nil"/>
            </w:tcBorders>
            <w:shd w:val="clear" w:color="auto" w:fill="auto"/>
            <w:vAlign w:val="bottom"/>
          </w:tcPr>
          <w:p w14:paraId="59E48A04" w14:textId="77777777" w:rsidR="00D7560A" w:rsidRDefault="00D7560A">
            <w:pPr>
              <w:widowControl/>
              <w:jc w:val="left"/>
              <w:rPr>
                <w:rFonts w:ascii="Times New Roman" w:eastAsia="宋体" w:hAnsi="宋体" w:cs="宋体"/>
                <w:kern w:val="0"/>
                <w:sz w:val="24"/>
              </w:rPr>
            </w:pPr>
          </w:p>
        </w:tc>
        <w:tc>
          <w:tcPr>
            <w:tcW w:w="966" w:type="pct"/>
            <w:tcBorders>
              <w:top w:val="nil"/>
              <w:left w:val="nil"/>
              <w:bottom w:val="nil"/>
              <w:right w:val="nil"/>
            </w:tcBorders>
            <w:shd w:val="clear" w:color="auto" w:fill="auto"/>
            <w:vAlign w:val="bottom"/>
          </w:tcPr>
          <w:p w14:paraId="59E48A05"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8A06"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8A07" w14:textId="77777777" w:rsidR="00D7560A" w:rsidRDefault="00D7560A">
            <w:pPr>
              <w:widowControl/>
              <w:jc w:val="left"/>
              <w:rPr>
                <w:rFonts w:ascii="Times New Roman" w:eastAsia="宋体" w:hAnsi="宋体" w:cs="宋体"/>
                <w:kern w:val="0"/>
                <w:sz w:val="24"/>
              </w:rPr>
            </w:pPr>
          </w:p>
        </w:tc>
        <w:tc>
          <w:tcPr>
            <w:tcW w:w="264" w:type="pct"/>
            <w:tcBorders>
              <w:top w:val="nil"/>
              <w:left w:val="nil"/>
              <w:bottom w:val="nil"/>
              <w:right w:val="nil"/>
            </w:tcBorders>
            <w:shd w:val="clear" w:color="auto" w:fill="auto"/>
            <w:vAlign w:val="bottom"/>
          </w:tcPr>
          <w:p w14:paraId="59E48A08"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8A09"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8A0A" w14:textId="77777777" w:rsidR="00D7560A" w:rsidRDefault="00D7560A">
            <w:pPr>
              <w:widowControl/>
              <w:jc w:val="left"/>
              <w:rPr>
                <w:rFonts w:ascii="Times New Roman" w:eastAsia="宋体" w:hAnsi="宋体" w:cs="宋体"/>
                <w:kern w:val="0"/>
                <w:sz w:val="24"/>
              </w:rPr>
            </w:pPr>
          </w:p>
        </w:tc>
        <w:tc>
          <w:tcPr>
            <w:tcW w:w="11" w:type="pct"/>
            <w:tcBorders>
              <w:top w:val="nil"/>
              <w:left w:val="nil"/>
              <w:bottom w:val="nil"/>
              <w:right w:val="nil"/>
            </w:tcBorders>
            <w:shd w:val="clear" w:color="auto" w:fill="auto"/>
            <w:vAlign w:val="bottom"/>
          </w:tcPr>
          <w:p w14:paraId="59E48A0B"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8A0C"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8A0D" w14:textId="77777777" w:rsidR="00D7560A" w:rsidRDefault="00D7560A">
            <w:pPr>
              <w:widowControl/>
              <w:jc w:val="left"/>
              <w:rPr>
                <w:rFonts w:ascii="Times New Roman" w:eastAsia="宋体" w:hAnsi="宋体" w:cs="宋体"/>
                <w:kern w:val="0"/>
                <w:sz w:val="24"/>
              </w:rPr>
            </w:pPr>
          </w:p>
        </w:tc>
        <w:tc>
          <w:tcPr>
            <w:tcW w:w="264" w:type="pct"/>
            <w:tcBorders>
              <w:top w:val="nil"/>
              <w:left w:val="nil"/>
              <w:bottom w:val="nil"/>
              <w:right w:val="nil"/>
            </w:tcBorders>
            <w:shd w:val="clear" w:color="auto" w:fill="auto"/>
            <w:vAlign w:val="bottom"/>
          </w:tcPr>
          <w:p w14:paraId="59E48A0E"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8A0F"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8A10" w14:textId="77777777" w:rsidR="00D7560A" w:rsidRDefault="00D7560A">
            <w:pPr>
              <w:widowControl/>
              <w:jc w:val="left"/>
              <w:rPr>
                <w:rFonts w:ascii="Times New Roman" w:eastAsia="宋体" w:hAnsi="宋体" w:cs="宋体"/>
                <w:kern w:val="0"/>
                <w:sz w:val="24"/>
              </w:rPr>
            </w:pPr>
          </w:p>
        </w:tc>
        <w:tc>
          <w:tcPr>
            <w:tcW w:w="11" w:type="pct"/>
            <w:tcBorders>
              <w:top w:val="nil"/>
              <w:left w:val="nil"/>
              <w:bottom w:val="nil"/>
              <w:right w:val="nil"/>
            </w:tcBorders>
            <w:shd w:val="clear" w:color="auto" w:fill="auto"/>
            <w:vAlign w:val="bottom"/>
          </w:tcPr>
          <w:p w14:paraId="59E48A11"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8A12"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8A13" w14:textId="77777777" w:rsidR="00D7560A" w:rsidRDefault="00D7560A">
            <w:pPr>
              <w:widowControl/>
              <w:jc w:val="left"/>
              <w:rPr>
                <w:rFonts w:ascii="Times New Roman" w:eastAsia="宋体" w:hAnsi="宋体" w:cs="宋体"/>
                <w:kern w:val="0"/>
                <w:sz w:val="24"/>
              </w:rPr>
            </w:pPr>
          </w:p>
        </w:tc>
        <w:tc>
          <w:tcPr>
            <w:tcW w:w="264" w:type="pct"/>
            <w:tcBorders>
              <w:top w:val="nil"/>
              <w:left w:val="nil"/>
              <w:bottom w:val="nil"/>
              <w:right w:val="nil"/>
            </w:tcBorders>
            <w:shd w:val="clear" w:color="auto" w:fill="auto"/>
            <w:vAlign w:val="bottom"/>
          </w:tcPr>
          <w:p w14:paraId="59E48A14"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8A15"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8A16" w14:textId="77777777" w:rsidR="00D7560A" w:rsidRDefault="00D7560A">
            <w:pPr>
              <w:widowControl/>
              <w:jc w:val="left"/>
              <w:rPr>
                <w:rFonts w:ascii="Times New Roman" w:eastAsia="宋体" w:hAnsi="宋体" w:cs="宋体"/>
                <w:kern w:val="0"/>
                <w:sz w:val="24"/>
              </w:rPr>
            </w:pPr>
          </w:p>
        </w:tc>
        <w:tc>
          <w:tcPr>
            <w:tcW w:w="11" w:type="pct"/>
            <w:tcBorders>
              <w:top w:val="nil"/>
              <w:left w:val="nil"/>
              <w:bottom w:val="nil"/>
              <w:right w:val="nil"/>
            </w:tcBorders>
            <w:shd w:val="clear" w:color="auto" w:fill="auto"/>
            <w:vAlign w:val="bottom"/>
          </w:tcPr>
          <w:p w14:paraId="59E48A17"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8A18"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8A19" w14:textId="77777777" w:rsidR="00D7560A" w:rsidRDefault="00D7560A">
            <w:pPr>
              <w:widowControl/>
              <w:jc w:val="left"/>
              <w:rPr>
                <w:rFonts w:ascii="Times New Roman" w:eastAsia="宋体" w:hAnsi="宋体" w:cs="宋体"/>
                <w:kern w:val="0"/>
                <w:sz w:val="24"/>
              </w:rPr>
            </w:pPr>
          </w:p>
        </w:tc>
        <w:tc>
          <w:tcPr>
            <w:tcW w:w="264" w:type="pct"/>
            <w:tcBorders>
              <w:top w:val="nil"/>
              <w:left w:val="nil"/>
              <w:bottom w:val="nil"/>
              <w:right w:val="nil"/>
            </w:tcBorders>
            <w:shd w:val="clear" w:color="auto" w:fill="auto"/>
            <w:vAlign w:val="bottom"/>
          </w:tcPr>
          <w:p w14:paraId="59E48A1A"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8A1B"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8A1C" w14:textId="77777777" w:rsidR="00D7560A" w:rsidRDefault="00D7560A">
            <w:pPr>
              <w:widowControl/>
              <w:jc w:val="left"/>
              <w:rPr>
                <w:rFonts w:ascii="Times New Roman" w:eastAsia="宋体" w:hAnsi="宋体" w:cs="宋体"/>
                <w:kern w:val="0"/>
                <w:sz w:val="24"/>
              </w:rPr>
            </w:pPr>
          </w:p>
        </w:tc>
        <w:tc>
          <w:tcPr>
            <w:tcW w:w="11" w:type="pct"/>
            <w:tcBorders>
              <w:top w:val="nil"/>
              <w:left w:val="nil"/>
              <w:bottom w:val="nil"/>
              <w:right w:val="nil"/>
            </w:tcBorders>
            <w:shd w:val="clear" w:color="auto" w:fill="auto"/>
            <w:vAlign w:val="bottom"/>
          </w:tcPr>
          <w:p w14:paraId="59E48A1D"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8A1E"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8A1F" w14:textId="77777777" w:rsidR="00D7560A" w:rsidRDefault="00D7560A">
            <w:pPr>
              <w:widowControl/>
              <w:jc w:val="left"/>
              <w:rPr>
                <w:rFonts w:ascii="Times New Roman" w:eastAsia="宋体" w:hAnsi="宋体" w:cs="宋体"/>
                <w:kern w:val="0"/>
                <w:sz w:val="24"/>
              </w:rPr>
            </w:pPr>
          </w:p>
        </w:tc>
        <w:tc>
          <w:tcPr>
            <w:tcW w:w="350" w:type="pct"/>
            <w:tcBorders>
              <w:top w:val="nil"/>
              <w:left w:val="nil"/>
              <w:bottom w:val="nil"/>
              <w:right w:val="nil"/>
            </w:tcBorders>
            <w:shd w:val="clear" w:color="auto" w:fill="auto"/>
            <w:vAlign w:val="bottom"/>
          </w:tcPr>
          <w:p w14:paraId="59E48A20"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8A21"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8A22" w14:textId="77777777" w:rsidR="00D7560A" w:rsidRDefault="00D7560A">
            <w:pPr>
              <w:widowControl/>
              <w:jc w:val="left"/>
              <w:rPr>
                <w:rFonts w:ascii="Times New Roman" w:eastAsia="宋体" w:hAnsi="宋体" w:cs="宋体"/>
                <w:kern w:val="0"/>
                <w:sz w:val="24"/>
              </w:rPr>
            </w:pPr>
          </w:p>
        </w:tc>
        <w:tc>
          <w:tcPr>
            <w:tcW w:w="11" w:type="pct"/>
            <w:tcBorders>
              <w:top w:val="nil"/>
              <w:left w:val="nil"/>
              <w:bottom w:val="nil"/>
              <w:right w:val="nil"/>
            </w:tcBorders>
            <w:shd w:val="clear" w:color="auto" w:fill="auto"/>
            <w:vAlign w:val="bottom"/>
          </w:tcPr>
          <w:p w14:paraId="59E48A23"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8A24"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8A25" w14:textId="77777777" w:rsidR="00D7560A" w:rsidRDefault="00D7560A">
            <w:pPr>
              <w:widowControl/>
              <w:jc w:val="left"/>
              <w:rPr>
                <w:rFonts w:ascii="Times New Roman" w:eastAsia="宋体" w:hAnsi="宋体" w:cs="宋体"/>
                <w:kern w:val="0"/>
                <w:sz w:val="24"/>
              </w:rPr>
            </w:pPr>
          </w:p>
        </w:tc>
        <w:tc>
          <w:tcPr>
            <w:tcW w:w="475" w:type="pct"/>
            <w:tcBorders>
              <w:top w:val="nil"/>
              <w:left w:val="nil"/>
              <w:bottom w:val="nil"/>
              <w:right w:val="nil"/>
            </w:tcBorders>
            <w:shd w:val="clear" w:color="auto" w:fill="auto"/>
            <w:vAlign w:val="bottom"/>
          </w:tcPr>
          <w:p w14:paraId="59E48A26"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8A27"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8A28" w14:textId="77777777" w:rsidR="00D7560A" w:rsidRDefault="00D7560A">
            <w:pPr>
              <w:widowControl/>
              <w:jc w:val="left"/>
              <w:rPr>
                <w:rFonts w:ascii="Times New Roman" w:eastAsia="宋体" w:hAnsi="宋体" w:cs="宋体"/>
                <w:kern w:val="0"/>
                <w:sz w:val="24"/>
              </w:rPr>
            </w:pPr>
          </w:p>
        </w:tc>
        <w:tc>
          <w:tcPr>
            <w:tcW w:w="11" w:type="pct"/>
            <w:tcBorders>
              <w:top w:val="nil"/>
              <w:left w:val="nil"/>
              <w:bottom w:val="nil"/>
              <w:right w:val="nil"/>
            </w:tcBorders>
            <w:shd w:val="clear" w:color="auto" w:fill="auto"/>
            <w:vAlign w:val="bottom"/>
          </w:tcPr>
          <w:p w14:paraId="59E48A29"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8A2A"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8A2B" w14:textId="77777777" w:rsidR="00D7560A" w:rsidRDefault="00D7560A">
            <w:pPr>
              <w:widowControl/>
              <w:jc w:val="left"/>
              <w:rPr>
                <w:rFonts w:ascii="Times New Roman" w:eastAsia="宋体" w:hAnsi="宋体" w:cs="宋体"/>
                <w:kern w:val="0"/>
                <w:sz w:val="24"/>
              </w:rPr>
            </w:pPr>
          </w:p>
        </w:tc>
        <w:tc>
          <w:tcPr>
            <w:tcW w:w="475" w:type="pct"/>
            <w:tcBorders>
              <w:top w:val="nil"/>
              <w:left w:val="nil"/>
              <w:bottom w:val="nil"/>
              <w:right w:val="nil"/>
            </w:tcBorders>
            <w:shd w:val="clear" w:color="auto" w:fill="auto"/>
            <w:vAlign w:val="bottom"/>
          </w:tcPr>
          <w:p w14:paraId="59E48A2C"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8A2D"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8A2E" w14:textId="77777777" w:rsidR="00D7560A" w:rsidRDefault="00D7560A">
            <w:pPr>
              <w:widowControl/>
              <w:jc w:val="left"/>
              <w:rPr>
                <w:rFonts w:ascii="Times New Roman" w:eastAsia="宋体" w:hAnsi="宋体" w:cs="宋体"/>
                <w:kern w:val="0"/>
                <w:sz w:val="24"/>
              </w:rPr>
            </w:pPr>
          </w:p>
        </w:tc>
        <w:tc>
          <w:tcPr>
            <w:tcW w:w="11" w:type="pct"/>
            <w:tcBorders>
              <w:top w:val="nil"/>
              <w:left w:val="nil"/>
              <w:bottom w:val="nil"/>
              <w:right w:val="nil"/>
            </w:tcBorders>
            <w:shd w:val="clear" w:color="auto" w:fill="auto"/>
            <w:vAlign w:val="bottom"/>
          </w:tcPr>
          <w:p w14:paraId="59E48A2F"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8A30"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8A31" w14:textId="77777777" w:rsidR="00D7560A" w:rsidRDefault="00D7560A">
            <w:pPr>
              <w:widowControl/>
              <w:jc w:val="left"/>
              <w:rPr>
                <w:rFonts w:ascii="Times New Roman" w:eastAsia="宋体" w:hAnsi="宋体" w:cs="宋体"/>
                <w:kern w:val="0"/>
                <w:sz w:val="24"/>
              </w:rPr>
            </w:pPr>
          </w:p>
        </w:tc>
        <w:tc>
          <w:tcPr>
            <w:tcW w:w="475" w:type="pct"/>
            <w:tcBorders>
              <w:top w:val="nil"/>
              <w:left w:val="nil"/>
              <w:bottom w:val="nil"/>
              <w:right w:val="nil"/>
            </w:tcBorders>
            <w:shd w:val="clear" w:color="auto" w:fill="auto"/>
            <w:vAlign w:val="bottom"/>
          </w:tcPr>
          <w:p w14:paraId="59E48A32"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8A33"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8A34" w14:textId="77777777" w:rsidR="00D7560A" w:rsidRDefault="00D7560A">
            <w:pPr>
              <w:widowControl/>
              <w:jc w:val="left"/>
              <w:rPr>
                <w:rFonts w:ascii="Times New Roman" w:eastAsia="宋体" w:hAnsi="宋体" w:cs="宋体"/>
                <w:kern w:val="0"/>
                <w:sz w:val="24"/>
              </w:rPr>
            </w:pPr>
          </w:p>
        </w:tc>
        <w:tc>
          <w:tcPr>
            <w:tcW w:w="11" w:type="pct"/>
            <w:tcBorders>
              <w:top w:val="nil"/>
              <w:left w:val="nil"/>
              <w:bottom w:val="nil"/>
              <w:right w:val="nil"/>
            </w:tcBorders>
            <w:shd w:val="clear" w:color="auto" w:fill="auto"/>
            <w:vAlign w:val="bottom"/>
          </w:tcPr>
          <w:p w14:paraId="59E48A35"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8A36"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8A37" w14:textId="77777777" w:rsidR="00D7560A" w:rsidRDefault="00D7560A">
            <w:pPr>
              <w:widowControl/>
              <w:jc w:val="left"/>
              <w:rPr>
                <w:rFonts w:ascii="Times New Roman" w:eastAsia="宋体" w:hAnsi="宋体" w:cs="宋体"/>
                <w:kern w:val="0"/>
                <w:sz w:val="24"/>
              </w:rPr>
            </w:pPr>
          </w:p>
        </w:tc>
        <w:tc>
          <w:tcPr>
            <w:tcW w:w="475" w:type="pct"/>
            <w:tcBorders>
              <w:top w:val="nil"/>
              <w:left w:val="nil"/>
              <w:bottom w:val="nil"/>
              <w:right w:val="nil"/>
            </w:tcBorders>
            <w:shd w:val="clear" w:color="auto" w:fill="auto"/>
            <w:vAlign w:val="bottom"/>
          </w:tcPr>
          <w:p w14:paraId="59E48A38"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8A39" w14:textId="77777777" w:rsidR="00D7560A" w:rsidRDefault="00D7560A">
            <w:pPr>
              <w:widowControl/>
              <w:jc w:val="left"/>
              <w:rPr>
                <w:rFonts w:ascii="Times New Roman" w:eastAsia="宋体" w:hAnsi="宋体" w:cs="宋体"/>
                <w:kern w:val="0"/>
                <w:sz w:val="24"/>
              </w:rPr>
            </w:pPr>
          </w:p>
        </w:tc>
      </w:tr>
      <w:tr w:rsidR="00D7560A" w14:paraId="59E48A49"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8A3B" w14:textId="77777777" w:rsidR="00D7560A" w:rsidRDefault="00D7560A">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59E48A3C"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6"/>
                <w:szCs w:val="16"/>
                <w:lang w:bidi="ar"/>
              </w:rPr>
              <w:t>Common Stock and Capital in Excess of Par Value</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8A3D" w14:textId="77777777" w:rsidR="00D7560A" w:rsidRDefault="00D7560A">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59E48A3E"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6"/>
                <w:szCs w:val="16"/>
                <w:lang w:bidi="ar"/>
              </w:rPr>
              <w:t>Treasury Stock</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8A3F"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8A40"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8A41"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8A42"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8A43"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8A44"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8A45"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8A46"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8A47"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8A48" w14:textId="77777777" w:rsidR="00D7560A" w:rsidRDefault="00D7560A">
            <w:pPr>
              <w:widowControl/>
              <w:jc w:val="left"/>
              <w:rPr>
                <w:rFonts w:ascii="Times New Roman" w:eastAsia="宋体" w:hAnsi="宋体" w:cs="宋体"/>
                <w:kern w:val="0"/>
                <w:sz w:val="24"/>
              </w:rPr>
            </w:pPr>
          </w:p>
        </w:tc>
      </w:tr>
      <w:tr w:rsidR="00D7560A" w14:paraId="59E48A5C"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9E48A4A"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16"/>
                <w:szCs w:val="16"/>
                <w:lang w:bidi="ar"/>
              </w:rPr>
              <w:t>Three Months Ended July 30, 2021</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59E48A4B"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6"/>
                <w:szCs w:val="16"/>
                <w:lang w:bidi="ar"/>
              </w:rPr>
              <w:t>Issued Shares</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59E48A4C"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59E48A4D"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6"/>
                <w:szCs w:val="16"/>
                <w:lang w:bidi="ar"/>
              </w:rPr>
              <w:t>Amount</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8A4E"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59E48A4F"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6"/>
                <w:szCs w:val="16"/>
                <w:lang w:bidi="ar"/>
              </w:rPr>
              <w:t>Shares</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59E48A50"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59E48A51"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6"/>
                <w:szCs w:val="16"/>
                <w:lang w:bidi="ar"/>
              </w:rPr>
              <w:t>Amount</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8A52"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9E48A53"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6"/>
                <w:szCs w:val="16"/>
                <w:lang w:bidi="ar"/>
              </w:rPr>
              <w:t>Accumulated Deficit</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8A54"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9E48A55"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6"/>
                <w:szCs w:val="16"/>
                <w:lang w:bidi="ar"/>
              </w:rPr>
              <w:t>Accumulated Other Comprehensive Income/(Loss)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8A56"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9E48A57"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6"/>
                <w:szCs w:val="16"/>
                <w:lang w:bidi="ar"/>
              </w:rPr>
              <w:t>Dell Technologies</w:t>
            </w:r>
            <w:r>
              <w:rPr>
                <w:rFonts w:ascii="Times New Roman" w:eastAsia="宋体" w:hAnsi="Times New Roman" w:cs="Times New Roman"/>
                <w:b/>
                <w:bCs/>
                <w:color w:val="000000"/>
                <w:kern w:val="0"/>
                <w:sz w:val="16"/>
                <w:szCs w:val="16"/>
                <w:lang w:bidi="ar"/>
              </w:rPr>
              <w:br/>
              <w:t>Stockholders’ Equity (Deficit)</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8A58"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9E48A59"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6"/>
                <w:szCs w:val="16"/>
                <w:lang w:bidi="ar"/>
              </w:rPr>
              <w:t>Non-Controlling Interests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8A5A"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9E48A5B"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6"/>
                <w:szCs w:val="16"/>
                <w:lang w:bidi="ar"/>
              </w:rPr>
              <w:t>Total Stockholders’ Equity (Deficit)</w:t>
            </w:r>
          </w:p>
        </w:tc>
      </w:tr>
      <w:tr w:rsidR="001E3CAB" w14:paraId="59E48A7F"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9E48A5D"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16"/>
                <w:szCs w:val="16"/>
                <w:lang w:bidi="ar"/>
              </w:rPr>
              <w:t>Balances as of April 30, 2021</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59E48A5E"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772 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59E48A5F"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A60"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59E48A61"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59E48A62"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16,950 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59E48A63"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A64" w14:textId="77777777" w:rsidR="00D7560A" w:rsidRDefault="00D7560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59E48A65"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8 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59E48A66"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A67"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59E48A68"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59E48A69"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(305)</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59E48A6A"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A6B"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59E48A6C"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59E48A6D"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(12,864)</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59E48A6E"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A6F"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59E48A70"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59E48A71"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(294)</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59E48A72"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A73"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59E48A74"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59E48A75"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3,487 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59E48A76"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A77"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59E48A78"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59E48A79"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5,099 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59E48A7A"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A7B"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59E48A7C"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59E48A7D"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8,586 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59E48A7E" w14:textId="77777777" w:rsidR="00D7560A" w:rsidRDefault="00D7560A">
            <w:pPr>
              <w:widowControl/>
              <w:jc w:val="right"/>
              <w:rPr>
                <w:rFonts w:ascii="Times New Roman" w:eastAsia="宋体" w:hAnsi="宋体" w:cs="宋体"/>
                <w:kern w:val="0"/>
                <w:sz w:val="24"/>
              </w:rPr>
            </w:pPr>
          </w:p>
        </w:tc>
      </w:tr>
      <w:tr w:rsidR="00D7560A" w14:paraId="59E48A9B" w14:textId="77777777">
        <w:trPr>
          <w:jc w:val="center"/>
        </w:trPr>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59E48A80"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Net income</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A81"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A82"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A83"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A84"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A85"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A86"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A87"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A88"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A89"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A8A"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A8B"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A8C"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A8D"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831 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A8E"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A8F"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A90"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A91"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A92"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A93"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831 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A94"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A95"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A96"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49 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A97"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A98"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A99"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880 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A9A" w14:textId="77777777" w:rsidR="00D7560A" w:rsidRDefault="00D7560A">
            <w:pPr>
              <w:widowControl/>
              <w:jc w:val="right"/>
              <w:rPr>
                <w:rFonts w:ascii="Times New Roman" w:eastAsia="宋体" w:hAnsi="宋体" w:cs="宋体"/>
                <w:kern w:val="0"/>
                <w:sz w:val="24"/>
              </w:rPr>
            </w:pPr>
          </w:p>
        </w:tc>
      </w:tr>
      <w:tr w:rsidR="00D7560A" w14:paraId="59E48AB7" w14:textId="77777777">
        <w:trPr>
          <w:jc w:val="center"/>
        </w:trPr>
        <w:tc>
          <w:tcPr>
            <w:tcW w:w="0" w:type="auto"/>
            <w:gridSpan w:val="3"/>
            <w:tcBorders>
              <w:top w:val="nil"/>
              <w:left w:val="nil"/>
              <w:bottom w:val="nil"/>
              <w:right w:val="nil"/>
            </w:tcBorders>
            <w:shd w:val="clear" w:color="auto" w:fill="CCEEFF"/>
            <w:tcMar>
              <w:top w:w="40" w:type="dxa"/>
              <w:left w:w="155" w:type="dxa"/>
              <w:bottom w:w="40" w:type="dxa"/>
              <w:right w:w="20" w:type="dxa"/>
            </w:tcMar>
            <w:vAlign w:val="bottom"/>
          </w:tcPr>
          <w:p w14:paraId="59E48A9C"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Foreign currency translation adjustments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8A9D"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A9E"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A9F"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8AA0"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AA1"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AA2"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8AA3"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AA4"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AA5"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8AA6"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AA7"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AA8"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8AA9"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AAA"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AAB"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8AAC"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(133)</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AAD"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AAE"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8AAF"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(133)</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AB0"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AB1"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8AB2"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AB3"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AB4"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8AB5"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(133)</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AB6" w14:textId="77777777" w:rsidR="00D7560A" w:rsidRDefault="00D7560A">
            <w:pPr>
              <w:widowControl/>
              <w:jc w:val="right"/>
              <w:rPr>
                <w:rFonts w:ascii="Times New Roman" w:eastAsia="宋体" w:hAnsi="宋体" w:cs="宋体"/>
                <w:kern w:val="0"/>
                <w:sz w:val="24"/>
              </w:rPr>
            </w:pPr>
          </w:p>
        </w:tc>
      </w:tr>
      <w:tr w:rsidR="00D7560A" w14:paraId="59E48AD3" w14:textId="77777777">
        <w:trPr>
          <w:jc w:val="center"/>
        </w:trPr>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59E48AB8"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Cash flow hedges, net change</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AB9"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ABA"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ABB"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ABC"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ABD"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ABE"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ABF"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AC0"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AC1"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AC2"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AC3"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AC4"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AC5"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AC6"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AC7"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AC8"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78 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AC9"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ACA"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ACB"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78 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ACC"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ACD"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ACE"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ACF"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AD0"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AD1"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78 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AD2" w14:textId="77777777" w:rsidR="00D7560A" w:rsidRDefault="00D7560A">
            <w:pPr>
              <w:widowControl/>
              <w:jc w:val="right"/>
              <w:rPr>
                <w:rFonts w:ascii="Times New Roman" w:eastAsia="宋体" w:hAnsi="宋体" w:cs="宋体"/>
                <w:kern w:val="0"/>
                <w:sz w:val="24"/>
              </w:rPr>
            </w:pPr>
          </w:p>
        </w:tc>
      </w:tr>
      <w:tr w:rsidR="00D7560A" w14:paraId="59E48AEF" w14:textId="77777777">
        <w:trPr>
          <w:jc w:val="center"/>
        </w:trPr>
        <w:tc>
          <w:tcPr>
            <w:tcW w:w="0" w:type="auto"/>
            <w:gridSpan w:val="3"/>
            <w:tcBorders>
              <w:top w:val="nil"/>
              <w:left w:val="nil"/>
              <w:bottom w:val="nil"/>
              <w:right w:val="nil"/>
            </w:tcBorders>
            <w:shd w:val="clear" w:color="auto" w:fill="CCEEFF"/>
            <w:tcMar>
              <w:top w:w="40" w:type="dxa"/>
              <w:left w:w="155" w:type="dxa"/>
              <w:bottom w:w="40" w:type="dxa"/>
              <w:right w:w="20" w:type="dxa"/>
            </w:tcMar>
            <w:vAlign w:val="bottom"/>
          </w:tcPr>
          <w:p w14:paraId="59E48AD4"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Pension and other post-retirement</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8AD5"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AD6"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AD7"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8AD8"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AD9"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ADA"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8ADB"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ADC"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ADD"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8ADE"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ADF"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AE0"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8AE1"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AE2"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AE3"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8AE4"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AE5"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AE6"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8AE7"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AE8"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AE9"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8AEA"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AEB"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AEC"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8AED"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AEE" w14:textId="77777777" w:rsidR="00D7560A" w:rsidRDefault="00D7560A">
            <w:pPr>
              <w:widowControl/>
              <w:jc w:val="right"/>
              <w:rPr>
                <w:rFonts w:ascii="Times New Roman" w:eastAsia="宋体" w:hAnsi="宋体" w:cs="宋体"/>
                <w:kern w:val="0"/>
                <w:sz w:val="24"/>
              </w:rPr>
            </w:pPr>
          </w:p>
        </w:tc>
      </w:tr>
      <w:tr w:rsidR="00D7560A" w14:paraId="59E48B0B" w14:textId="77777777">
        <w:trPr>
          <w:jc w:val="center"/>
        </w:trPr>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59E48AF0"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Issuance of common stock</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AF1"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AF2"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AF3"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AF4"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AF5"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AF6"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AF7"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AF8"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AF9"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AFA"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AFB"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AFC"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AFD"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AFE"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AFF"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B00"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B01"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B02"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B03"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B04"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B05"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B06"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B07"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B08"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B09"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B0A" w14:textId="77777777" w:rsidR="00D7560A" w:rsidRDefault="00D7560A">
            <w:pPr>
              <w:widowControl/>
              <w:jc w:val="right"/>
              <w:rPr>
                <w:rFonts w:ascii="Times New Roman" w:eastAsia="宋体" w:hAnsi="宋体" w:cs="宋体"/>
                <w:kern w:val="0"/>
                <w:sz w:val="24"/>
              </w:rPr>
            </w:pPr>
          </w:p>
        </w:tc>
      </w:tr>
      <w:tr w:rsidR="00D7560A" w14:paraId="59E48B27" w14:textId="77777777">
        <w:trPr>
          <w:jc w:val="center"/>
        </w:trPr>
        <w:tc>
          <w:tcPr>
            <w:tcW w:w="0" w:type="auto"/>
            <w:gridSpan w:val="3"/>
            <w:tcBorders>
              <w:top w:val="nil"/>
              <w:left w:val="nil"/>
              <w:bottom w:val="nil"/>
              <w:right w:val="nil"/>
            </w:tcBorders>
            <w:shd w:val="clear" w:color="auto" w:fill="CCEEFF"/>
            <w:tcMar>
              <w:top w:w="40" w:type="dxa"/>
              <w:left w:w="155" w:type="dxa"/>
              <w:bottom w:w="40" w:type="dxa"/>
              <w:right w:w="20" w:type="dxa"/>
            </w:tcMar>
            <w:vAlign w:val="bottom"/>
          </w:tcPr>
          <w:p w14:paraId="59E48B0C"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Stock-based compensation expense</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8B0D"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B0E"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B0F"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8B10"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199 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B11"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B12"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8B13"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B14"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B15"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8B16"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B17"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B18"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8B19"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B1A"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B1B"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8B1C"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B1D"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B1E"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8B1F"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199 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B20"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B21"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8B22"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300 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B23"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B24"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8B25"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499 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B26" w14:textId="77777777" w:rsidR="00D7560A" w:rsidRDefault="00D7560A">
            <w:pPr>
              <w:widowControl/>
              <w:jc w:val="right"/>
              <w:rPr>
                <w:rFonts w:ascii="Times New Roman" w:eastAsia="宋体" w:hAnsi="宋体" w:cs="宋体"/>
                <w:kern w:val="0"/>
                <w:sz w:val="24"/>
              </w:rPr>
            </w:pPr>
          </w:p>
        </w:tc>
      </w:tr>
      <w:tr w:rsidR="00D7560A" w14:paraId="59E48B3A" w14:textId="77777777">
        <w:trPr>
          <w:jc w:val="center"/>
          <w:hidden/>
        </w:trPr>
        <w:tc>
          <w:tcPr>
            <w:tcW w:w="0" w:type="auto"/>
            <w:gridSpan w:val="3"/>
            <w:tcBorders>
              <w:top w:val="nil"/>
              <w:left w:val="nil"/>
              <w:bottom w:val="nil"/>
              <w:right w:val="nil"/>
            </w:tcBorders>
            <w:shd w:val="clear" w:color="auto" w:fill="auto"/>
            <w:vAlign w:val="bottom"/>
          </w:tcPr>
          <w:p w14:paraId="59E48B28"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B29"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B2A"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B2B"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B2C"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B2D"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B2E"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B2F"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B30"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B31"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B32"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B33"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B34"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B35"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B36"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B37"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B38"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B39" w14:textId="77777777" w:rsidR="00D7560A" w:rsidRDefault="00D7560A">
            <w:pPr>
              <w:widowControl/>
              <w:jc w:val="left"/>
              <w:rPr>
                <w:rFonts w:ascii="Times New Roman" w:eastAsia="宋体" w:hAnsi="宋体" w:cs="宋体"/>
                <w:vanish/>
                <w:kern w:val="0"/>
                <w:sz w:val="24"/>
              </w:rPr>
            </w:pPr>
          </w:p>
        </w:tc>
      </w:tr>
      <w:tr w:rsidR="00D7560A" w14:paraId="59E48B56" w14:textId="77777777">
        <w:trPr>
          <w:jc w:val="center"/>
        </w:trPr>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59E48B3B"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Revaluation of redeemable shares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B3C"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B3D"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B3E"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B3F"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558 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B40"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B41"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B42"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B43"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B44"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B45"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B46"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B47"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B48"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B49"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B4A"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B4B"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B4C"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B4D"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B4E"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558 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B4F"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B50"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B51"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B52"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B53"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B54"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558 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B55" w14:textId="77777777" w:rsidR="00D7560A" w:rsidRDefault="00D7560A">
            <w:pPr>
              <w:widowControl/>
              <w:jc w:val="right"/>
              <w:rPr>
                <w:rFonts w:ascii="Times New Roman" w:eastAsia="宋体" w:hAnsi="宋体" w:cs="宋体"/>
                <w:kern w:val="0"/>
                <w:sz w:val="24"/>
              </w:rPr>
            </w:pPr>
          </w:p>
        </w:tc>
      </w:tr>
      <w:tr w:rsidR="00D7560A" w14:paraId="59E48B72" w14:textId="77777777">
        <w:trPr>
          <w:jc w:val="center"/>
        </w:trPr>
        <w:tc>
          <w:tcPr>
            <w:tcW w:w="0" w:type="auto"/>
            <w:gridSpan w:val="3"/>
            <w:tcBorders>
              <w:top w:val="nil"/>
              <w:left w:val="nil"/>
              <w:bottom w:val="nil"/>
              <w:right w:val="nil"/>
            </w:tcBorders>
            <w:shd w:val="clear" w:color="auto" w:fill="CCEEFF"/>
            <w:tcMar>
              <w:top w:w="40" w:type="dxa"/>
              <w:left w:w="155" w:type="dxa"/>
              <w:bottom w:w="40" w:type="dxa"/>
              <w:right w:w="20" w:type="dxa"/>
            </w:tcMar>
            <w:vAlign w:val="bottom"/>
          </w:tcPr>
          <w:p w14:paraId="59E48B57"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Impact from equity transactions of non-controlling interests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8B58"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B59"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B5A"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8B5B"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(206)</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B5C"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B5D"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8B5E"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B5F"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B60"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8B61"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B62"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B63"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8B64"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B65"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B66"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8B67"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B68"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B69"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8B6A"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(206)</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B6B"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B6C"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8B6D"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(330)</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B6E"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B6F"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8B70"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(536)</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B71" w14:textId="77777777" w:rsidR="00D7560A" w:rsidRDefault="00D7560A">
            <w:pPr>
              <w:widowControl/>
              <w:jc w:val="right"/>
              <w:rPr>
                <w:rFonts w:ascii="Times New Roman" w:eastAsia="宋体" w:hAnsi="宋体" w:cs="宋体"/>
                <w:kern w:val="0"/>
                <w:sz w:val="24"/>
              </w:rPr>
            </w:pPr>
          </w:p>
        </w:tc>
      </w:tr>
      <w:tr w:rsidR="00D7560A" w14:paraId="59E48B85" w14:textId="77777777">
        <w:trPr>
          <w:jc w:val="center"/>
          <w:hidden/>
        </w:trPr>
        <w:tc>
          <w:tcPr>
            <w:tcW w:w="0" w:type="auto"/>
            <w:gridSpan w:val="3"/>
            <w:tcBorders>
              <w:top w:val="nil"/>
              <w:left w:val="nil"/>
              <w:bottom w:val="nil"/>
              <w:right w:val="nil"/>
            </w:tcBorders>
            <w:shd w:val="clear" w:color="auto" w:fill="auto"/>
            <w:vAlign w:val="bottom"/>
          </w:tcPr>
          <w:p w14:paraId="59E48B73"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B74"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B75"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B76"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B77"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B78"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B79"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B7A"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B7B"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B7C"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B7D"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B7E"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B7F"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B80"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B81"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B82"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B83"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B84" w14:textId="77777777" w:rsidR="00D7560A" w:rsidRDefault="00D7560A">
            <w:pPr>
              <w:widowControl/>
              <w:jc w:val="left"/>
              <w:rPr>
                <w:rFonts w:ascii="Times New Roman" w:eastAsia="宋体" w:hAnsi="宋体" w:cs="宋体"/>
                <w:vanish/>
                <w:kern w:val="0"/>
                <w:sz w:val="24"/>
              </w:rPr>
            </w:pPr>
          </w:p>
        </w:tc>
      </w:tr>
      <w:tr w:rsidR="001E3CAB" w14:paraId="59E48BA8"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59E48B86"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16"/>
                <w:szCs w:val="16"/>
                <w:lang w:bidi="ar"/>
              </w:rPr>
              <w:t>Balances as of July 30, 2021</w:t>
            </w: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59E48B87"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773 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59E48B88"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B89"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59E48B8A"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59E48B8B"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17,510 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59E48B8C"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B8D" w14:textId="77777777" w:rsidR="00D7560A" w:rsidRDefault="00D7560A">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59E48B8E"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8 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59E48B8F"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B90"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59E48B91"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59E48B92"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(305)</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59E48B93"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B94"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59E48B95"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59E48B96"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(12,033)</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59E48B97"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B98"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59E48B99"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59E48B9A"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(347)</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59E48B9B"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B9C"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59E48B9D"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59E48B9E"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4,825 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59E48B9F"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BA0"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59E48BA1"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59E48BA2"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5,118 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59E48BA3"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BA4"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59E48BA5"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59E48BA6"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9,943 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59E48BA7" w14:textId="77777777" w:rsidR="00D7560A" w:rsidRDefault="00D7560A">
            <w:pPr>
              <w:widowControl/>
              <w:jc w:val="right"/>
              <w:rPr>
                <w:rFonts w:ascii="Times New Roman" w:eastAsia="宋体" w:hAnsi="宋体" w:cs="宋体"/>
                <w:kern w:val="0"/>
                <w:sz w:val="24"/>
              </w:rPr>
            </w:pPr>
          </w:p>
        </w:tc>
      </w:tr>
    </w:tbl>
    <w:p w14:paraId="59E48BA9" w14:textId="77777777" w:rsidR="00D7560A" w:rsidRDefault="001E3CAB">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57"/>
        <w:gridCol w:w="1091"/>
        <w:gridCol w:w="39"/>
        <w:gridCol w:w="79"/>
        <w:gridCol w:w="417"/>
        <w:gridCol w:w="36"/>
        <w:gridCol w:w="36"/>
        <w:gridCol w:w="36"/>
        <w:gridCol w:w="36"/>
        <w:gridCol w:w="100"/>
        <w:gridCol w:w="480"/>
        <w:gridCol w:w="36"/>
        <w:gridCol w:w="36"/>
        <w:gridCol w:w="36"/>
        <w:gridCol w:w="36"/>
        <w:gridCol w:w="101"/>
        <w:gridCol w:w="417"/>
        <w:gridCol w:w="36"/>
        <w:gridCol w:w="36"/>
        <w:gridCol w:w="36"/>
        <w:gridCol w:w="36"/>
        <w:gridCol w:w="101"/>
        <w:gridCol w:w="497"/>
        <w:gridCol w:w="37"/>
        <w:gridCol w:w="36"/>
        <w:gridCol w:w="36"/>
        <w:gridCol w:w="36"/>
        <w:gridCol w:w="117"/>
        <w:gridCol w:w="819"/>
        <w:gridCol w:w="36"/>
        <w:gridCol w:w="36"/>
        <w:gridCol w:w="36"/>
        <w:gridCol w:w="36"/>
        <w:gridCol w:w="105"/>
        <w:gridCol w:w="992"/>
        <w:gridCol w:w="36"/>
        <w:gridCol w:w="36"/>
        <w:gridCol w:w="36"/>
        <w:gridCol w:w="36"/>
        <w:gridCol w:w="101"/>
        <w:gridCol w:w="881"/>
        <w:gridCol w:w="36"/>
        <w:gridCol w:w="36"/>
        <w:gridCol w:w="36"/>
        <w:gridCol w:w="36"/>
        <w:gridCol w:w="111"/>
        <w:gridCol w:w="1047"/>
        <w:gridCol w:w="36"/>
        <w:gridCol w:w="36"/>
        <w:gridCol w:w="36"/>
        <w:gridCol w:w="36"/>
        <w:gridCol w:w="101"/>
        <w:gridCol w:w="881"/>
        <w:gridCol w:w="36"/>
      </w:tblGrid>
      <w:tr w:rsidR="00D7560A" w14:paraId="59E48BE0" w14:textId="77777777">
        <w:tc>
          <w:tcPr>
            <w:tcW w:w="50" w:type="pct"/>
            <w:tcBorders>
              <w:top w:val="nil"/>
              <w:left w:val="nil"/>
              <w:bottom w:val="nil"/>
              <w:right w:val="nil"/>
            </w:tcBorders>
            <w:shd w:val="clear" w:color="auto" w:fill="auto"/>
            <w:vAlign w:val="bottom"/>
          </w:tcPr>
          <w:p w14:paraId="59E48BAA" w14:textId="77777777" w:rsidR="00D7560A" w:rsidRDefault="00D7560A">
            <w:pPr>
              <w:widowControl/>
              <w:jc w:val="left"/>
              <w:rPr>
                <w:rFonts w:ascii="Times New Roman" w:eastAsia="宋体" w:hAnsi="宋体" w:cs="宋体"/>
                <w:kern w:val="0"/>
                <w:sz w:val="24"/>
              </w:rPr>
            </w:pPr>
          </w:p>
        </w:tc>
        <w:tc>
          <w:tcPr>
            <w:tcW w:w="966" w:type="pct"/>
            <w:tcBorders>
              <w:top w:val="nil"/>
              <w:left w:val="nil"/>
              <w:bottom w:val="nil"/>
              <w:right w:val="nil"/>
            </w:tcBorders>
            <w:shd w:val="clear" w:color="auto" w:fill="auto"/>
            <w:vAlign w:val="bottom"/>
          </w:tcPr>
          <w:p w14:paraId="59E48BAB"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8BAC"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8BAD" w14:textId="77777777" w:rsidR="00D7560A" w:rsidRDefault="00D7560A">
            <w:pPr>
              <w:widowControl/>
              <w:jc w:val="left"/>
              <w:rPr>
                <w:rFonts w:ascii="Times New Roman" w:eastAsia="宋体" w:hAnsi="宋体" w:cs="宋体"/>
                <w:kern w:val="0"/>
                <w:sz w:val="24"/>
              </w:rPr>
            </w:pPr>
          </w:p>
        </w:tc>
        <w:tc>
          <w:tcPr>
            <w:tcW w:w="264" w:type="pct"/>
            <w:tcBorders>
              <w:top w:val="nil"/>
              <w:left w:val="nil"/>
              <w:bottom w:val="nil"/>
              <w:right w:val="nil"/>
            </w:tcBorders>
            <w:shd w:val="clear" w:color="auto" w:fill="auto"/>
            <w:vAlign w:val="bottom"/>
          </w:tcPr>
          <w:p w14:paraId="59E48BAE"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8BAF"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8BB0" w14:textId="77777777" w:rsidR="00D7560A" w:rsidRDefault="00D7560A">
            <w:pPr>
              <w:widowControl/>
              <w:jc w:val="left"/>
              <w:rPr>
                <w:rFonts w:ascii="Times New Roman" w:eastAsia="宋体" w:hAnsi="宋体" w:cs="宋体"/>
                <w:kern w:val="0"/>
                <w:sz w:val="24"/>
              </w:rPr>
            </w:pPr>
          </w:p>
        </w:tc>
        <w:tc>
          <w:tcPr>
            <w:tcW w:w="11" w:type="pct"/>
            <w:tcBorders>
              <w:top w:val="nil"/>
              <w:left w:val="nil"/>
              <w:bottom w:val="nil"/>
              <w:right w:val="nil"/>
            </w:tcBorders>
            <w:shd w:val="clear" w:color="auto" w:fill="auto"/>
            <w:vAlign w:val="bottom"/>
          </w:tcPr>
          <w:p w14:paraId="59E48BB1"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8BB2"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8BB3" w14:textId="77777777" w:rsidR="00D7560A" w:rsidRDefault="00D7560A">
            <w:pPr>
              <w:widowControl/>
              <w:jc w:val="left"/>
              <w:rPr>
                <w:rFonts w:ascii="Times New Roman" w:eastAsia="宋体" w:hAnsi="宋体" w:cs="宋体"/>
                <w:kern w:val="0"/>
                <w:sz w:val="24"/>
              </w:rPr>
            </w:pPr>
          </w:p>
        </w:tc>
        <w:tc>
          <w:tcPr>
            <w:tcW w:w="264" w:type="pct"/>
            <w:tcBorders>
              <w:top w:val="nil"/>
              <w:left w:val="nil"/>
              <w:bottom w:val="nil"/>
              <w:right w:val="nil"/>
            </w:tcBorders>
            <w:shd w:val="clear" w:color="auto" w:fill="auto"/>
            <w:vAlign w:val="bottom"/>
          </w:tcPr>
          <w:p w14:paraId="59E48BB4"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8BB5"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8BB6" w14:textId="77777777" w:rsidR="00D7560A" w:rsidRDefault="00D7560A">
            <w:pPr>
              <w:widowControl/>
              <w:jc w:val="left"/>
              <w:rPr>
                <w:rFonts w:ascii="Times New Roman" w:eastAsia="宋体" w:hAnsi="宋体" w:cs="宋体"/>
                <w:kern w:val="0"/>
                <w:sz w:val="24"/>
              </w:rPr>
            </w:pPr>
          </w:p>
        </w:tc>
        <w:tc>
          <w:tcPr>
            <w:tcW w:w="11" w:type="pct"/>
            <w:tcBorders>
              <w:top w:val="nil"/>
              <w:left w:val="nil"/>
              <w:bottom w:val="nil"/>
              <w:right w:val="nil"/>
            </w:tcBorders>
            <w:shd w:val="clear" w:color="auto" w:fill="auto"/>
            <w:vAlign w:val="bottom"/>
          </w:tcPr>
          <w:p w14:paraId="59E48BB7"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8BB8"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8BB9" w14:textId="77777777" w:rsidR="00D7560A" w:rsidRDefault="00D7560A">
            <w:pPr>
              <w:widowControl/>
              <w:jc w:val="left"/>
              <w:rPr>
                <w:rFonts w:ascii="Times New Roman" w:eastAsia="宋体" w:hAnsi="宋体" w:cs="宋体"/>
                <w:kern w:val="0"/>
                <w:sz w:val="24"/>
              </w:rPr>
            </w:pPr>
          </w:p>
        </w:tc>
        <w:tc>
          <w:tcPr>
            <w:tcW w:w="264" w:type="pct"/>
            <w:tcBorders>
              <w:top w:val="nil"/>
              <w:left w:val="nil"/>
              <w:bottom w:val="nil"/>
              <w:right w:val="nil"/>
            </w:tcBorders>
            <w:shd w:val="clear" w:color="auto" w:fill="auto"/>
            <w:vAlign w:val="bottom"/>
          </w:tcPr>
          <w:p w14:paraId="59E48BBA"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8BBB"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8BBC" w14:textId="77777777" w:rsidR="00D7560A" w:rsidRDefault="00D7560A">
            <w:pPr>
              <w:widowControl/>
              <w:jc w:val="left"/>
              <w:rPr>
                <w:rFonts w:ascii="Times New Roman" w:eastAsia="宋体" w:hAnsi="宋体" w:cs="宋体"/>
                <w:kern w:val="0"/>
                <w:sz w:val="24"/>
              </w:rPr>
            </w:pPr>
          </w:p>
        </w:tc>
        <w:tc>
          <w:tcPr>
            <w:tcW w:w="11" w:type="pct"/>
            <w:tcBorders>
              <w:top w:val="nil"/>
              <w:left w:val="nil"/>
              <w:bottom w:val="nil"/>
              <w:right w:val="nil"/>
            </w:tcBorders>
            <w:shd w:val="clear" w:color="auto" w:fill="auto"/>
            <w:vAlign w:val="bottom"/>
          </w:tcPr>
          <w:p w14:paraId="59E48BBD"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8BBE"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8BBF" w14:textId="77777777" w:rsidR="00D7560A" w:rsidRDefault="00D7560A">
            <w:pPr>
              <w:widowControl/>
              <w:jc w:val="left"/>
              <w:rPr>
                <w:rFonts w:ascii="Times New Roman" w:eastAsia="宋体" w:hAnsi="宋体" w:cs="宋体"/>
                <w:kern w:val="0"/>
                <w:sz w:val="24"/>
              </w:rPr>
            </w:pPr>
          </w:p>
        </w:tc>
        <w:tc>
          <w:tcPr>
            <w:tcW w:w="264" w:type="pct"/>
            <w:tcBorders>
              <w:top w:val="nil"/>
              <w:left w:val="nil"/>
              <w:bottom w:val="nil"/>
              <w:right w:val="nil"/>
            </w:tcBorders>
            <w:shd w:val="clear" w:color="auto" w:fill="auto"/>
            <w:vAlign w:val="bottom"/>
          </w:tcPr>
          <w:p w14:paraId="59E48BC0"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8BC1"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8BC2" w14:textId="77777777" w:rsidR="00D7560A" w:rsidRDefault="00D7560A">
            <w:pPr>
              <w:widowControl/>
              <w:jc w:val="left"/>
              <w:rPr>
                <w:rFonts w:ascii="Times New Roman" w:eastAsia="宋体" w:hAnsi="宋体" w:cs="宋体"/>
                <w:kern w:val="0"/>
                <w:sz w:val="24"/>
              </w:rPr>
            </w:pPr>
          </w:p>
        </w:tc>
        <w:tc>
          <w:tcPr>
            <w:tcW w:w="11" w:type="pct"/>
            <w:tcBorders>
              <w:top w:val="nil"/>
              <w:left w:val="nil"/>
              <w:bottom w:val="nil"/>
              <w:right w:val="nil"/>
            </w:tcBorders>
            <w:shd w:val="clear" w:color="auto" w:fill="auto"/>
            <w:vAlign w:val="bottom"/>
          </w:tcPr>
          <w:p w14:paraId="59E48BC3"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8BC4"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8BC5" w14:textId="77777777" w:rsidR="00D7560A" w:rsidRDefault="00D7560A">
            <w:pPr>
              <w:widowControl/>
              <w:jc w:val="left"/>
              <w:rPr>
                <w:rFonts w:ascii="Times New Roman" w:eastAsia="宋体" w:hAnsi="宋体" w:cs="宋体"/>
                <w:kern w:val="0"/>
                <w:sz w:val="24"/>
              </w:rPr>
            </w:pPr>
          </w:p>
        </w:tc>
        <w:tc>
          <w:tcPr>
            <w:tcW w:w="350" w:type="pct"/>
            <w:tcBorders>
              <w:top w:val="nil"/>
              <w:left w:val="nil"/>
              <w:bottom w:val="nil"/>
              <w:right w:val="nil"/>
            </w:tcBorders>
            <w:shd w:val="clear" w:color="auto" w:fill="auto"/>
            <w:vAlign w:val="bottom"/>
          </w:tcPr>
          <w:p w14:paraId="59E48BC6"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8BC7"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8BC8" w14:textId="77777777" w:rsidR="00D7560A" w:rsidRDefault="00D7560A">
            <w:pPr>
              <w:widowControl/>
              <w:jc w:val="left"/>
              <w:rPr>
                <w:rFonts w:ascii="Times New Roman" w:eastAsia="宋体" w:hAnsi="宋体" w:cs="宋体"/>
                <w:kern w:val="0"/>
                <w:sz w:val="24"/>
              </w:rPr>
            </w:pPr>
          </w:p>
        </w:tc>
        <w:tc>
          <w:tcPr>
            <w:tcW w:w="11" w:type="pct"/>
            <w:tcBorders>
              <w:top w:val="nil"/>
              <w:left w:val="nil"/>
              <w:bottom w:val="nil"/>
              <w:right w:val="nil"/>
            </w:tcBorders>
            <w:shd w:val="clear" w:color="auto" w:fill="auto"/>
            <w:vAlign w:val="bottom"/>
          </w:tcPr>
          <w:p w14:paraId="59E48BC9"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8BCA"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8BCB" w14:textId="77777777" w:rsidR="00D7560A" w:rsidRDefault="00D7560A">
            <w:pPr>
              <w:widowControl/>
              <w:jc w:val="left"/>
              <w:rPr>
                <w:rFonts w:ascii="Times New Roman" w:eastAsia="宋体" w:hAnsi="宋体" w:cs="宋体"/>
                <w:kern w:val="0"/>
                <w:sz w:val="24"/>
              </w:rPr>
            </w:pPr>
          </w:p>
        </w:tc>
        <w:tc>
          <w:tcPr>
            <w:tcW w:w="475" w:type="pct"/>
            <w:tcBorders>
              <w:top w:val="nil"/>
              <w:left w:val="nil"/>
              <w:bottom w:val="nil"/>
              <w:right w:val="nil"/>
            </w:tcBorders>
            <w:shd w:val="clear" w:color="auto" w:fill="auto"/>
            <w:vAlign w:val="bottom"/>
          </w:tcPr>
          <w:p w14:paraId="59E48BCC"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8BCD"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8BCE" w14:textId="77777777" w:rsidR="00D7560A" w:rsidRDefault="00D7560A">
            <w:pPr>
              <w:widowControl/>
              <w:jc w:val="left"/>
              <w:rPr>
                <w:rFonts w:ascii="Times New Roman" w:eastAsia="宋体" w:hAnsi="宋体" w:cs="宋体"/>
                <w:kern w:val="0"/>
                <w:sz w:val="24"/>
              </w:rPr>
            </w:pPr>
          </w:p>
        </w:tc>
        <w:tc>
          <w:tcPr>
            <w:tcW w:w="11" w:type="pct"/>
            <w:tcBorders>
              <w:top w:val="nil"/>
              <w:left w:val="nil"/>
              <w:bottom w:val="nil"/>
              <w:right w:val="nil"/>
            </w:tcBorders>
            <w:shd w:val="clear" w:color="auto" w:fill="auto"/>
            <w:vAlign w:val="bottom"/>
          </w:tcPr>
          <w:p w14:paraId="59E48BCF"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8BD0"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8BD1" w14:textId="77777777" w:rsidR="00D7560A" w:rsidRDefault="00D7560A">
            <w:pPr>
              <w:widowControl/>
              <w:jc w:val="left"/>
              <w:rPr>
                <w:rFonts w:ascii="Times New Roman" w:eastAsia="宋体" w:hAnsi="宋体" w:cs="宋体"/>
                <w:kern w:val="0"/>
                <w:sz w:val="24"/>
              </w:rPr>
            </w:pPr>
          </w:p>
        </w:tc>
        <w:tc>
          <w:tcPr>
            <w:tcW w:w="475" w:type="pct"/>
            <w:tcBorders>
              <w:top w:val="nil"/>
              <w:left w:val="nil"/>
              <w:bottom w:val="nil"/>
              <w:right w:val="nil"/>
            </w:tcBorders>
            <w:shd w:val="clear" w:color="auto" w:fill="auto"/>
            <w:vAlign w:val="bottom"/>
          </w:tcPr>
          <w:p w14:paraId="59E48BD2"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8BD3"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8BD4" w14:textId="77777777" w:rsidR="00D7560A" w:rsidRDefault="00D7560A">
            <w:pPr>
              <w:widowControl/>
              <w:jc w:val="left"/>
              <w:rPr>
                <w:rFonts w:ascii="Times New Roman" w:eastAsia="宋体" w:hAnsi="宋体" w:cs="宋体"/>
                <w:kern w:val="0"/>
                <w:sz w:val="24"/>
              </w:rPr>
            </w:pPr>
          </w:p>
        </w:tc>
        <w:tc>
          <w:tcPr>
            <w:tcW w:w="11" w:type="pct"/>
            <w:tcBorders>
              <w:top w:val="nil"/>
              <w:left w:val="nil"/>
              <w:bottom w:val="nil"/>
              <w:right w:val="nil"/>
            </w:tcBorders>
            <w:shd w:val="clear" w:color="auto" w:fill="auto"/>
            <w:vAlign w:val="bottom"/>
          </w:tcPr>
          <w:p w14:paraId="59E48BD5"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8BD6"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8BD7" w14:textId="77777777" w:rsidR="00D7560A" w:rsidRDefault="00D7560A">
            <w:pPr>
              <w:widowControl/>
              <w:jc w:val="left"/>
              <w:rPr>
                <w:rFonts w:ascii="Times New Roman" w:eastAsia="宋体" w:hAnsi="宋体" w:cs="宋体"/>
                <w:kern w:val="0"/>
                <w:sz w:val="24"/>
              </w:rPr>
            </w:pPr>
          </w:p>
        </w:tc>
        <w:tc>
          <w:tcPr>
            <w:tcW w:w="475" w:type="pct"/>
            <w:tcBorders>
              <w:top w:val="nil"/>
              <w:left w:val="nil"/>
              <w:bottom w:val="nil"/>
              <w:right w:val="nil"/>
            </w:tcBorders>
            <w:shd w:val="clear" w:color="auto" w:fill="auto"/>
            <w:vAlign w:val="bottom"/>
          </w:tcPr>
          <w:p w14:paraId="59E48BD8"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8BD9"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8BDA" w14:textId="77777777" w:rsidR="00D7560A" w:rsidRDefault="00D7560A">
            <w:pPr>
              <w:widowControl/>
              <w:jc w:val="left"/>
              <w:rPr>
                <w:rFonts w:ascii="Times New Roman" w:eastAsia="宋体" w:hAnsi="宋体" w:cs="宋体"/>
                <w:kern w:val="0"/>
                <w:sz w:val="24"/>
              </w:rPr>
            </w:pPr>
          </w:p>
        </w:tc>
        <w:tc>
          <w:tcPr>
            <w:tcW w:w="11" w:type="pct"/>
            <w:tcBorders>
              <w:top w:val="nil"/>
              <w:left w:val="nil"/>
              <w:bottom w:val="nil"/>
              <w:right w:val="nil"/>
            </w:tcBorders>
            <w:shd w:val="clear" w:color="auto" w:fill="auto"/>
            <w:vAlign w:val="bottom"/>
          </w:tcPr>
          <w:p w14:paraId="59E48BDB"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8BDC"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8BDD" w14:textId="77777777" w:rsidR="00D7560A" w:rsidRDefault="00D7560A">
            <w:pPr>
              <w:widowControl/>
              <w:jc w:val="left"/>
              <w:rPr>
                <w:rFonts w:ascii="Times New Roman" w:eastAsia="宋体" w:hAnsi="宋体" w:cs="宋体"/>
                <w:kern w:val="0"/>
                <w:sz w:val="24"/>
              </w:rPr>
            </w:pPr>
          </w:p>
        </w:tc>
        <w:tc>
          <w:tcPr>
            <w:tcW w:w="475" w:type="pct"/>
            <w:tcBorders>
              <w:top w:val="nil"/>
              <w:left w:val="nil"/>
              <w:bottom w:val="nil"/>
              <w:right w:val="nil"/>
            </w:tcBorders>
            <w:shd w:val="clear" w:color="auto" w:fill="auto"/>
            <w:vAlign w:val="bottom"/>
          </w:tcPr>
          <w:p w14:paraId="59E48BDE"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8BDF" w14:textId="77777777" w:rsidR="00D7560A" w:rsidRDefault="00D7560A">
            <w:pPr>
              <w:widowControl/>
              <w:jc w:val="left"/>
              <w:rPr>
                <w:rFonts w:ascii="Times New Roman" w:eastAsia="宋体" w:hAnsi="宋体" w:cs="宋体"/>
                <w:kern w:val="0"/>
                <w:sz w:val="24"/>
              </w:rPr>
            </w:pPr>
          </w:p>
        </w:tc>
      </w:tr>
      <w:tr w:rsidR="00D7560A" w14:paraId="59E48BEF"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8BE1" w14:textId="77777777" w:rsidR="00D7560A" w:rsidRDefault="00D7560A">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59E48BE2"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6"/>
                <w:szCs w:val="16"/>
                <w:lang w:bidi="ar"/>
              </w:rPr>
              <w:t>Common Stock and Capital in Excess of Par Value</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8BE3" w14:textId="77777777" w:rsidR="00D7560A" w:rsidRDefault="00D7560A">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59E48BE4"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6"/>
                <w:szCs w:val="16"/>
                <w:lang w:bidi="ar"/>
              </w:rPr>
              <w:t>Treasury Stock</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8BE5"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8BE6"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8BE7"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8BE8"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8BE9"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8BEA"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8BEB"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8BEC"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8BED"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8BEE" w14:textId="77777777" w:rsidR="00D7560A" w:rsidRDefault="00D7560A">
            <w:pPr>
              <w:widowControl/>
              <w:jc w:val="left"/>
              <w:rPr>
                <w:rFonts w:ascii="Times New Roman" w:eastAsia="宋体" w:hAnsi="宋体" w:cs="宋体"/>
                <w:kern w:val="0"/>
                <w:sz w:val="24"/>
              </w:rPr>
            </w:pPr>
          </w:p>
        </w:tc>
      </w:tr>
      <w:tr w:rsidR="00D7560A" w14:paraId="59E48C02"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9E48BF0"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16"/>
                <w:szCs w:val="16"/>
                <w:lang w:bidi="ar"/>
              </w:rPr>
              <w:t>Six Months Ended July 30, 2021</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59E48BF1"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6"/>
                <w:szCs w:val="16"/>
                <w:lang w:bidi="ar"/>
              </w:rPr>
              <w:t>Issued Shares</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59E48BF2"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59E48BF3"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6"/>
                <w:szCs w:val="16"/>
                <w:lang w:bidi="ar"/>
              </w:rPr>
              <w:t>Amount</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8BF4"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59E48BF5"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6"/>
                <w:szCs w:val="16"/>
                <w:lang w:bidi="ar"/>
              </w:rPr>
              <w:t>Shares</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59E48BF6"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59E48BF7"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6"/>
                <w:szCs w:val="16"/>
                <w:lang w:bidi="ar"/>
              </w:rPr>
              <w:t>Amount</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8BF8"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9E48BF9"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6"/>
                <w:szCs w:val="16"/>
                <w:lang w:bidi="ar"/>
              </w:rPr>
              <w:t>Accumulated Deficit</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8BFA"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9E48BFB"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6"/>
                <w:szCs w:val="16"/>
                <w:lang w:bidi="ar"/>
              </w:rPr>
              <w:t>Accumulated Other Comprehensive Income/(Loss)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8BFC"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9E48BFD"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6"/>
                <w:szCs w:val="16"/>
                <w:lang w:bidi="ar"/>
              </w:rPr>
              <w:t>Dell Technologies</w:t>
            </w:r>
            <w:r>
              <w:rPr>
                <w:rFonts w:ascii="Times New Roman" w:eastAsia="宋体" w:hAnsi="Times New Roman" w:cs="Times New Roman"/>
                <w:b/>
                <w:bCs/>
                <w:color w:val="000000"/>
                <w:kern w:val="0"/>
                <w:sz w:val="16"/>
                <w:szCs w:val="16"/>
                <w:lang w:bidi="ar"/>
              </w:rPr>
              <w:br/>
              <w:t>Stockholders’ Equity (Deficit)</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8BFE"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9E48BFF"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6"/>
                <w:szCs w:val="16"/>
                <w:lang w:bidi="ar"/>
              </w:rPr>
              <w:t>Non-Controlling Interests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8C00"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9E48C01"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6"/>
                <w:szCs w:val="16"/>
                <w:lang w:bidi="ar"/>
              </w:rPr>
              <w:t>Total Stockholders’ Equity (Deficit)</w:t>
            </w:r>
          </w:p>
        </w:tc>
      </w:tr>
      <w:tr w:rsidR="001E3CAB" w14:paraId="59E48C25"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9E48C03"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16"/>
                <w:szCs w:val="16"/>
                <w:lang w:bidi="ar"/>
              </w:rPr>
              <w:t>Balances as of January 29, 2021</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59E48C04"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761 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59E48C05"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C06"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59E48C07"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59E48C08"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16,849 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59E48C09"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C0A"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59E48C0B"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59E48C0C"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8 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59E48C0D"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C0E"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59E48C0F"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59E48C10"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(305)</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59E48C11"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C12"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59E48C13"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59E48C14"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(13,751)</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59E48C15"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C16"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59E48C17"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59E48C18"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(314)</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59E48C19"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C1A" w14:textId="77777777" w:rsidR="00D7560A" w:rsidRDefault="00D7560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59E48C1B"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2,479 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59E48C1C"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C1D"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59E48C1E"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59E48C1F"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5,074 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59E48C20"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C21"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59E48C22"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59E48C23"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7,553 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59E48C24" w14:textId="77777777" w:rsidR="00D7560A" w:rsidRDefault="00D7560A">
            <w:pPr>
              <w:widowControl/>
              <w:jc w:val="right"/>
              <w:rPr>
                <w:rFonts w:ascii="Times New Roman" w:eastAsia="宋体" w:hAnsi="宋体" w:cs="宋体"/>
                <w:kern w:val="0"/>
                <w:sz w:val="24"/>
              </w:rPr>
            </w:pPr>
          </w:p>
        </w:tc>
      </w:tr>
      <w:tr w:rsidR="00D7560A" w14:paraId="59E48C38" w14:textId="77777777">
        <w:trPr>
          <w:hidden/>
        </w:trPr>
        <w:tc>
          <w:tcPr>
            <w:tcW w:w="0" w:type="auto"/>
            <w:gridSpan w:val="3"/>
            <w:tcBorders>
              <w:top w:val="nil"/>
              <w:left w:val="nil"/>
              <w:bottom w:val="nil"/>
              <w:right w:val="nil"/>
            </w:tcBorders>
            <w:shd w:val="clear" w:color="auto" w:fill="auto"/>
            <w:vAlign w:val="bottom"/>
          </w:tcPr>
          <w:p w14:paraId="59E48C26"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C27"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C28"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C29"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C2A"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C2B"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C2C"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C2D"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C2E"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C2F"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C30"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C31"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C32"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C33"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C34"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C35"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C36"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C37" w14:textId="77777777" w:rsidR="00D7560A" w:rsidRDefault="00D7560A">
            <w:pPr>
              <w:widowControl/>
              <w:jc w:val="left"/>
              <w:rPr>
                <w:rFonts w:ascii="Times New Roman" w:eastAsia="宋体" w:hAnsi="宋体" w:cs="宋体"/>
                <w:vanish/>
                <w:kern w:val="0"/>
                <w:sz w:val="24"/>
              </w:rPr>
            </w:pPr>
          </w:p>
        </w:tc>
      </w:tr>
      <w:tr w:rsidR="00D7560A" w14:paraId="59E48C54" w14:textId="77777777">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59E48C39"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Net income</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C3A"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C3B"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C3C"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C3D"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C3E"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C3F"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C40"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C41"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C42"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C43"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C44"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C45"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C46"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1,718 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C47"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C48"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C49"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C4A"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C4B"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C4C"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1,718 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C4D"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C4E"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C4F"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100 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C50"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C51"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C52"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1,818 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C53" w14:textId="77777777" w:rsidR="00D7560A" w:rsidRDefault="00D7560A">
            <w:pPr>
              <w:widowControl/>
              <w:jc w:val="right"/>
              <w:rPr>
                <w:rFonts w:ascii="Times New Roman" w:eastAsia="宋体" w:hAnsi="宋体" w:cs="宋体"/>
                <w:kern w:val="0"/>
                <w:sz w:val="24"/>
              </w:rPr>
            </w:pPr>
          </w:p>
        </w:tc>
      </w:tr>
      <w:tr w:rsidR="00D7560A" w14:paraId="59E48C70" w14:textId="77777777">
        <w:tc>
          <w:tcPr>
            <w:tcW w:w="0" w:type="auto"/>
            <w:gridSpan w:val="3"/>
            <w:tcBorders>
              <w:top w:val="nil"/>
              <w:left w:val="nil"/>
              <w:bottom w:val="nil"/>
              <w:right w:val="nil"/>
            </w:tcBorders>
            <w:shd w:val="clear" w:color="auto" w:fill="CCEEFF"/>
            <w:tcMar>
              <w:top w:w="40" w:type="dxa"/>
              <w:left w:w="155" w:type="dxa"/>
              <w:bottom w:w="40" w:type="dxa"/>
              <w:right w:w="20" w:type="dxa"/>
            </w:tcMar>
            <w:vAlign w:val="bottom"/>
          </w:tcPr>
          <w:p w14:paraId="59E48C55"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Foreign currency translation adjustments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8C56"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C57"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C58"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8C59"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C5A"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C5B"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8C5C"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C5D"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C5E"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8C5F"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C60"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C61"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8C62"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C63"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C64"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8C65"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(140)</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C66"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C67"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8C68"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(140)</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C69"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C6A"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8C6B"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C6C"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C6D"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8C6E"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(140)</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C6F" w14:textId="77777777" w:rsidR="00D7560A" w:rsidRDefault="00D7560A">
            <w:pPr>
              <w:widowControl/>
              <w:jc w:val="right"/>
              <w:rPr>
                <w:rFonts w:ascii="Times New Roman" w:eastAsia="宋体" w:hAnsi="宋体" w:cs="宋体"/>
                <w:kern w:val="0"/>
                <w:sz w:val="24"/>
              </w:rPr>
            </w:pPr>
          </w:p>
        </w:tc>
      </w:tr>
      <w:tr w:rsidR="00D7560A" w14:paraId="59E48C8C" w14:textId="77777777">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59E48C71"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Cash flow hedges, net change</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C72"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C73"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C74"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C75"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C76"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C77"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C78"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C79"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C7A"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C7B"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C7C"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C7D"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C7E"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C7F"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C80"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C81"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104 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C82"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C83"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C84"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104 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C85"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C86"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C87"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C88"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C89"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C8A"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104 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C8B" w14:textId="77777777" w:rsidR="00D7560A" w:rsidRDefault="00D7560A">
            <w:pPr>
              <w:widowControl/>
              <w:jc w:val="right"/>
              <w:rPr>
                <w:rFonts w:ascii="Times New Roman" w:eastAsia="宋体" w:hAnsi="宋体" w:cs="宋体"/>
                <w:kern w:val="0"/>
                <w:sz w:val="24"/>
              </w:rPr>
            </w:pPr>
          </w:p>
        </w:tc>
      </w:tr>
      <w:tr w:rsidR="00D7560A" w14:paraId="59E48CA8" w14:textId="77777777">
        <w:tc>
          <w:tcPr>
            <w:tcW w:w="0" w:type="auto"/>
            <w:gridSpan w:val="3"/>
            <w:tcBorders>
              <w:top w:val="nil"/>
              <w:left w:val="nil"/>
              <w:bottom w:val="nil"/>
              <w:right w:val="nil"/>
            </w:tcBorders>
            <w:shd w:val="clear" w:color="auto" w:fill="CCEEFF"/>
            <w:tcMar>
              <w:top w:w="40" w:type="dxa"/>
              <w:left w:w="155" w:type="dxa"/>
              <w:bottom w:w="40" w:type="dxa"/>
              <w:right w:w="20" w:type="dxa"/>
            </w:tcMar>
            <w:vAlign w:val="bottom"/>
          </w:tcPr>
          <w:p w14:paraId="59E48C8D"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Pension and other post-retirement</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8C8E"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C8F"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C90"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8C91"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C92"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C93"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8C94"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C95"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C96"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8C97"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C98"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C99"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8C9A"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C9B"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C9C"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8C9D"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C9E"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C9F"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8CA0"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CA1"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CA2"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8CA3"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CA4"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CA5"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8CA6"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CA7" w14:textId="77777777" w:rsidR="00D7560A" w:rsidRDefault="00D7560A">
            <w:pPr>
              <w:widowControl/>
              <w:jc w:val="right"/>
              <w:rPr>
                <w:rFonts w:ascii="Times New Roman" w:eastAsia="宋体" w:hAnsi="宋体" w:cs="宋体"/>
                <w:kern w:val="0"/>
                <w:sz w:val="24"/>
              </w:rPr>
            </w:pPr>
          </w:p>
        </w:tc>
      </w:tr>
      <w:tr w:rsidR="00D7560A" w14:paraId="59E48CC4" w14:textId="77777777">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59E48CA9"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Issuance of common stock</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CAA"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12 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CAB"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CAC"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CAD"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28 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CAE"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CAF"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CB0"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CB1"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CB2"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CB3"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CB4"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CB5"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CB6"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CB7"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CB8"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CB9"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CBA"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CBB"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CBC"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28 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CBD"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CBE"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CBF"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CC0"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CC1"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CC2"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28 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CC3" w14:textId="77777777" w:rsidR="00D7560A" w:rsidRDefault="00D7560A">
            <w:pPr>
              <w:widowControl/>
              <w:jc w:val="right"/>
              <w:rPr>
                <w:rFonts w:ascii="Times New Roman" w:eastAsia="宋体" w:hAnsi="宋体" w:cs="宋体"/>
                <w:kern w:val="0"/>
                <w:sz w:val="24"/>
              </w:rPr>
            </w:pPr>
          </w:p>
        </w:tc>
      </w:tr>
      <w:tr w:rsidR="00D7560A" w14:paraId="59E48CE0" w14:textId="77777777">
        <w:tc>
          <w:tcPr>
            <w:tcW w:w="0" w:type="auto"/>
            <w:gridSpan w:val="3"/>
            <w:tcBorders>
              <w:top w:val="nil"/>
              <w:left w:val="nil"/>
              <w:bottom w:val="nil"/>
              <w:right w:val="nil"/>
            </w:tcBorders>
            <w:shd w:val="clear" w:color="auto" w:fill="CCEEFF"/>
            <w:tcMar>
              <w:top w:w="40" w:type="dxa"/>
              <w:left w:w="155" w:type="dxa"/>
              <w:bottom w:w="40" w:type="dxa"/>
              <w:right w:w="20" w:type="dxa"/>
            </w:tcMar>
            <w:vAlign w:val="bottom"/>
          </w:tcPr>
          <w:p w14:paraId="59E48CC5"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Stock-based compensation expense</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8CC6"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CC7"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CC8"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8CC9"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365 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CCA"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CCB"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8CCC"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CCD"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CCE"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8CCF"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CD0"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CD1"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8CD2"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CD3"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CD4"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8CD5"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CD6"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CD7"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8CD8"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365 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CD9"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CDA"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8CDB"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569 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CDC"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CDD"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8CDE"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934 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CDF" w14:textId="77777777" w:rsidR="00D7560A" w:rsidRDefault="00D7560A">
            <w:pPr>
              <w:widowControl/>
              <w:jc w:val="right"/>
              <w:rPr>
                <w:rFonts w:ascii="Times New Roman" w:eastAsia="宋体" w:hAnsi="宋体" w:cs="宋体"/>
                <w:kern w:val="0"/>
                <w:sz w:val="24"/>
              </w:rPr>
            </w:pPr>
          </w:p>
        </w:tc>
      </w:tr>
      <w:tr w:rsidR="00D7560A" w14:paraId="59E48CF3" w14:textId="77777777">
        <w:trPr>
          <w:hidden/>
        </w:trPr>
        <w:tc>
          <w:tcPr>
            <w:tcW w:w="0" w:type="auto"/>
            <w:gridSpan w:val="3"/>
            <w:tcBorders>
              <w:top w:val="nil"/>
              <w:left w:val="nil"/>
              <w:bottom w:val="nil"/>
              <w:right w:val="nil"/>
            </w:tcBorders>
            <w:shd w:val="clear" w:color="auto" w:fill="auto"/>
            <w:vAlign w:val="bottom"/>
          </w:tcPr>
          <w:p w14:paraId="59E48CE1"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CE2"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CE3"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CE4"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CE5"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CE6"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CE7"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CE8"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CE9"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CEA"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CEB"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CEC"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CED"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CEE"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CEF"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CF0"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CF1"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CF2" w14:textId="77777777" w:rsidR="00D7560A" w:rsidRDefault="00D7560A">
            <w:pPr>
              <w:widowControl/>
              <w:jc w:val="left"/>
              <w:rPr>
                <w:rFonts w:ascii="Times New Roman" w:eastAsia="宋体" w:hAnsi="宋体" w:cs="宋体"/>
                <w:vanish/>
                <w:kern w:val="0"/>
                <w:sz w:val="24"/>
              </w:rPr>
            </w:pPr>
          </w:p>
        </w:tc>
      </w:tr>
      <w:tr w:rsidR="00D7560A" w14:paraId="59E48D0F" w14:textId="77777777">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59E48CF4"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Revaluation of redeemable shares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CF5"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CF6"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CF7"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CF8"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472 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CF9"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CFA"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CFB"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CFC"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CFD"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CFE"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CFF"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D00"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D01"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D02"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D03"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D04"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D05"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D06"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D07"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472 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D08"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D09"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D0A"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D0B"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D0C"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D0D"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472 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D0E" w14:textId="77777777" w:rsidR="00D7560A" w:rsidRDefault="00D7560A">
            <w:pPr>
              <w:widowControl/>
              <w:jc w:val="right"/>
              <w:rPr>
                <w:rFonts w:ascii="Times New Roman" w:eastAsia="宋体" w:hAnsi="宋体" w:cs="宋体"/>
                <w:kern w:val="0"/>
                <w:sz w:val="24"/>
              </w:rPr>
            </w:pPr>
          </w:p>
        </w:tc>
      </w:tr>
      <w:tr w:rsidR="00D7560A" w14:paraId="59E48D2B" w14:textId="77777777">
        <w:tc>
          <w:tcPr>
            <w:tcW w:w="0" w:type="auto"/>
            <w:gridSpan w:val="3"/>
            <w:tcBorders>
              <w:top w:val="nil"/>
              <w:left w:val="nil"/>
              <w:bottom w:val="nil"/>
              <w:right w:val="nil"/>
            </w:tcBorders>
            <w:shd w:val="clear" w:color="auto" w:fill="CCEEFF"/>
            <w:tcMar>
              <w:top w:w="40" w:type="dxa"/>
              <w:left w:w="155" w:type="dxa"/>
              <w:bottom w:w="40" w:type="dxa"/>
              <w:right w:w="20" w:type="dxa"/>
            </w:tcMar>
            <w:vAlign w:val="bottom"/>
          </w:tcPr>
          <w:p w14:paraId="59E48D10"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Impact from equity transactions of non-controlling interests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8D11"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D12"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D13"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8D14"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(204)</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D15"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D16"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8D17"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D18"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D19"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8D1A"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D1B"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D1C"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8D1D"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D1E"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D1F"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8D20"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D21"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D22"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8D23"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(204)</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D24"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D25"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8D26"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(625)</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D27"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D28"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8D29"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(829)</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D2A" w14:textId="77777777" w:rsidR="00D7560A" w:rsidRDefault="00D7560A">
            <w:pPr>
              <w:widowControl/>
              <w:jc w:val="right"/>
              <w:rPr>
                <w:rFonts w:ascii="Times New Roman" w:eastAsia="宋体" w:hAnsi="宋体" w:cs="宋体"/>
                <w:kern w:val="0"/>
                <w:sz w:val="24"/>
              </w:rPr>
            </w:pPr>
          </w:p>
        </w:tc>
      </w:tr>
      <w:tr w:rsidR="00D7560A" w14:paraId="59E48D3E" w14:textId="77777777">
        <w:trPr>
          <w:hidden/>
        </w:trPr>
        <w:tc>
          <w:tcPr>
            <w:tcW w:w="0" w:type="auto"/>
            <w:gridSpan w:val="3"/>
            <w:tcBorders>
              <w:top w:val="nil"/>
              <w:left w:val="nil"/>
              <w:bottom w:val="nil"/>
              <w:right w:val="nil"/>
            </w:tcBorders>
            <w:shd w:val="clear" w:color="auto" w:fill="auto"/>
            <w:vAlign w:val="bottom"/>
          </w:tcPr>
          <w:p w14:paraId="59E48D2C"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D2D"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D2E"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D2F"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D30"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D31"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D32"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D33"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D34"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D35"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D36"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D37"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D38"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D39"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D3A"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D3B"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D3C"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D3D" w14:textId="77777777" w:rsidR="00D7560A" w:rsidRDefault="00D7560A">
            <w:pPr>
              <w:widowControl/>
              <w:jc w:val="left"/>
              <w:rPr>
                <w:rFonts w:ascii="Times New Roman" w:eastAsia="宋体" w:hAnsi="宋体" w:cs="宋体"/>
                <w:vanish/>
                <w:kern w:val="0"/>
                <w:sz w:val="24"/>
              </w:rPr>
            </w:pPr>
          </w:p>
        </w:tc>
      </w:tr>
      <w:tr w:rsidR="001E3CAB" w14:paraId="59E48D61"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59E48D3F"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16"/>
                <w:szCs w:val="16"/>
                <w:lang w:bidi="ar"/>
              </w:rPr>
              <w:t>Balances as of July 30, 2021</w:t>
            </w: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59E48D40"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773 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59E48D41"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D42"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59E48D43"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59E48D44"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17,510 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59E48D45"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D46" w14:textId="77777777" w:rsidR="00D7560A" w:rsidRDefault="00D7560A">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59E48D47"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8 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59E48D48"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D49"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59E48D4A"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59E48D4B"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(305)</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59E48D4C"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D4D"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59E48D4E"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59E48D4F"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(12,033)</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59E48D50"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D51"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59E48D52"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59E48D53"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(347)</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59E48D54"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D55"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59E48D56"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59E48D57"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4,825 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59E48D58"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D59"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59E48D5A"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59E48D5B"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5,118 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59E48D5C"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D5D"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59E48D5E"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59E48D5F"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9,943 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59E48D60" w14:textId="77777777" w:rsidR="00D7560A" w:rsidRDefault="00D7560A">
            <w:pPr>
              <w:widowControl/>
              <w:jc w:val="right"/>
              <w:rPr>
                <w:rFonts w:ascii="Times New Roman" w:eastAsia="宋体" w:hAnsi="宋体" w:cs="宋体"/>
                <w:kern w:val="0"/>
                <w:sz w:val="24"/>
              </w:rPr>
            </w:pPr>
          </w:p>
        </w:tc>
      </w:tr>
    </w:tbl>
    <w:p w14:paraId="59E48D62" w14:textId="77777777" w:rsidR="00D7560A" w:rsidRDefault="001E3CAB">
      <w:pPr>
        <w:widowControl/>
        <w:spacing w:after="60"/>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The accompanying</w:t>
      </w:r>
      <w:r>
        <w:rPr>
          <w:rFonts w:ascii="Times New Roman" w:eastAsia="宋体" w:hAnsi="Times New Roman" w:cs="Times New Roman"/>
          <w:color w:val="000000"/>
          <w:kern w:val="0"/>
          <w:sz w:val="20"/>
          <w:szCs w:val="20"/>
          <w:lang w:bidi="ar"/>
        </w:rPr>
        <w:t xml:space="preserve"> notes are an integral part of these Condensed Consolidated Financial Statements.</w:t>
      </w:r>
    </w:p>
    <w:p w14:paraId="59E48D63"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8D64"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11</w:t>
      </w:r>
    </w:p>
    <w:p w14:paraId="59E48D65"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8D66" w14:textId="77777777" w:rsidR="00D7560A" w:rsidRDefault="001E3CAB">
      <w:pPr>
        <w:widowControl/>
        <w:jc w:val="center"/>
      </w:pPr>
      <w:r>
        <w:rPr>
          <w:rFonts w:ascii="宋体" w:eastAsia="宋体" w:hAnsi="宋体" w:cs="宋体"/>
          <w:kern w:val="0"/>
          <w:sz w:val="24"/>
        </w:rPr>
        <w:pict w14:anchorId="59E4C7D6">
          <v:rect id="_x0000_i1035" style="width:6in;height:1.5pt" o:hralign="center" o:hrstd="t" o:hr="t" fillcolor="#a0a0a0" stroked="f"/>
        </w:pict>
      </w:r>
    </w:p>
    <w:p w14:paraId="59E48D67" w14:textId="77777777" w:rsidR="00D7560A" w:rsidRDefault="001E3CAB">
      <w:pPr>
        <w:widowControl/>
        <w:jc w:val="left"/>
        <w:rPr>
          <w:rFonts w:ascii="宋体" w:eastAsia="宋体" w:hAnsi="宋体" w:cs="宋体"/>
          <w:kern w:val="0"/>
          <w:sz w:val="24"/>
        </w:rPr>
      </w:pPr>
      <w:hyperlink w:anchor="if933dd1d5d004d2495dd7029e3ecad00_13" w:history="1">
        <w:r>
          <w:rPr>
            <w:rStyle w:val="a4"/>
            <w:rFonts w:ascii="Times New Roman" w:eastAsia="宋体" w:hAnsi="Times New Roman" w:cs="Times New Roman"/>
            <w:sz w:val="20"/>
            <w:szCs w:val="20"/>
          </w:rPr>
          <w:t>Table of Contents</w:t>
        </w:r>
      </w:hyperlink>
    </w:p>
    <w:p w14:paraId="59E48D68"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DELL TECHNOLOGIES INC.</w:t>
      </w:r>
    </w:p>
    <w:p w14:paraId="59E48D69"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 xml:space="preserve">NOTES TO THE CONDENSED CONSOLIDATED FINANCIAL </w:t>
      </w:r>
      <w:r>
        <w:rPr>
          <w:rFonts w:ascii="Times New Roman" w:eastAsia="宋体" w:hAnsi="Times New Roman" w:cs="Times New Roman"/>
          <w:b/>
          <w:bCs/>
          <w:color w:val="000000"/>
          <w:kern w:val="0"/>
          <w:sz w:val="20"/>
          <w:szCs w:val="20"/>
          <w:lang w:bidi="ar"/>
        </w:rPr>
        <w:t>STATEMENTS</w:t>
      </w:r>
    </w:p>
    <w:p w14:paraId="59E48D6A"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(unaudited)</w:t>
      </w:r>
    </w:p>
    <w:p w14:paraId="59E48D6B" w14:textId="77777777" w:rsidR="00D7560A" w:rsidRDefault="001E3CAB">
      <w:pPr>
        <w:widowControl/>
        <w:spacing w:before="240"/>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8D6C"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NOTE 1 — OVERVIEW AND BASIS OF PRESENTATION</w:t>
      </w:r>
    </w:p>
    <w:p w14:paraId="59E48D6D"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8D6E"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Dell Technologies Inc. is a leading global end-to-end technology provider that offers a broad range of comprehensive and integrated solutions, which include servers and networking produ</w:t>
      </w:r>
      <w:r>
        <w:rPr>
          <w:rFonts w:ascii="Times New Roman" w:eastAsia="宋体" w:hAnsi="Times New Roman" w:cs="Times New Roman"/>
          <w:color w:val="000000"/>
          <w:kern w:val="0"/>
          <w:sz w:val="20"/>
          <w:szCs w:val="20"/>
          <w:lang w:bidi="ar"/>
        </w:rPr>
        <w:t>cts, storage products, cloud solutions products, desktops, notebooks, services, software, and third-party software and peripherals. References in these Notes to the Condensed Consolidated Financial Statements to the “Company” or “Dell Technologies” mean De</w:t>
      </w:r>
      <w:r>
        <w:rPr>
          <w:rFonts w:ascii="Times New Roman" w:eastAsia="宋体" w:hAnsi="Times New Roman" w:cs="Times New Roman"/>
          <w:color w:val="000000"/>
          <w:kern w:val="0"/>
          <w:sz w:val="20"/>
          <w:szCs w:val="20"/>
          <w:lang w:bidi="ar"/>
        </w:rPr>
        <w:t xml:space="preserve">ll Technologies Inc. individually and together with its consolidated subsidiaries. </w:t>
      </w:r>
    </w:p>
    <w:p w14:paraId="59E48D6F"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8D70"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i/>
          <w:iCs/>
          <w:color w:val="000000"/>
          <w:kern w:val="0"/>
          <w:sz w:val="20"/>
          <w:szCs w:val="20"/>
          <w:u w:val="single"/>
          <w:lang w:bidi="ar"/>
        </w:rPr>
        <w:t>Basis of Presentation</w:t>
      </w:r>
      <w:r>
        <w:rPr>
          <w:rFonts w:ascii="Times New Roman" w:eastAsia="宋体" w:hAnsi="Times New Roman" w:cs="Times New Roman"/>
          <w:i/>
          <w:iCs/>
          <w:color w:val="000000"/>
          <w:kern w:val="0"/>
          <w:sz w:val="20"/>
          <w:szCs w:val="20"/>
          <w:lang w:bidi="ar"/>
        </w:rPr>
        <w:t xml:space="preserve"> — </w:t>
      </w:r>
      <w:r>
        <w:rPr>
          <w:rFonts w:ascii="Times New Roman" w:eastAsia="宋体" w:hAnsi="Times New Roman" w:cs="Times New Roman"/>
          <w:color w:val="000000"/>
          <w:kern w:val="0"/>
          <w:sz w:val="20"/>
          <w:szCs w:val="20"/>
          <w:lang w:bidi="ar"/>
        </w:rPr>
        <w:t xml:space="preserve">The accompanying unaudited Condensed Consolidated Financial Statements should be read in conjunction with the audited Consolidated </w:t>
      </w:r>
      <w:r>
        <w:rPr>
          <w:rFonts w:ascii="Times New Roman" w:eastAsia="宋体" w:hAnsi="Times New Roman" w:cs="Times New Roman"/>
          <w:color w:val="000000"/>
          <w:kern w:val="0"/>
          <w:sz w:val="20"/>
          <w:szCs w:val="20"/>
          <w:lang w:bidi="ar"/>
        </w:rPr>
        <w:t>Financial Statements and accompanying Notes filed with the U.S. Securities and Exchange Commission (“SEC”) in the Company’s Annual Report on Form 10-K for the fiscal year ended January 28, 2022. These Condensed Consolidated Financial Statements have been p</w:t>
      </w:r>
      <w:r>
        <w:rPr>
          <w:rFonts w:ascii="Times New Roman" w:eastAsia="宋体" w:hAnsi="Times New Roman" w:cs="Times New Roman"/>
          <w:color w:val="000000"/>
          <w:kern w:val="0"/>
          <w:sz w:val="20"/>
          <w:szCs w:val="20"/>
          <w:lang w:bidi="ar"/>
        </w:rPr>
        <w:t>repared in accordance with accounting principles generally accepted in the United States of America (“GAAP”). In the opinion of management, the accompanying Condensed Consolidated Financial Statements reflect all adjustments of a normal recurring nature co</w:t>
      </w:r>
      <w:r>
        <w:rPr>
          <w:rFonts w:ascii="Times New Roman" w:eastAsia="宋体" w:hAnsi="Times New Roman" w:cs="Times New Roman"/>
          <w:color w:val="000000"/>
          <w:kern w:val="0"/>
          <w:sz w:val="20"/>
          <w:szCs w:val="20"/>
          <w:lang w:bidi="ar"/>
        </w:rPr>
        <w:t>nsidered necessary to fairly state the financial position of the Company as of July 29, 2022 and January 28, 2022, the results of its operations, corresponding comprehensive income, and its statement of stockholders’ equity for the three and six months end</w:t>
      </w:r>
      <w:r>
        <w:rPr>
          <w:rFonts w:ascii="Times New Roman" w:eastAsia="宋体" w:hAnsi="Times New Roman" w:cs="Times New Roman"/>
          <w:color w:val="000000"/>
          <w:kern w:val="0"/>
          <w:sz w:val="20"/>
          <w:szCs w:val="20"/>
          <w:lang w:bidi="ar"/>
        </w:rPr>
        <w:t>ed July 29, 2022 and July 30, 2021, and its cash flows for the six months ended July 29, 2022 and July 30, 2021.</w:t>
      </w:r>
    </w:p>
    <w:p w14:paraId="59E48D71"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8D72"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The preparation of financial statements in accordance with GAAP requires management to make estimates and assumptions that</w:t>
      </w:r>
    </w:p>
    <w:p w14:paraId="59E48D73"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affect the amounts</w:t>
      </w:r>
      <w:r>
        <w:rPr>
          <w:rFonts w:ascii="Times New Roman" w:eastAsia="宋体" w:hAnsi="Times New Roman" w:cs="Times New Roman"/>
          <w:color w:val="000000"/>
          <w:kern w:val="0"/>
          <w:sz w:val="20"/>
          <w:szCs w:val="20"/>
          <w:lang w:bidi="ar"/>
        </w:rPr>
        <w:t xml:space="preserve"> reported in the Condensed Consolidated Financial Statements and the accompanying Notes. Actual results could differ materially from those estimates. The results of its operations, corresponding comprehensive income, statement of stockholders’ equity for t</w:t>
      </w:r>
      <w:r>
        <w:rPr>
          <w:rFonts w:ascii="Times New Roman" w:eastAsia="宋体" w:hAnsi="Times New Roman" w:cs="Times New Roman"/>
          <w:color w:val="000000"/>
          <w:kern w:val="0"/>
          <w:sz w:val="20"/>
          <w:szCs w:val="20"/>
          <w:lang w:bidi="ar"/>
        </w:rPr>
        <w:t>he three and six months ended July 29, 2022 and July 30, 2021, and its cash flows for the six months ended July 29, 2022 and July 30, 2021 are not necessarily indicative of the results to be expected for the full fiscal year or for any other fiscal period.</w:t>
      </w:r>
    </w:p>
    <w:p w14:paraId="59E48D74"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8D75"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The Company’s fiscal year is the 52- or 53-week period ending on the Friday nearest January 31. The fiscal year ended January 28, 2022 (“Fiscal 2022”) was a 52-week period while the fiscal year ending February 3, 2023 (“Fiscal 2023”) will be a 53-week p</w:t>
      </w:r>
      <w:r>
        <w:rPr>
          <w:rFonts w:ascii="Times New Roman" w:eastAsia="宋体" w:hAnsi="Times New Roman" w:cs="Times New Roman"/>
          <w:color w:val="000000"/>
          <w:kern w:val="0"/>
          <w:sz w:val="20"/>
          <w:szCs w:val="20"/>
          <w:lang w:bidi="ar"/>
        </w:rPr>
        <w:t>eriod.</w:t>
      </w:r>
    </w:p>
    <w:p w14:paraId="59E48D76"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8D77"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i/>
          <w:iCs/>
          <w:color w:val="000000"/>
          <w:kern w:val="0"/>
          <w:sz w:val="20"/>
          <w:szCs w:val="20"/>
          <w:u w:val="single"/>
          <w:lang w:bidi="ar"/>
        </w:rPr>
        <w:t>Principles of Consolidation</w:t>
      </w:r>
      <w:r>
        <w:rPr>
          <w:rFonts w:ascii="Times New Roman" w:eastAsia="宋体" w:hAnsi="Times New Roman" w:cs="Times New Roman"/>
          <w:color w:val="000000"/>
          <w:kern w:val="0"/>
          <w:sz w:val="20"/>
          <w:szCs w:val="20"/>
          <w:lang w:bidi="ar"/>
        </w:rPr>
        <w:t xml:space="preserve"> — These Condensed Consolidated Financial Statements include the accounts of Dell Technologies Inc., its wholly-owned subsidiaries, and the accounts of SecureWorks Corp. (“Secureworks”), which is majority-owned by Dell T</w:t>
      </w:r>
      <w:r>
        <w:rPr>
          <w:rFonts w:ascii="Times New Roman" w:eastAsia="宋体" w:hAnsi="Times New Roman" w:cs="Times New Roman"/>
          <w:color w:val="000000"/>
          <w:kern w:val="0"/>
          <w:sz w:val="20"/>
          <w:szCs w:val="20"/>
          <w:lang w:bidi="ar"/>
        </w:rPr>
        <w:t>echnologies. All intercompany transactions have been eliminated.</w:t>
      </w:r>
    </w:p>
    <w:p w14:paraId="59E48D78"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8D79"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i/>
          <w:iCs/>
          <w:color w:val="000000"/>
          <w:kern w:val="0"/>
          <w:sz w:val="20"/>
          <w:szCs w:val="20"/>
          <w:lang w:bidi="ar"/>
        </w:rPr>
        <w:t>Secureworks</w:t>
      </w:r>
      <w:r>
        <w:rPr>
          <w:rFonts w:ascii="Times New Roman" w:eastAsia="宋体" w:hAnsi="Times New Roman" w:cs="Times New Roman"/>
          <w:color w:val="000000"/>
          <w:kern w:val="0"/>
          <w:sz w:val="20"/>
          <w:szCs w:val="20"/>
          <w:lang w:bidi="ar"/>
        </w:rPr>
        <w:t xml:space="preserve"> — As of July 29, 2022 and January 28, 2022, the Company held approximately 82.8% and 83.9%, respectively, of the outstanding equity interest in Secureworks, excluding restricted</w:t>
      </w:r>
      <w:r>
        <w:rPr>
          <w:rFonts w:ascii="Times New Roman" w:eastAsia="宋体" w:hAnsi="Times New Roman" w:cs="Times New Roman"/>
          <w:color w:val="000000"/>
          <w:kern w:val="0"/>
          <w:sz w:val="20"/>
          <w:szCs w:val="20"/>
          <w:lang w:bidi="ar"/>
        </w:rPr>
        <w:t xml:space="preserve"> stock awards (“RSAs”), and approximately 82.4% and 83.1%, respectively, of the equity interest, including RSAs. The portion of the results of operations of Secureworks allocable to its other owners is shown as net income (loss) attributable to the non-con</w:t>
      </w:r>
      <w:r>
        <w:rPr>
          <w:rFonts w:ascii="Times New Roman" w:eastAsia="宋体" w:hAnsi="Times New Roman" w:cs="Times New Roman"/>
          <w:color w:val="000000"/>
          <w:kern w:val="0"/>
          <w:sz w:val="20"/>
          <w:szCs w:val="20"/>
          <w:lang w:bidi="ar"/>
        </w:rPr>
        <w:t>trolling interests in the Condensed Consolidated Statements of Income, as an adjustment to net income attributable to Dell Technologies stockholders. The non-controlling interests’ share of equity in Secureworks is reflected as a component of the non-contr</w:t>
      </w:r>
      <w:r>
        <w:rPr>
          <w:rFonts w:ascii="Times New Roman" w:eastAsia="宋体" w:hAnsi="Times New Roman" w:cs="Times New Roman"/>
          <w:color w:val="000000"/>
          <w:kern w:val="0"/>
          <w:sz w:val="20"/>
          <w:szCs w:val="20"/>
          <w:lang w:bidi="ar"/>
        </w:rPr>
        <w:t>olling interests in the Condensed Consolidated Statements of Financial Position and was $105 million as of both July 29, 2022 and January 28, 2022.</w:t>
      </w:r>
    </w:p>
    <w:p w14:paraId="59E48D7A"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8D7B"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i/>
          <w:iCs/>
          <w:color w:val="000000"/>
          <w:kern w:val="0"/>
          <w:sz w:val="20"/>
          <w:szCs w:val="20"/>
          <w:lang w:bidi="ar"/>
        </w:rPr>
        <w:t>Variable Interest Entities</w:t>
      </w:r>
      <w:r>
        <w:rPr>
          <w:rFonts w:ascii="Times New Roman" w:eastAsia="宋体" w:hAnsi="Times New Roman" w:cs="Times New Roman"/>
          <w:color w:val="000000"/>
          <w:kern w:val="0"/>
          <w:sz w:val="20"/>
          <w:szCs w:val="20"/>
          <w:lang w:bidi="ar"/>
        </w:rPr>
        <w:t xml:space="preserve"> — The Company also consolidates Variable Interest Entities ("VIEs") where it ha</w:t>
      </w:r>
      <w:r>
        <w:rPr>
          <w:rFonts w:ascii="Times New Roman" w:eastAsia="宋体" w:hAnsi="Times New Roman" w:cs="Times New Roman"/>
          <w:color w:val="000000"/>
          <w:kern w:val="0"/>
          <w:sz w:val="20"/>
          <w:szCs w:val="20"/>
          <w:lang w:bidi="ar"/>
        </w:rPr>
        <w:t>s been determined that the Company is the primary beneficiary of the applicable entities’ operations. For each VIE, the primary beneficiary is the party that has both the power to direct the activities that most significantly impact the VIE's economic perf</w:t>
      </w:r>
      <w:r>
        <w:rPr>
          <w:rFonts w:ascii="Times New Roman" w:eastAsia="宋体" w:hAnsi="Times New Roman" w:cs="Times New Roman"/>
          <w:color w:val="000000"/>
          <w:kern w:val="0"/>
          <w:sz w:val="20"/>
          <w:szCs w:val="20"/>
          <w:lang w:bidi="ar"/>
        </w:rPr>
        <w:t>ormance and the obligation to absorb losses or the right to receive benefits of the VIE that could potentially be significant to such VIE. In evaluating whether the Company is the primary beneficiary of each entity, the Company evaluates its power to direc</w:t>
      </w:r>
      <w:r>
        <w:rPr>
          <w:rFonts w:ascii="Times New Roman" w:eastAsia="宋体" w:hAnsi="Times New Roman" w:cs="Times New Roman"/>
          <w:color w:val="000000"/>
          <w:kern w:val="0"/>
          <w:sz w:val="20"/>
          <w:szCs w:val="20"/>
          <w:lang w:bidi="ar"/>
        </w:rPr>
        <w:t>t the most significant activities of the VIE by considering the purpose and design of each entity and the risks each entity was designed to create and pass through to its respective variable interest holders. The Company also evaluates its economic interes</w:t>
      </w:r>
      <w:r>
        <w:rPr>
          <w:rFonts w:ascii="Times New Roman" w:eastAsia="宋体" w:hAnsi="Times New Roman" w:cs="Times New Roman"/>
          <w:color w:val="000000"/>
          <w:kern w:val="0"/>
          <w:sz w:val="20"/>
          <w:szCs w:val="20"/>
          <w:lang w:bidi="ar"/>
        </w:rPr>
        <w:t>ts in each of the VIEs. See Note 5 of the Notes to the Condensed Consolidated Financial Statements for more information regarding consolidated VIEs.</w:t>
      </w:r>
    </w:p>
    <w:p w14:paraId="59E48D7C"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8D7D"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i/>
          <w:iCs/>
          <w:color w:val="000000"/>
          <w:kern w:val="0"/>
          <w:sz w:val="20"/>
          <w:szCs w:val="20"/>
          <w:lang w:bidi="ar"/>
        </w:rPr>
        <w:t>Spin-Off of VMware, Inc.</w:t>
      </w:r>
      <w:r>
        <w:rPr>
          <w:rFonts w:ascii="Times New Roman" w:eastAsia="宋体" w:hAnsi="Times New Roman" w:cs="Times New Roman"/>
          <w:color w:val="000000"/>
          <w:kern w:val="0"/>
          <w:sz w:val="20"/>
          <w:szCs w:val="20"/>
          <w:lang w:bidi="ar"/>
        </w:rPr>
        <w:t xml:space="preserve"> — On November 1, 2021, the Company completed its spin-off of VMware, Inc. (NYSE:</w:t>
      </w:r>
      <w:r>
        <w:rPr>
          <w:rFonts w:ascii="Times New Roman" w:eastAsia="宋体" w:hAnsi="Times New Roman" w:cs="Times New Roman"/>
          <w:color w:val="000000"/>
          <w:kern w:val="0"/>
          <w:sz w:val="20"/>
          <w:szCs w:val="20"/>
          <w:lang w:bidi="ar"/>
        </w:rPr>
        <w:t xml:space="preserve"> VMW) (individually and together with its consolidated subsidiaries, “VMware”) by means of a special stock dividend (the “VMware Spin-off”). The VMware Spin-off was effectuated pursuant to a Separation and Distribution Agreement, dated as of April 14, 2021</w:t>
      </w:r>
      <w:r>
        <w:rPr>
          <w:rFonts w:ascii="Times New Roman" w:eastAsia="宋体" w:hAnsi="Times New Roman" w:cs="Times New Roman"/>
          <w:color w:val="000000"/>
          <w:kern w:val="0"/>
          <w:sz w:val="20"/>
          <w:szCs w:val="20"/>
          <w:lang w:bidi="ar"/>
        </w:rPr>
        <w:t>, between Dell Technologies and VMware (the “Separation and Distribution Agreement”).</w:t>
      </w:r>
    </w:p>
    <w:p w14:paraId="59E48D7E"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8D7F"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12</w:t>
      </w:r>
    </w:p>
    <w:p w14:paraId="59E48D80"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8D81" w14:textId="77777777" w:rsidR="00D7560A" w:rsidRDefault="001E3CAB">
      <w:pPr>
        <w:widowControl/>
        <w:jc w:val="center"/>
      </w:pPr>
      <w:r>
        <w:rPr>
          <w:rFonts w:ascii="宋体" w:eastAsia="宋体" w:hAnsi="宋体" w:cs="宋体"/>
          <w:kern w:val="0"/>
          <w:sz w:val="24"/>
        </w:rPr>
        <w:pict w14:anchorId="59E4C7D7">
          <v:rect id="_x0000_i1036" style="width:6in;height:1.5pt" o:hralign="center" o:hrstd="t" o:hr="t" fillcolor="#a0a0a0" stroked="f"/>
        </w:pict>
      </w:r>
    </w:p>
    <w:p w14:paraId="59E48D82" w14:textId="77777777" w:rsidR="00D7560A" w:rsidRDefault="001E3CAB">
      <w:pPr>
        <w:widowControl/>
        <w:jc w:val="left"/>
        <w:rPr>
          <w:rFonts w:ascii="宋体" w:eastAsia="宋体" w:hAnsi="宋体" w:cs="宋体"/>
          <w:kern w:val="0"/>
          <w:sz w:val="24"/>
        </w:rPr>
      </w:pPr>
      <w:hyperlink w:anchor="if933dd1d5d004d2495dd7029e3ecad00_13" w:history="1">
        <w:r>
          <w:rPr>
            <w:rStyle w:val="a4"/>
            <w:rFonts w:ascii="Times New Roman" w:eastAsia="宋体" w:hAnsi="Times New Roman" w:cs="Times New Roman"/>
            <w:sz w:val="20"/>
            <w:szCs w:val="20"/>
          </w:rPr>
          <w:t>Table of Contents</w:t>
        </w:r>
      </w:hyperlink>
    </w:p>
    <w:p w14:paraId="59E48D83"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DELL TECHNOLOGIES INC.</w:t>
      </w:r>
    </w:p>
    <w:p w14:paraId="59E48D84"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 xml:space="preserve">NOTES TO THE CONDENSED CONSOLIDATED FINANCIAL </w:t>
      </w:r>
      <w:r>
        <w:rPr>
          <w:rFonts w:ascii="Times New Roman" w:eastAsia="宋体" w:hAnsi="Times New Roman" w:cs="Times New Roman"/>
          <w:b/>
          <w:bCs/>
          <w:color w:val="000000"/>
          <w:kern w:val="0"/>
          <w:sz w:val="20"/>
          <w:szCs w:val="20"/>
          <w:lang w:bidi="ar"/>
        </w:rPr>
        <w:t>STATEMENTS (Continued)</w:t>
      </w:r>
    </w:p>
    <w:p w14:paraId="59E48D85"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(unaudited)</w:t>
      </w:r>
    </w:p>
    <w:p w14:paraId="59E48D86"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8D87"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8D88"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Pursuant to the Commercial Framework Agreement (the “CFA”) between Dell Technologies and VMware, Dell Technologies continues to act as a distributor of VMware’s standalone products and services and purchase such produ</w:t>
      </w:r>
      <w:r>
        <w:rPr>
          <w:rFonts w:ascii="Times New Roman" w:eastAsia="宋体" w:hAnsi="Times New Roman" w:cs="Times New Roman"/>
          <w:color w:val="000000"/>
          <w:kern w:val="0"/>
          <w:sz w:val="20"/>
          <w:szCs w:val="20"/>
          <w:lang w:bidi="ar"/>
        </w:rPr>
        <w:t>cts and services for resale to customers. Dell Technologies also continues to integrate VMware’s products and services with Dell Technologies’ offerings and sell them to customers. The results of such operations are presented as continuing operations withi</w:t>
      </w:r>
      <w:r>
        <w:rPr>
          <w:rFonts w:ascii="Times New Roman" w:eastAsia="宋体" w:hAnsi="Times New Roman" w:cs="Times New Roman"/>
          <w:color w:val="000000"/>
          <w:kern w:val="0"/>
          <w:sz w:val="20"/>
          <w:szCs w:val="20"/>
          <w:lang w:bidi="ar"/>
        </w:rPr>
        <w:t>n the Company’s Condensed Consolidated Statements of Income for all periods presented.</w:t>
      </w:r>
    </w:p>
    <w:p w14:paraId="59E48D89"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8D8A"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In accordance with applicable accounting guidance, the results of VMware, excluding Dell Technologies' resale of VMware offerings, are presented as discontinued operat</w:t>
      </w:r>
      <w:r>
        <w:rPr>
          <w:rFonts w:ascii="Times New Roman" w:eastAsia="宋体" w:hAnsi="Times New Roman" w:cs="Times New Roman"/>
          <w:color w:val="000000"/>
          <w:kern w:val="0"/>
          <w:sz w:val="20"/>
          <w:szCs w:val="20"/>
          <w:lang w:bidi="ar"/>
        </w:rPr>
        <w:t>ions in the Condensed Consolidated Statements of Income and, as such, have been excluded from both continuing operations and segment results for the three and six months ended July 30, 2021. The Condensed Consolidated Statements of Cash Flows are presented</w:t>
      </w:r>
      <w:r>
        <w:rPr>
          <w:rFonts w:ascii="Times New Roman" w:eastAsia="宋体" w:hAnsi="Times New Roman" w:cs="Times New Roman"/>
          <w:color w:val="000000"/>
          <w:kern w:val="0"/>
          <w:sz w:val="20"/>
          <w:szCs w:val="20"/>
          <w:lang w:bidi="ar"/>
        </w:rPr>
        <w:t xml:space="preserve"> on a consolidated basis for both continuing operations and discontinued operations. See Note 2 of the Notes to the Condensed Consolidated Financial Statements for additional information on the VMware Spin-off.</w:t>
      </w:r>
    </w:p>
    <w:p w14:paraId="59E48D8B"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8D8C"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i/>
          <w:iCs/>
          <w:color w:val="000000"/>
          <w:kern w:val="0"/>
          <w:sz w:val="20"/>
          <w:szCs w:val="20"/>
          <w:lang w:bidi="ar"/>
        </w:rPr>
        <w:t xml:space="preserve">Boomi Divestiture </w:t>
      </w:r>
      <w:r>
        <w:rPr>
          <w:rFonts w:ascii="Times New Roman" w:eastAsia="宋体" w:hAnsi="Times New Roman" w:cs="Times New Roman"/>
          <w:color w:val="000000"/>
          <w:kern w:val="0"/>
          <w:sz w:val="20"/>
          <w:szCs w:val="20"/>
          <w:lang w:bidi="ar"/>
        </w:rPr>
        <w:t>— On October 1, 2021, Del</w:t>
      </w:r>
      <w:r>
        <w:rPr>
          <w:rFonts w:ascii="Times New Roman" w:eastAsia="宋体" w:hAnsi="Times New Roman" w:cs="Times New Roman"/>
          <w:color w:val="000000"/>
          <w:kern w:val="0"/>
          <w:sz w:val="20"/>
          <w:szCs w:val="20"/>
          <w:lang w:bidi="ar"/>
        </w:rPr>
        <w:t>l Technologies completed the sale of Boomi, Inc. (“Boomi”) and certain related assets. At the completion of the sale, the Company received total cash consideration of approximately $4.0 billion, resulting in a pre-tax gain on sale of $4.0 billion recognize</w:t>
      </w:r>
      <w:r>
        <w:rPr>
          <w:rFonts w:ascii="Times New Roman" w:eastAsia="宋体" w:hAnsi="Times New Roman" w:cs="Times New Roman"/>
          <w:color w:val="000000"/>
          <w:kern w:val="0"/>
          <w:sz w:val="20"/>
          <w:szCs w:val="20"/>
          <w:lang w:bidi="ar"/>
        </w:rPr>
        <w:t>d in interest and other, net on the Condensed Consolidated Statements of Income. The Company ultimately recorded a $3.0 billion gain, net of $1.0 billion in tax expense. The transaction was intended to support general corporate purposes and fuel growth ini</w:t>
      </w:r>
      <w:r>
        <w:rPr>
          <w:rFonts w:ascii="Times New Roman" w:eastAsia="宋体" w:hAnsi="Times New Roman" w:cs="Times New Roman"/>
          <w:color w:val="000000"/>
          <w:kern w:val="0"/>
          <w:sz w:val="20"/>
          <w:szCs w:val="20"/>
          <w:lang w:bidi="ar"/>
        </w:rPr>
        <w:t>tiatives through targeted investments to modernize Dell Technologies’ core infrastructure and by expanding in high-priority areas, including hybrid and private cloud, edge, telecommunications solutions, and the Company’s APEX offerings. Prior to the divest</w:t>
      </w:r>
      <w:r>
        <w:rPr>
          <w:rFonts w:ascii="Times New Roman" w:eastAsia="宋体" w:hAnsi="Times New Roman" w:cs="Times New Roman"/>
          <w:color w:val="000000"/>
          <w:kern w:val="0"/>
          <w:sz w:val="20"/>
          <w:szCs w:val="20"/>
          <w:lang w:bidi="ar"/>
        </w:rPr>
        <w:t xml:space="preserve">iture, Boomi’s operating results were included within other businesses and the divestiture did not qualify for presentation as a discontinued operation. </w:t>
      </w:r>
    </w:p>
    <w:p w14:paraId="59E48D8D"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8D8E"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i/>
          <w:iCs/>
          <w:color w:val="000000"/>
          <w:kern w:val="0"/>
          <w:sz w:val="20"/>
          <w:szCs w:val="20"/>
          <w:lang w:bidi="ar"/>
        </w:rPr>
        <w:t xml:space="preserve">Other Events </w:t>
      </w:r>
      <w:r>
        <w:rPr>
          <w:rFonts w:ascii="Times New Roman" w:eastAsia="宋体" w:hAnsi="Times New Roman" w:cs="Times New Roman"/>
          <w:color w:val="000000"/>
          <w:kern w:val="0"/>
          <w:sz w:val="20"/>
          <w:szCs w:val="20"/>
          <w:lang w:bidi="ar"/>
        </w:rPr>
        <w:t>— During three months ended July 29, 2022, Dell Technologies recognized $189 million in</w:t>
      </w:r>
      <w:r>
        <w:rPr>
          <w:rFonts w:ascii="Times New Roman" w:eastAsia="宋体" w:hAnsi="Times New Roman" w:cs="Times New Roman"/>
          <w:color w:val="000000"/>
          <w:kern w:val="0"/>
          <w:sz w:val="20"/>
          <w:szCs w:val="20"/>
          <w:lang w:bidi="ar"/>
        </w:rPr>
        <w:t xml:space="preserve"> costs associated with exiting the Company’s business in Russia, primarily related to asset impairments and other exit related costs. </w:t>
      </w:r>
    </w:p>
    <w:p w14:paraId="59E48D8F"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8D90"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i/>
          <w:iCs/>
          <w:color w:val="000000"/>
          <w:kern w:val="0"/>
          <w:sz w:val="20"/>
          <w:szCs w:val="20"/>
          <w:u w:val="single"/>
          <w:lang w:bidi="ar"/>
        </w:rPr>
        <w:t>Recently Issued Accounting Pronouncements</w:t>
      </w:r>
    </w:p>
    <w:p w14:paraId="59E48D91"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8D92"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i/>
          <w:iCs/>
          <w:color w:val="000000"/>
          <w:kern w:val="0"/>
          <w:sz w:val="20"/>
          <w:szCs w:val="20"/>
          <w:lang w:bidi="ar"/>
        </w:rPr>
        <w:t xml:space="preserve">Accounting for Contract Assets and Contract Liabilities from Contracts with Customers — </w:t>
      </w:r>
      <w:r>
        <w:rPr>
          <w:rFonts w:ascii="Times New Roman" w:eastAsia="宋体" w:hAnsi="Times New Roman" w:cs="Times New Roman"/>
          <w:color w:val="000000"/>
          <w:kern w:val="0"/>
          <w:sz w:val="20"/>
          <w:szCs w:val="20"/>
          <w:lang w:bidi="ar"/>
        </w:rPr>
        <w:t>In October 2021, the Financial Accounting Standards Board (“FASB”) issued guidance which requires companies to apply Topic 606, Revenue from Contracts with Customers, t</w:t>
      </w:r>
      <w:r>
        <w:rPr>
          <w:rFonts w:ascii="Times New Roman" w:eastAsia="宋体" w:hAnsi="Times New Roman" w:cs="Times New Roman"/>
          <w:color w:val="000000"/>
          <w:kern w:val="0"/>
          <w:sz w:val="20"/>
          <w:szCs w:val="20"/>
          <w:lang w:bidi="ar"/>
        </w:rPr>
        <w:t>o recognize and measure contract assets and contract liabilities from contracts with customers acquired in a business combination. Public entities must adopt the new guidance for fiscal years beginning after December 15, 2022 and interim periods within tho</w:t>
      </w:r>
      <w:r>
        <w:rPr>
          <w:rFonts w:ascii="Times New Roman" w:eastAsia="宋体" w:hAnsi="Times New Roman" w:cs="Times New Roman"/>
          <w:color w:val="000000"/>
          <w:kern w:val="0"/>
          <w:sz w:val="20"/>
          <w:szCs w:val="20"/>
          <w:lang w:bidi="ar"/>
        </w:rPr>
        <w:t>se fiscal years, with early adoption permitted. Adoption of the guidance is not expected to have a material impact on the Company’s financial results.</w:t>
      </w:r>
    </w:p>
    <w:p w14:paraId="59E48D93"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8D94"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i/>
          <w:iCs/>
          <w:color w:val="000000"/>
          <w:kern w:val="0"/>
          <w:sz w:val="20"/>
          <w:szCs w:val="20"/>
          <w:lang w:bidi="ar"/>
        </w:rPr>
        <w:t xml:space="preserve">Reference Rate Reform </w:t>
      </w:r>
      <w:r>
        <w:rPr>
          <w:rFonts w:ascii="Times New Roman" w:eastAsia="宋体" w:hAnsi="Times New Roman" w:cs="Times New Roman"/>
          <w:color w:val="000000"/>
          <w:kern w:val="0"/>
          <w:sz w:val="20"/>
          <w:szCs w:val="20"/>
          <w:lang w:bidi="ar"/>
        </w:rPr>
        <w:t>— In March 2020, the FASB issued guidance which provides temporary optional exped</w:t>
      </w:r>
      <w:r>
        <w:rPr>
          <w:rFonts w:ascii="Times New Roman" w:eastAsia="宋体" w:hAnsi="Times New Roman" w:cs="Times New Roman"/>
          <w:color w:val="000000"/>
          <w:kern w:val="0"/>
          <w:sz w:val="20"/>
          <w:szCs w:val="20"/>
          <w:lang w:bidi="ar"/>
        </w:rPr>
        <w:t>ients and exceptions to GAAP guidance on contract modifications and certain hedging relationships to ease the financial reporting burdens related to the expected market transition from the London Interbank Offered Rate to alternative reference rates. The C</w:t>
      </w:r>
      <w:r>
        <w:rPr>
          <w:rFonts w:ascii="Times New Roman" w:eastAsia="宋体" w:hAnsi="Times New Roman" w:cs="Times New Roman"/>
          <w:color w:val="000000"/>
          <w:kern w:val="0"/>
          <w:sz w:val="20"/>
          <w:szCs w:val="20"/>
          <w:lang w:bidi="ar"/>
        </w:rPr>
        <w:t xml:space="preserve">ompany may elect to apply the amendments prospectively through December 31, 2024. Adoption of the new guidance is not expected to have a material impact on the Company’s financial results. </w:t>
      </w:r>
    </w:p>
    <w:p w14:paraId="59E48D95"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8D96"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8D97"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8D98"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13</w:t>
      </w:r>
    </w:p>
    <w:p w14:paraId="59E48D99"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8D9A" w14:textId="77777777" w:rsidR="00D7560A" w:rsidRDefault="001E3CAB">
      <w:pPr>
        <w:widowControl/>
        <w:jc w:val="center"/>
      </w:pPr>
      <w:r>
        <w:rPr>
          <w:rFonts w:ascii="宋体" w:eastAsia="宋体" w:hAnsi="宋体" w:cs="宋体"/>
          <w:kern w:val="0"/>
          <w:sz w:val="24"/>
        </w:rPr>
        <w:pict w14:anchorId="59E4C7D8">
          <v:rect id="_x0000_i1037" style="width:6in;height:1.5pt" o:hralign="center" o:hrstd="t" o:hr="t" fillcolor="#a0a0a0" stroked="f"/>
        </w:pict>
      </w:r>
    </w:p>
    <w:p w14:paraId="59E48D9B" w14:textId="77777777" w:rsidR="00D7560A" w:rsidRDefault="001E3CAB">
      <w:pPr>
        <w:widowControl/>
        <w:jc w:val="left"/>
        <w:rPr>
          <w:rFonts w:ascii="宋体" w:eastAsia="宋体" w:hAnsi="宋体" w:cs="宋体"/>
          <w:kern w:val="0"/>
          <w:sz w:val="24"/>
        </w:rPr>
      </w:pPr>
      <w:hyperlink w:anchor="if933dd1d5d004d2495dd7029e3ecad00_13" w:history="1">
        <w:r>
          <w:rPr>
            <w:rStyle w:val="a4"/>
            <w:rFonts w:ascii="Times New Roman" w:eastAsia="宋体" w:hAnsi="Times New Roman" w:cs="Times New Roman"/>
            <w:sz w:val="20"/>
            <w:szCs w:val="20"/>
          </w:rPr>
          <w:t>Table of Contents</w:t>
        </w:r>
      </w:hyperlink>
    </w:p>
    <w:p w14:paraId="59E48D9C"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DELL TECHNOLOGIES INC.</w:t>
      </w:r>
    </w:p>
    <w:p w14:paraId="59E48D9D"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NOTES TO THE CONDENSED CONSOLIDATED FINANCIAL STATEMENTS (Continued)</w:t>
      </w:r>
    </w:p>
    <w:p w14:paraId="59E48D9E"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(unaudited)</w:t>
      </w:r>
    </w:p>
    <w:p w14:paraId="59E48D9F"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8DA0"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NOTE 2 — DISCONTINUED OPERATIONS</w:t>
      </w:r>
    </w:p>
    <w:p w14:paraId="59E48DA1"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8DA2"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i/>
          <w:iCs/>
          <w:color w:val="000000"/>
          <w:kern w:val="0"/>
          <w:sz w:val="20"/>
          <w:szCs w:val="20"/>
          <w:lang w:bidi="ar"/>
        </w:rPr>
        <w:t xml:space="preserve">VMware Spin-Off </w:t>
      </w:r>
      <w:r>
        <w:rPr>
          <w:rFonts w:ascii="Times New Roman" w:eastAsia="宋体" w:hAnsi="Times New Roman" w:cs="Times New Roman"/>
          <w:color w:val="000000"/>
          <w:kern w:val="0"/>
          <w:sz w:val="20"/>
          <w:szCs w:val="20"/>
          <w:lang w:bidi="ar"/>
        </w:rPr>
        <w:t>— As disclosed in Note 1 of the Notes to the Condensed Consolidated Financial Statements, on November 1, 2021, the Company completed its spin-off of VMware by means of a special stock dividend of 30,678,605 shares of Class A common stock and 307,221,836 sh</w:t>
      </w:r>
      <w:r>
        <w:rPr>
          <w:rFonts w:ascii="Times New Roman" w:eastAsia="宋体" w:hAnsi="Times New Roman" w:cs="Times New Roman"/>
          <w:color w:val="000000"/>
          <w:kern w:val="0"/>
          <w:sz w:val="20"/>
          <w:szCs w:val="20"/>
          <w:lang w:bidi="ar"/>
        </w:rPr>
        <w:t xml:space="preserve">ares of Class B common stock of VMware to Dell Technologies stockholders of record as of October 29, 2021. </w:t>
      </w:r>
    </w:p>
    <w:p w14:paraId="59E48DA3"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8DA4"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Prior to receipt of the VMware common stock by the Company’s stockholders, each share of VMware Class B common stock automatically converted into </w:t>
      </w:r>
      <w:r>
        <w:rPr>
          <w:rFonts w:ascii="Times New Roman" w:eastAsia="宋体" w:hAnsi="Times New Roman" w:cs="Times New Roman"/>
          <w:color w:val="000000"/>
          <w:kern w:val="0"/>
          <w:sz w:val="20"/>
          <w:szCs w:val="20"/>
          <w:lang w:bidi="ar"/>
        </w:rPr>
        <w:t xml:space="preserve">one share of VMware Class A common stock. As a result of these transactions, each holder of record of shares of Dell Technologies common stock as of the distribution record date received approximately 0.440626 of a share of VMware Class A common stock for </w:t>
      </w:r>
      <w:r>
        <w:rPr>
          <w:rFonts w:ascii="Times New Roman" w:eastAsia="宋体" w:hAnsi="Times New Roman" w:cs="Times New Roman"/>
          <w:color w:val="000000"/>
          <w:kern w:val="0"/>
          <w:sz w:val="20"/>
          <w:szCs w:val="20"/>
          <w:lang w:bidi="ar"/>
        </w:rPr>
        <w:t>each share of Dell Technologies common stock held as of such date, based on shares outstanding as of the completion of the VMware Spin-off. Following completion of the transaction, the pre-transaction stockholders of Dell Technologies owned shares in two s</w:t>
      </w:r>
      <w:r>
        <w:rPr>
          <w:rFonts w:ascii="Times New Roman" w:eastAsia="宋体" w:hAnsi="Times New Roman" w:cs="Times New Roman"/>
          <w:color w:val="000000"/>
          <w:kern w:val="0"/>
          <w:sz w:val="20"/>
          <w:szCs w:val="20"/>
          <w:lang w:bidi="ar"/>
        </w:rPr>
        <w:t>eparate public companies, consisting of (1) VMware, which continues to own the businesses of VMware, Inc. and its subsidiaries, and (2) Dell Technologies, which continues to own Dell Technologies’ other businesses and subsidiaries. After the separation, De</w:t>
      </w:r>
      <w:r>
        <w:rPr>
          <w:rFonts w:ascii="Times New Roman" w:eastAsia="宋体" w:hAnsi="Times New Roman" w:cs="Times New Roman"/>
          <w:color w:val="000000"/>
          <w:kern w:val="0"/>
          <w:sz w:val="20"/>
          <w:szCs w:val="20"/>
          <w:lang w:bidi="ar"/>
        </w:rPr>
        <w:t>ll Technologies does not beneficially own any shares of VMware common stock.</w:t>
      </w:r>
    </w:p>
    <w:p w14:paraId="59E48DA5"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8DA6"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VMware paid a cash dividend, pro rata, to each of the holders of VMware common stock in an aggregate amount equal to $11.5 billion, of which Dell Technologies received $9.3 bill</w:t>
      </w:r>
      <w:r>
        <w:rPr>
          <w:rFonts w:ascii="Times New Roman" w:eastAsia="宋体" w:hAnsi="Times New Roman" w:cs="Times New Roman"/>
          <w:color w:val="000000"/>
          <w:kern w:val="0"/>
          <w:sz w:val="20"/>
          <w:szCs w:val="20"/>
          <w:lang w:bidi="ar"/>
        </w:rPr>
        <w:t>ion. Following the payment by VMware to its stockholders, the separation of VMware from Dell Technologies occurred, including the termination or settlement of certain intercompany accounts and intercompany contracts. Dell Technologies used the net proceeds</w:t>
      </w:r>
      <w:r>
        <w:rPr>
          <w:rFonts w:ascii="Times New Roman" w:eastAsia="宋体" w:hAnsi="Times New Roman" w:cs="Times New Roman"/>
          <w:color w:val="000000"/>
          <w:kern w:val="0"/>
          <w:sz w:val="20"/>
          <w:szCs w:val="20"/>
          <w:lang w:bidi="ar"/>
        </w:rPr>
        <w:t xml:space="preserve"> from its pro rata share of the cash dividend to repay a portion of its outstanding debt. </w:t>
      </w:r>
    </w:p>
    <w:p w14:paraId="59E48DA7"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8DA8"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Dell Technologies determined that the VMware Spin-off, and related distributions, qualified as tax-free for U.S. federal income tax purposes, which required signif</w:t>
      </w:r>
      <w:r>
        <w:rPr>
          <w:rFonts w:ascii="Times New Roman" w:eastAsia="宋体" w:hAnsi="Times New Roman" w:cs="Times New Roman"/>
          <w:color w:val="000000"/>
          <w:kern w:val="0"/>
          <w:sz w:val="20"/>
          <w:szCs w:val="20"/>
          <w:lang w:bidi="ar"/>
        </w:rPr>
        <w:t>icant judgment by management. In making these determinations, Dell Technologies applied U.S. federal tax law to relevant facts and circumstances and obtained a favorable private letter ruling from the Internal Revenue Service, a tax opinion, and other exte</w:t>
      </w:r>
      <w:r>
        <w:rPr>
          <w:rFonts w:ascii="Times New Roman" w:eastAsia="宋体" w:hAnsi="Times New Roman" w:cs="Times New Roman"/>
          <w:color w:val="000000"/>
          <w:kern w:val="0"/>
          <w:sz w:val="20"/>
          <w:szCs w:val="20"/>
          <w:lang w:bidi="ar"/>
        </w:rPr>
        <w:t>rnal tax advice related to the concluded tax treatment. If the completed transactions were to fail to qualify for tax-free treatment for U.S. federal income tax purposes, the Company could be subject to significant liabilities, which could have material ad</w:t>
      </w:r>
      <w:r>
        <w:rPr>
          <w:rFonts w:ascii="Times New Roman" w:eastAsia="宋体" w:hAnsi="Times New Roman" w:cs="Times New Roman"/>
          <w:color w:val="000000"/>
          <w:kern w:val="0"/>
          <w:sz w:val="20"/>
          <w:szCs w:val="20"/>
          <w:lang w:bidi="ar"/>
        </w:rPr>
        <w:t>verse impacts on the Company’s business, financial condition, results of operations and cash flows in future reporting periods.</w:t>
      </w:r>
    </w:p>
    <w:p w14:paraId="59E48DA9"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8DAA"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In connection with and upon completion of the VMware Spin-off, Dell Technologies and VMware entered into various agreements th</w:t>
      </w:r>
      <w:r>
        <w:rPr>
          <w:rFonts w:ascii="Times New Roman" w:eastAsia="宋体" w:hAnsi="Times New Roman" w:cs="Times New Roman"/>
          <w:color w:val="000000"/>
          <w:kern w:val="0"/>
          <w:sz w:val="20"/>
          <w:szCs w:val="20"/>
          <w:lang w:bidi="ar"/>
        </w:rPr>
        <w:t>at provide a framework for the relationship between the companies after the transaction, including, among others, a commercial framework agreement, a tax matters agreement, and a transition services agreement.</w:t>
      </w:r>
    </w:p>
    <w:p w14:paraId="59E48DAB"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8DAC"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The CFA referred to in Note 1 to the Notes t</w:t>
      </w:r>
      <w:r>
        <w:rPr>
          <w:rFonts w:ascii="Times New Roman" w:eastAsia="宋体" w:hAnsi="Times New Roman" w:cs="Times New Roman"/>
          <w:color w:val="000000"/>
          <w:kern w:val="0"/>
          <w:sz w:val="20"/>
          <w:szCs w:val="20"/>
          <w:lang w:bidi="ar"/>
        </w:rPr>
        <w:t xml:space="preserve">o the Condensed Consolidated Financial Statements provides a framework under which the Company and VMware will continue their commercial relationship after the transaction, particularly with respect to projects mutually agreed by the parties as having the </w:t>
      </w:r>
      <w:r>
        <w:rPr>
          <w:rFonts w:ascii="Times New Roman" w:eastAsia="宋体" w:hAnsi="Times New Roman" w:cs="Times New Roman"/>
          <w:color w:val="000000"/>
          <w:kern w:val="0"/>
          <w:sz w:val="20"/>
          <w:szCs w:val="20"/>
          <w:lang w:bidi="ar"/>
        </w:rPr>
        <w:t>potential to accelerate the growth of an industry, product, service, or platform that may provide one or both companies with a strategic market opportunity. The CFA has an initial term of five years, with automatic one-year renewals occurring annually ther</w:t>
      </w:r>
      <w:r>
        <w:rPr>
          <w:rFonts w:ascii="Times New Roman" w:eastAsia="宋体" w:hAnsi="Times New Roman" w:cs="Times New Roman"/>
          <w:color w:val="000000"/>
          <w:kern w:val="0"/>
          <w:sz w:val="20"/>
          <w:szCs w:val="20"/>
          <w:lang w:bidi="ar"/>
        </w:rPr>
        <w:t>eafter, subject to certain terms and conditions.</w:t>
      </w:r>
    </w:p>
    <w:p w14:paraId="59E48DAD"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8DAE"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Pursuant to the CFA, Dell Technologies continues to act as a distributor of VMware’s standalone products and services and purchases such products and services for resale to end-user customers. Dell Technol</w:t>
      </w:r>
      <w:r>
        <w:rPr>
          <w:rFonts w:ascii="Times New Roman" w:eastAsia="宋体" w:hAnsi="Times New Roman" w:cs="Times New Roman"/>
          <w:color w:val="000000"/>
          <w:kern w:val="0"/>
          <w:sz w:val="20"/>
          <w:szCs w:val="20"/>
          <w:lang w:bidi="ar"/>
        </w:rPr>
        <w:t>ogies also continues to integrate VMware’s products and services with Dell Technologies’ offerings and sell them to end users. Cash flows between Dell Technologies and VMware primarily relate to such transactions. The Company has determined that it is gene</w:t>
      </w:r>
      <w:r>
        <w:rPr>
          <w:rFonts w:ascii="Times New Roman" w:eastAsia="宋体" w:hAnsi="Times New Roman" w:cs="Times New Roman"/>
          <w:color w:val="000000"/>
          <w:kern w:val="0"/>
          <w:sz w:val="20"/>
          <w:szCs w:val="20"/>
          <w:lang w:bidi="ar"/>
        </w:rPr>
        <w:t>rally acting as principal in these arrangements. The results of such operations are classified as continuing operations within the Company’s Condensed Consolidated Statements of Income. See Note 16 of the Notes to the Condensed Consolidated Financial State</w:t>
      </w:r>
      <w:r>
        <w:rPr>
          <w:rFonts w:ascii="Times New Roman" w:eastAsia="宋体" w:hAnsi="Times New Roman" w:cs="Times New Roman"/>
          <w:color w:val="000000"/>
          <w:kern w:val="0"/>
          <w:sz w:val="20"/>
          <w:szCs w:val="20"/>
          <w:lang w:bidi="ar"/>
        </w:rPr>
        <w:t xml:space="preserve">ments for additional information regarding transactions between Dell Technologies and VMware. </w:t>
      </w:r>
    </w:p>
    <w:p w14:paraId="59E48DAF"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8DB0"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In accordance with applicable accounting guidance, the results of VMware, excluding Dell Technologies’ resale of VMware offerings, are presented as discontinue</w:t>
      </w:r>
      <w:r>
        <w:rPr>
          <w:rFonts w:ascii="Times New Roman" w:eastAsia="宋体" w:hAnsi="Times New Roman" w:cs="Times New Roman"/>
          <w:color w:val="000000"/>
          <w:kern w:val="0"/>
          <w:sz w:val="20"/>
          <w:szCs w:val="20"/>
          <w:lang w:bidi="ar"/>
        </w:rPr>
        <w:t>d operations in the Condensed Consolidated Statements of Income and, as such, have been excluded from both continuing operations and segment results for the three and six months ended July 30, 2021. The Condensed Consolidated Statements of Cash Flows are p</w:t>
      </w:r>
      <w:r>
        <w:rPr>
          <w:rFonts w:ascii="Times New Roman" w:eastAsia="宋体" w:hAnsi="Times New Roman" w:cs="Times New Roman"/>
          <w:color w:val="000000"/>
          <w:kern w:val="0"/>
          <w:sz w:val="20"/>
          <w:szCs w:val="20"/>
          <w:lang w:bidi="ar"/>
        </w:rPr>
        <w:t>resented on a consolidated basis for both continuing operations and discontinued operations.</w:t>
      </w:r>
    </w:p>
    <w:p w14:paraId="59E48DB1"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8DB2"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8DB3"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14</w:t>
      </w:r>
    </w:p>
    <w:p w14:paraId="59E48DB4"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8DB5" w14:textId="77777777" w:rsidR="00D7560A" w:rsidRDefault="001E3CAB">
      <w:pPr>
        <w:widowControl/>
        <w:jc w:val="center"/>
      </w:pPr>
      <w:r>
        <w:rPr>
          <w:rFonts w:ascii="宋体" w:eastAsia="宋体" w:hAnsi="宋体" w:cs="宋体"/>
          <w:kern w:val="0"/>
          <w:sz w:val="24"/>
        </w:rPr>
        <w:pict w14:anchorId="59E4C7D9">
          <v:rect id="_x0000_i1038" style="width:6in;height:1.5pt" o:hralign="center" o:hrstd="t" o:hr="t" fillcolor="#a0a0a0" stroked="f"/>
        </w:pict>
      </w:r>
    </w:p>
    <w:p w14:paraId="59E48DB6" w14:textId="77777777" w:rsidR="00D7560A" w:rsidRDefault="001E3CAB">
      <w:pPr>
        <w:widowControl/>
        <w:jc w:val="left"/>
        <w:rPr>
          <w:rFonts w:ascii="宋体" w:eastAsia="宋体" w:hAnsi="宋体" w:cs="宋体"/>
          <w:kern w:val="0"/>
          <w:sz w:val="24"/>
        </w:rPr>
      </w:pPr>
      <w:hyperlink w:anchor="if933dd1d5d004d2495dd7029e3ecad00_13" w:history="1">
        <w:r>
          <w:rPr>
            <w:rStyle w:val="a4"/>
            <w:rFonts w:ascii="Times New Roman" w:eastAsia="宋体" w:hAnsi="Times New Roman" w:cs="Times New Roman"/>
            <w:sz w:val="20"/>
            <w:szCs w:val="20"/>
          </w:rPr>
          <w:t>Table of Contents</w:t>
        </w:r>
      </w:hyperlink>
    </w:p>
    <w:p w14:paraId="59E48DB7"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DELL TECHNOLOGIES INC.</w:t>
      </w:r>
    </w:p>
    <w:p w14:paraId="59E48DB8"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 xml:space="preserve">NOTES TO THE CONDENSED CONSOLIDATED </w:t>
      </w:r>
      <w:r>
        <w:rPr>
          <w:rFonts w:ascii="Times New Roman" w:eastAsia="宋体" w:hAnsi="Times New Roman" w:cs="Times New Roman"/>
          <w:b/>
          <w:bCs/>
          <w:color w:val="000000"/>
          <w:kern w:val="0"/>
          <w:sz w:val="20"/>
          <w:szCs w:val="20"/>
          <w:lang w:bidi="ar"/>
        </w:rPr>
        <w:t>FINANCIAL STATEMENTS (Continued)</w:t>
      </w:r>
    </w:p>
    <w:p w14:paraId="59E48DB9"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(unaudited)</w:t>
      </w:r>
    </w:p>
    <w:p w14:paraId="59E48DBA"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8DBB"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The tax matters agreement between the Company and VMware governs the respective rights, responsibilities, and obligations of Dell Technologies and VMware with respect to tax liabilities (including taxes, if </w:t>
      </w:r>
      <w:r>
        <w:rPr>
          <w:rFonts w:ascii="Times New Roman" w:eastAsia="宋体" w:hAnsi="Times New Roman" w:cs="Times New Roman"/>
          <w:color w:val="000000"/>
          <w:kern w:val="0"/>
          <w:sz w:val="20"/>
          <w:szCs w:val="20"/>
          <w:lang w:bidi="ar"/>
        </w:rPr>
        <w:t>any, incurred as a result of any failure of the VMware Spin-off to qualify for tax-free treatment for U.S. federal income tax purposes) and benefits, tax attributes, the preparation and filing of tax returns, the control of audits and other tax proceedings</w:t>
      </w:r>
      <w:r>
        <w:rPr>
          <w:rFonts w:ascii="Times New Roman" w:eastAsia="宋体" w:hAnsi="Times New Roman" w:cs="Times New Roman"/>
          <w:color w:val="000000"/>
          <w:kern w:val="0"/>
          <w:sz w:val="20"/>
          <w:szCs w:val="20"/>
          <w:lang w:bidi="ar"/>
        </w:rPr>
        <w:t>, cooperation, and other matters regarding tax.</w:t>
      </w:r>
    </w:p>
    <w:p w14:paraId="59E48DBC"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8DBD"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The transition services agreement between the Company and VMware governs the various administrative services which the Company will provide to VMware on an interim transitional basis. Transition services ma</w:t>
      </w:r>
      <w:r>
        <w:rPr>
          <w:rFonts w:ascii="Times New Roman" w:eastAsia="宋体" w:hAnsi="Times New Roman" w:cs="Times New Roman"/>
          <w:color w:val="000000"/>
          <w:kern w:val="0"/>
          <w:sz w:val="20"/>
          <w:szCs w:val="20"/>
          <w:lang w:bidi="ar"/>
        </w:rPr>
        <w:t xml:space="preserve">y be provided for up to one year. </w:t>
      </w:r>
    </w:p>
    <w:p w14:paraId="59E48DBE"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8DBF"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The following table presents key components of “Income from discontinued operations, net of income taxes” for the three and six months ended July 30, 2021:</w:t>
      </w:r>
    </w:p>
    <w:p w14:paraId="59E48DC0"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9"/>
        <w:gridCol w:w="5444"/>
        <w:gridCol w:w="38"/>
        <w:gridCol w:w="36"/>
        <w:gridCol w:w="36"/>
        <w:gridCol w:w="36"/>
        <w:gridCol w:w="121"/>
        <w:gridCol w:w="1142"/>
        <w:gridCol w:w="36"/>
        <w:gridCol w:w="36"/>
        <w:gridCol w:w="36"/>
        <w:gridCol w:w="36"/>
        <w:gridCol w:w="121"/>
        <w:gridCol w:w="1143"/>
        <w:gridCol w:w="36"/>
      </w:tblGrid>
      <w:tr w:rsidR="00D7560A" w14:paraId="59E48DD0" w14:textId="77777777">
        <w:tc>
          <w:tcPr>
            <w:tcW w:w="50" w:type="pct"/>
            <w:tcBorders>
              <w:top w:val="nil"/>
              <w:left w:val="nil"/>
              <w:bottom w:val="nil"/>
              <w:right w:val="nil"/>
            </w:tcBorders>
            <w:shd w:val="clear" w:color="auto" w:fill="auto"/>
            <w:vAlign w:val="bottom"/>
          </w:tcPr>
          <w:p w14:paraId="59E48DC1" w14:textId="77777777" w:rsidR="00D7560A" w:rsidRDefault="00D7560A">
            <w:pPr>
              <w:widowControl/>
              <w:jc w:val="left"/>
              <w:rPr>
                <w:rFonts w:ascii="Times New Roman" w:eastAsia="宋体" w:hAnsi="宋体" w:cs="宋体"/>
                <w:kern w:val="0"/>
                <w:sz w:val="24"/>
              </w:rPr>
            </w:pPr>
          </w:p>
        </w:tc>
        <w:tc>
          <w:tcPr>
            <w:tcW w:w="3322" w:type="pct"/>
            <w:tcBorders>
              <w:top w:val="nil"/>
              <w:left w:val="nil"/>
              <w:bottom w:val="nil"/>
              <w:right w:val="nil"/>
            </w:tcBorders>
            <w:shd w:val="clear" w:color="auto" w:fill="auto"/>
            <w:vAlign w:val="bottom"/>
          </w:tcPr>
          <w:p w14:paraId="59E48DC2"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8DC3"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8DC4" w14:textId="77777777" w:rsidR="00D7560A" w:rsidRDefault="00D7560A">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59E48DC5"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8DC6"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8DC7" w14:textId="77777777" w:rsidR="00D7560A" w:rsidRDefault="00D7560A">
            <w:pPr>
              <w:widowControl/>
              <w:jc w:val="left"/>
              <w:rPr>
                <w:rFonts w:ascii="Times New Roman" w:eastAsia="宋体" w:hAnsi="宋体" w:cs="宋体"/>
                <w:kern w:val="0"/>
                <w:sz w:val="24"/>
              </w:rPr>
            </w:pPr>
          </w:p>
        </w:tc>
        <w:tc>
          <w:tcPr>
            <w:tcW w:w="727" w:type="pct"/>
            <w:tcBorders>
              <w:top w:val="nil"/>
              <w:left w:val="nil"/>
              <w:bottom w:val="nil"/>
              <w:right w:val="nil"/>
            </w:tcBorders>
            <w:shd w:val="clear" w:color="auto" w:fill="auto"/>
            <w:vAlign w:val="bottom"/>
          </w:tcPr>
          <w:p w14:paraId="59E48DC8"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8DC9"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8DCA" w14:textId="77777777" w:rsidR="00D7560A" w:rsidRDefault="00D7560A">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59E48DCB"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8DCC"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8DCD" w14:textId="77777777" w:rsidR="00D7560A" w:rsidRDefault="00D7560A">
            <w:pPr>
              <w:widowControl/>
              <w:jc w:val="left"/>
              <w:rPr>
                <w:rFonts w:ascii="Times New Roman" w:eastAsia="宋体" w:hAnsi="宋体" w:cs="宋体"/>
                <w:kern w:val="0"/>
                <w:sz w:val="24"/>
              </w:rPr>
            </w:pPr>
          </w:p>
        </w:tc>
        <w:tc>
          <w:tcPr>
            <w:tcW w:w="727" w:type="pct"/>
            <w:tcBorders>
              <w:top w:val="nil"/>
              <w:left w:val="nil"/>
              <w:bottom w:val="nil"/>
              <w:right w:val="nil"/>
            </w:tcBorders>
            <w:shd w:val="clear" w:color="auto" w:fill="auto"/>
            <w:vAlign w:val="bottom"/>
          </w:tcPr>
          <w:p w14:paraId="59E48DCE"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8DCF" w14:textId="77777777" w:rsidR="00D7560A" w:rsidRDefault="00D7560A">
            <w:pPr>
              <w:widowControl/>
              <w:jc w:val="left"/>
              <w:rPr>
                <w:rFonts w:ascii="Times New Roman" w:eastAsia="宋体" w:hAnsi="宋体" w:cs="宋体"/>
                <w:kern w:val="0"/>
                <w:sz w:val="24"/>
              </w:rPr>
            </w:pPr>
          </w:p>
        </w:tc>
      </w:tr>
      <w:tr w:rsidR="00D7560A" w14:paraId="59E48DD6"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8DD1"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8DD2"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9E48DD3"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Three Months Ended</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8DD4"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9E48DD5"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Six Months Ended</w:t>
            </w:r>
          </w:p>
        </w:tc>
      </w:tr>
      <w:tr w:rsidR="00D7560A" w14:paraId="59E48DDC"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8DD7"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8DD8"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9E48DD9"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30, 2021</w:t>
            </w: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59E48DDA"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auto"/>
            <w:tcMar>
              <w:top w:w="40" w:type="dxa"/>
              <w:left w:w="20" w:type="dxa"/>
              <w:bottom w:w="40" w:type="dxa"/>
              <w:right w:w="20" w:type="dxa"/>
            </w:tcMar>
            <w:vAlign w:val="bottom"/>
          </w:tcPr>
          <w:p w14:paraId="59E48DDB"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30, 2021</w:t>
            </w:r>
          </w:p>
        </w:tc>
      </w:tr>
      <w:tr w:rsidR="00D7560A" w14:paraId="59E48DE0"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8DDD"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8DDE" w14:textId="77777777" w:rsidR="00D7560A" w:rsidRDefault="00D7560A">
            <w:pPr>
              <w:widowControl/>
              <w:jc w:val="left"/>
              <w:rPr>
                <w:rFonts w:ascii="Times New Roman" w:eastAsia="宋体" w:hAnsi="宋体" w:cs="宋体"/>
                <w:kern w:val="0"/>
                <w:sz w:val="24"/>
              </w:rPr>
            </w:pPr>
          </w:p>
        </w:tc>
        <w:tc>
          <w:tcPr>
            <w:tcW w:w="0" w:type="auto"/>
            <w:gridSpan w:val="9"/>
            <w:tcBorders>
              <w:top w:val="single" w:sz="8" w:space="0" w:color="000000"/>
              <w:left w:val="nil"/>
              <w:bottom w:val="nil"/>
              <w:right w:val="nil"/>
            </w:tcBorders>
            <w:shd w:val="clear" w:color="auto" w:fill="auto"/>
            <w:tcMar>
              <w:top w:w="40" w:type="dxa"/>
              <w:left w:w="20" w:type="dxa"/>
              <w:bottom w:w="40" w:type="dxa"/>
              <w:right w:w="20" w:type="dxa"/>
            </w:tcMar>
            <w:vAlign w:val="bottom"/>
          </w:tcPr>
          <w:p w14:paraId="59E48DDF"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(in millions)</w:t>
            </w:r>
          </w:p>
        </w:tc>
      </w:tr>
      <w:tr w:rsidR="00D7560A" w14:paraId="59E48DEA"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9E48DE1"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Net revenue</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DE2"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9E48DE3"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9E48DE4"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1,931 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DE5"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DE6"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9E48DE7"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9E48DE8"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3,828 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DE9" w14:textId="77777777" w:rsidR="00D7560A" w:rsidRDefault="00D7560A">
            <w:pPr>
              <w:widowControl/>
              <w:jc w:val="right"/>
              <w:rPr>
                <w:rFonts w:ascii="Times New Roman" w:eastAsia="宋体" w:hAnsi="宋体" w:cs="宋体"/>
                <w:kern w:val="0"/>
                <w:sz w:val="24"/>
              </w:rPr>
            </w:pPr>
          </w:p>
        </w:tc>
      </w:tr>
      <w:tr w:rsidR="00D7560A" w14:paraId="59E48DF2"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59E48DEB"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Cost of net revenue</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DEC"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DED"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(579)</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DEE"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DEF"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DF0"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(1,076)</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DF1" w14:textId="77777777" w:rsidR="00D7560A" w:rsidRDefault="00D7560A">
            <w:pPr>
              <w:widowControl/>
              <w:jc w:val="right"/>
              <w:rPr>
                <w:rFonts w:ascii="Times New Roman" w:eastAsia="宋体" w:hAnsi="宋体" w:cs="宋体"/>
                <w:kern w:val="0"/>
                <w:sz w:val="24"/>
              </w:rPr>
            </w:pPr>
          </w:p>
        </w:tc>
      </w:tr>
      <w:tr w:rsidR="00D7560A" w14:paraId="59E48DFA"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9E48DF3"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Operating expenses</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DF4"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8DF5"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2,155 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DF6"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DF7"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8DF8"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4,161 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DF9" w14:textId="77777777" w:rsidR="00D7560A" w:rsidRDefault="00D7560A">
            <w:pPr>
              <w:widowControl/>
              <w:jc w:val="right"/>
              <w:rPr>
                <w:rFonts w:ascii="Times New Roman" w:eastAsia="宋体" w:hAnsi="宋体" w:cs="宋体"/>
                <w:kern w:val="0"/>
                <w:sz w:val="24"/>
              </w:rPr>
            </w:pPr>
          </w:p>
        </w:tc>
      </w:tr>
      <w:tr w:rsidR="00D7560A" w14:paraId="59E48E02"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59E48DFB"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Interest and other, net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DFC"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DFD"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DFE"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DFF"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E00"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167 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E01" w14:textId="77777777" w:rsidR="00D7560A" w:rsidRDefault="00D7560A">
            <w:pPr>
              <w:widowControl/>
              <w:jc w:val="right"/>
              <w:rPr>
                <w:rFonts w:ascii="Times New Roman" w:eastAsia="宋体" w:hAnsi="宋体" w:cs="宋体"/>
                <w:kern w:val="0"/>
                <w:sz w:val="24"/>
              </w:rPr>
            </w:pPr>
          </w:p>
        </w:tc>
      </w:tr>
      <w:tr w:rsidR="00D7560A" w14:paraId="59E48E0A"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9E48E03"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Income from discontinued operations before income </w:t>
            </w:r>
            <w:r>
              <w:rPr>
                <w:rFonts w:ascii="Times New Roman" w:eastAsia="宋体" w:hAnsi="Times New Roman" w:cs="Times New Roman"/>
                <w:color w:val="000000"/>
                <w:kern w:val="0"/>
                <w:sz w:val="20"/>
                <w:szCs w:val="20"/>
                <w:lang w:bidi="ar"/>
              </w:rPr>
              <w:t>taxes</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E04" w14:textId="77777777" w:rsidR="00D7560A" w:rsidRDefault="00D7560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59E48E05"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288 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59E48E06"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E07" w14:textId="77777777" w:rsidR="00D7560A" w:rsidRDefault="00D7560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59E48E08"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576 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59E48E09" w14:textId="77777777" w:rsidR="00D7560A" w:rsidRDefault="00D7560A">
            <w:pPr>
              <w:widowControl/>
              <w:jc w:val="right"/>
              <w:rPr>
                <w:rFonts w:ascii="Times New Roman" w:eastAsia="宋体" w:hAnsi="宋体" w:cs="宋体"/>
                <w:kern w:val="0"/>
                <w:sz w:val="24"/>
              </w:rPr>
            </w:pPr>
          </w:p>
        </w:tc>
      </w:tr>
      <w:tr w:rsidR="00D7560A" w14:paraId="59E48E12"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59E48E0B"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Income tax expense</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E0C"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E0D"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E0E"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E0F"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E10"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E11" w14:textId="77777777" w:rsidR="00D7560A" w:rsidRDefault="00D7560A">
            <w:pPr>
              <w:widowControl/>
              <w:jc w:val="right"/>
              <w:rPr>
                <w:rFonts w:ascii="Times New Roman" w:eastAsia="宋体" w:hAnsi="宋体" w:cs="宋体"/>
                <w:kern w:val="0"/>
                <w:sz w:val="24"/>
              </w:rPr>
            </w:pPr>
          </w:p>
        </w:tc>
      </w:tr>
      <w:tr w:rsidR="00D7560A" w14:paraId="59E48E1C"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9E48E13"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Income from discontinued operations, net of income taxes</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E14"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59E48E15"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59E48E16"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251 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59E48E17"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E18"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59E48E19"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59E48E1A"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530 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59E48E1B" w14:textId="77777777" w:rsidR="00D7560A" w:rsidRDefault="00D7560A">
            <w:pPr>
              <w:widowControl/>
              <w:jc w:val="right"/>
              <w:rPr>
                <w:rFonts w:ascii="Times New Roman" w:eastAsia="宋体" w:hAnsi="宋体" w:cs="宋体"/>
                <w:kern w:val="0"/>
                <w:sz w:val="24"/>
              </w:rPr>
            </w:pPr>
          </w:p>
        </w:tc>
      </w:tr>
    </w:tbl>
    <w:p w14:paraId="59E48E1D" w14:textId="77777777" w:rsidR="00D7560A" w:rsidRDefault="001E3CAB">
      <w:pPr>
        <w:widowControl/>
        <w:ind w:left="360" w:hanging="36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____________________</w:t>
      </w:r>
    </w:p>
    <w:p w14:paraId="59E48E1E"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The table above reflects the offsetting effects of historical intercompany transactions which are presented on a gross basis within continuing operations on the Condensed Consolidated Statements of Income. </w:t>
      </w:r>
    </w:p>
    <w:p w14:paraId="59E48E1F" w14:textId="77777777" w:rsidR="00D7560A" w:rsidRDefault="001E3CAB">
      <w:pPr>
        <w:widowControl/>
        <w:ind w:left="360" w:hanging="360"/>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8E20"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The foll</w:t>
      </w:r>
      <w:r>
        <w:rPr>
          <w:rFonts w:ascii="Times New Roman" w:eastAsia="宋体" w:hAnsi="Times New Roman" w:cs="Times New Roman"/>
          <w:color w:val="000000"/>
          <w:kern w:val="0"/>
          <w:sz w:val="20"/>
          <w:szCs w:val="20"/>
          <w:lang w:bidi="ar"/>
        </w:rPr>
        <w:t>owing table presents significant cash flow items from discontinued operations for the six months ended July 30, 2021 included within the Condensed Consolidated Statements of Cash Flows:</w:t>
      </w:r>
    </w:p>
    <w:p w14:paraId="59E48E21"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8"/>
        <w:gridCol w:w="6773"/>
        <w:gridCol w:w="37"/>
        <w:gridCol w:w="36"/>
        <w:gridCol w:w="36"/>
        <w:gridCol w:w="36"/>
        <w:gridCol w:w="36"/>
        <w:gridCol w:w="36"/>
        <w:gridCol w:w="121"/>
        <w:gridCol w:w="1151"/>
        <w:gridCol w:w="36"/>
      </w:tblGrid>
      <w:tr w:rsidR="00D7560A" w14:paraId="59E48E2D" w14:textId="77777777">
        <w:tc>
          <w:tcPr>
            <w:tcW w:w="50" w:type="pct"/>
            <w:tcBorders>
              <w:top w:val="nil"/>
              <w:left w:val="nil"/>
              <w:bottom w:val="nil"/>
              <w:right w:val="nil"/>
            </w:tcBorders>
            <w:shd w:val="clear" w:color="auto" w:fill="auto"/>
            <w:vAlign w:val="bottom"/>
          </w:tcPr>
          <w:p w14:paraId="59E48E22" w14:textId="77777777" w:rsidR="00D7560A" w:rsidRDefault="00D7560A">
            <w:pPr>
              <w:widowControl/>
              <w:jc w:val="left"/>
              <w:rPr>
                <w:rFonts w:ascii="Times New Roman" w:eastAsia="宋体" w:hAnsi="宋体" w:cs="宋体"/>
                <w:kern w:val="0"/>
                <w:sz w:val="24"/>
              </w:rPr>
            </w:pPr>
          </w:p>
        </w:tc>
        <w:tc>
          <w:tcPr>
            <w:tcW w:w="4133" w:type="pct"/>
            <w:tcBorders>
              <w:top w:val="nil"/>
              <w:left w:val="nil"/>
              <w:bottom w:val="nil"/>
              <w:right w:val="nil"/>
            </w:tcBorders>
            <w:shd w:val="clear" w:color="auto" w:fill="auto"/>
            <w:vAlign w:val="bottom"/>
          </w:tcPr>
          <w:p w14:paraId="59E48E23"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8E24"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8E25" w14:textId="77777777" w:rsidR="00D7560A" w:rsidRDefault="00D7560A">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59E48E26"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8E27"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8E28" w14:textId="77777777" w:rsidR="00D7560A" w:rsidRDefault="00D7560A">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59E48E29" w14:textId="77777777" w:rsidR="00D7560A" w:rsidRDefault="00D7560A">
            <w:pPr>
              <w:widowControl/>
              <w:jc w:val="left"/>
              <w:rPr>
                <w:rFonts w:ascii="Times New Roman" w:eastAsia="宋体" w:hAnsi="宋体" w:cs="宋体"/>
                <w:vanish/>
                <w:kern w:val="0"/>
                <w:sz w:val="24"/>
              </w:rPr>
            </w:pPr>
          </w:p>
        </w:tc>
        <w:tc>
          <w:tcPr>
            <w:tcW w:w="50" w:type="pct"/>
            <w:tcBorders>
              <w:top w:val="nil"/>
              <w:left w:val="nil"/>
              <w:bottom w:val="nil"/>
              <w:right w:val="nil"/>
            </w:tcBorders>
            <w:shd w:val="clear" w:color="auto" w:fill="auto"/>
            <w:vAlign w:val="bottom"/>
          </w:tcPr>
          <w:p w14:paraId="59E48E2A" w14:textId="77777777" w:rsidR="00D7560A" w:rsidRDefault="00D7560A">
            <w:pPr>
              <w:widowControl/>
              <w:jc w:val="left"/>
              <w:rPr>
                <w:rFonts w:ascii="Times New Roman" w:eastAsia="宋体" w:hAnsi="宋体" w:cs="宋体"/>
                <w:kern w:val="0"/>
                <w:sz w:val="24"/>
              </w:rPr>
            </w:pPr>
          </w:p>
        </w:tc>
        <w:tc>
          <w:tcPr>
            <w:tcW w:w="727" w:type="pct"/>
            <w:tcBorders>
              <w:top w:val="nil"/>
              <w:left w:val="nil"/>
              <w:bottom w:val="nil"/>
              <w:right w:val="nil"/>
            </w:tcBorders>
            <w:shd w:val="clear" w:color="auto" w:fill="auto"/>
            <w:vAlign w:val="bottom"/>
          </w:tcPr>
          <w:p w14:paraId="59E48E2B"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8E2C" w14:textId="77777777" w:rsidR="00D7560A" w:rsidRDefault="00D7560A">
            <w:pPr>
              <w:widowControl/>
              <w:jc w:val="left"/>
              <w:rPr>
                <w:rFonts w:ascii="Times New Roman" w:eastAsia="宋体" w:hAnsi="宋体" w:cs="宋体"/>
                <w:kern w:val="0"/>
                <w:sz w:val="24"/>
              </w:rPr>
            </w:pPr>
          </w:p>
        </w:tc>
      </w:tr>
      <w:tr w:rsidR="00D7560A" w14:paraId="59E48E33"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8E2E"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8E2F"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8E30" w14:textId="77777777" w:rsidR="00D7560A" w:rsidRDefault="00D7560A">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59E48E31"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9E48E32"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Six Months Ended</w:t>
            </w:r>
          </w:p>
        </w:tc>
      </w:tr>
      <w:tr w:rsidR="00D7560A" w14:paraId="59E48E39"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8E34"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8E35"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8E36" w14:textId="77777777" w:rsidR="00D7560A" w:rsidRDefault="00D7560A">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59E48E37"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9E48E38"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30, 2021</w:t>
            </w:r>
          </w:p>
        </w:tc>
      </w:tr>
      <w:tr w:rsidR="00D7560A" w14:paraId="59E48E3F"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8E3A"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8E3B"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8E3C" w14:textId="77777777" w:rsidR="00D7560A" w:rsidRDefault="00D7560A">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59E48E3D" w14:textId="77777777" w:rsidR="00D7560A" w:rsidRDefault="00D7560A">
            <w:pPr>
              <w:widowControl/>
              <w:jc w:val="left"/>
              <w:rPr>
                <w:rFonts w:ascii="Times New Roman" w:eastAsia="宋体" w:hAnsi="宋体" w:cs="宋体"/>
                <w:vanish/>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59E48E3E"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(in </w:t>
            </w:r>
            <w:r>
              <w:rPr>
                <w:rFonts w:ascii="Times New Roman" w:eastAsia="宋体" w:hAnsi="Times New Roman" w:cs="Times New Roman"/>
                <w:color w:val="000000"/>
                <w:kern w:val="0"/>
                <w:sz w:val="20"/>
                <w:szCs w:val="20"/>
                <w:lang w:bidi="ar"/>
              </w:rPr>
              <w:t>millions)</w:t>
            </w:r>
          </w:p>
        </w:tc>
      </w:tr>
      <w:tr w:rsidR="00D7560A" w14:paraId="59E48E47"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9E48E40"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Depreciation and amortization</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E41"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8E42" w14:textId="77777777" w:rsidR="00D7560A" w:rsidRDefault="00D7560A">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59E48E43" w14:textId="77777777" w:rsidR="00D7560A" w:rsidRDefault="00D7560A">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9E48E44"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9E48E45"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670 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E46" w14:textId="77777777" w:rsidR="00D7560A" w:rsidRDefault="00D7560A">
            <w:pPr>
              <w:widowControl/>
              <w:jc w:val="right"/>
              <w:rPr>
                <w:rFonts w:ascii="Times New Roman" w:eastAsia="宋体" w:hAnsi="宋体" w:cs="宋体"/>
                <w:kern w:val="0"/>
                <w:sz w:val="24"/>
              </w:rPr>
            </w:pPr>
          </w:p>
        </w:tc>
      </w:tr>
      <w:tr w:rsidR="00D7560A" w14:paraId="59E48E4F"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59E48E48"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Capital expenditures</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E49"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8E4A" w14:textId="77777777" w:rsidR="00D7560A" w:rsidRDefault="00D7560A">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59E48E4B" w14:textId="77777777" w:rsidR="00D7560A" w:rsidRDefault="00D7560A">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9E48E4C"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9E48E4D"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160 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E4E" w14:textId="77777777" w:rsidR="00D7560A" w:rsidRDefault="00D7560A">
            <w:pPr>
              <w:widowControl/>
              <w:jc w:val="right"/>
              <w:rPr>
                <w:rFonts w:ascii="Times New Roman" w:eastAsia="宋体" w:hAnsi="宋体" w:cs="宋体"/>
                <w:kern w:val="0"/>
                <w:sz w:val="24"/>
              </w:rPr>
            </w:pPr>
          </w:p>
        </w:tc>
      </w:tr>
      <w:tr w:rsidR="00D7560A" w14:paraId="59E48E57"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9E48E50"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Stock-based compensation expense</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E51"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8E52" w14:textId="77777777" w:rsidR="00D7560A" w:rsidRDefault="00D7560A">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59E48E53" w14:textId="77777777" w:rsidR="00D7560A" w:rsidRDefault="00D7560A">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9E48E54"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9E48E55"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556 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E56" w14:textId="77777777" w:rsidR="00D7560A" w:rsidRDefault="00D7560A">
            <w:pPr>
              <w:widowControl/>
              <w:jc w:val="right"/>
              <w:rPr>
                <w:rFonts w:ascii="Times New Roman" w:eastAsia="宋体" w:hAnsi="宋体" w:cs="宋体"/>
                <w:kern w:val="0"/>
                <w:sz w:val="24"/>
              </w:rPr>
            </w:pPr>
          </w:p>
        </w:tc>
      </w:tr>
    </w:tbl>
    <w:p w14:paraId="59E48E58" w14:textId="77777777" w:rsidR="00D7560A" w:rsidRDefault="001E3CAB">
      <w:pPr>
        <w:widowControl/>
        <w:ind w:left="360" w:hanging="360"/>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8E59"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8E5A"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15</w:t>
      </w:r>
    </w:p>
    <w:p w14:paraId="59E48E5B"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8E5C" w14:textId="77777777" w:rsidR="00D7560A" w:rsidRDefault="001E3CAB">
      <w:pPr>
        <w:widowControl/>
        <w:jc w:val="center"/>
      </w:pPr>
      <w:r>
        <w:rPr>
          <w:rFonts w:ascii="宋体" w:eastAsia="宋体" w:hAnsi="宋体" w:cs="宋体"/>
          <w:kern w:val="0"/>
          <w:sz w:val="24"/>
        </w:rPr>
        <w:pict w14:anchorId="59E4C7DA">
          <v:rect id="_x0000_i1039" style="width:6in;height:1.5pt" o:hralign="center" o:hrstd="t" o:hr="t" fillcolor="#a0a0a0" stroked="f"/>
        </w:pict>
      </w:r>
    </w:p>
    <w:p w14:paraId="59E48E5D" w14:textId="77777777" w:rsidR="00D7560A" w:rsidRDefault="001E3CAB">
      <w:pPr>
        <w:widowControl/>
        <w:jc w:val="left"/>
        <w:rPr>
          <w:rFonts w:ascii="宋体" w:eastAsia="宋体" w:hAnsi="宋体" w:cs="宋体"/>
          <w:kern w:val="0"/>
          <w:sz w:val="24"/>
        </w:rPr>
      </w:pPr>
      <w:hyperlink w:anchor="if933dd1d5d004d2495dd7029e3ecad00_13" w:history="1">
        <w:r>
          <w:rPr>
            <w:rStyle w:val="a4"/>
            <w:rFonts w:ascii="Times New Roman" w:eastAsia="宋体" w:hAnsi="Times New Roman" w:cs="Times New Roman"/>
            <w:sz w:val="20"/>
            <w:szCs w:val="20"/>
          </w:rPr>
          <w:t>Table of Contents</w:t>
        </w:r>
      </w:hyperlink>
    </w:p>
    <w:p w14:paraId="59E48E5E"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DELL TECHNOLOGIES INC.</w:t>
      </w:r>
    </w:p>
    <w:p w14:paraId="59E48E5F"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 xml:space="preserve">NOTES TO </w:t>
      </w:r>
      <w:r>
        <w:rPr>
          <w:rFonts w:ascii="Times New Roman" w:eastAsia="宋体" w:hAnsi="Times New Roman" w:cs="Times New Roman"/>
          <w:b/>
          <w:bCs/>
          <w:color w:val="000000"/>
          <w:kern w:val="0"/>
          <w:sz w:val="20"/>
          <w:szCs w:val="20"/>
          <w:lang w:bidi="ar"/>
        </w:rPr>
        <w:t>THE CONDENSED CONSOLIDATED FINANCIAL STATEMENTS (Continued)</w:t>
      </w:r>
    </w:p>
    <w:p w14:paraId="59E48E60"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(unaudited)</w:t>
      </w:r>
    </w:p>
    <w:p w14:paraId="59E48E61"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8E62"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NOTE 3 — FAIR VALUE MEASUREMENTS</w:t>
      </w:r>
    </w:p>
    <w:p w14:paraId="59E48E63"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8E64" w14:textId="77777777" w:rsidR="00D7560A" w:rsidRDefault="001E3CAB">
      <w:pPr>
        <w:widowControl/>
        <w:spacing w:after="12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The following table presents the Company’s hierarchy for its assets and liabilities measured at fair value on a recurring basis as of the dates ind</w:t>
      </w:r>
      <w:r>
        <w:rPr>
          <w:rFonts w:ascii="Times New Roman" w:eastAsia="宋体" w:hAnsi="Times New Roman" w:cs="Times New Roman"/>
          <w:color w:val="000000"/>
          <w:kern w:val="0"/>
          <w:sz w:val="20"/>
          <w:szCs w:val="20"/>
          <w:lang w:bidi="ar"/>
        </w:rPr>
        <w:t>icated:</w:t>
      </w:r>
    </w:p>
    <w:tbl>
      <w:tblPr>
        <w:tblW w:w="4971" w:type="pct"/>
        <w:tblInd w:w="93" w:type="dxa"/>
        <w:tblCellMar>
          <w:top w:w="15" w:type="dxa"/>
          <w:left w:w="15" w:type="dxa"/>
          <w:bottom w:w="15" w:type="dxa"/>
          <w:right w:w="15" w:type="dxa"/>
        </w:tblCellMar>
        <w:tblLook w:val="04A0" w:firstRow="1" w:lastRow="0" w:firstColumn="1" w:lastColumn="0" w:noHBand="0" w:noVBand="1"/>
      </w:tblPr>
      <w:tblGrid>
        <w:gridCol w:w="51"/>
        <w:gridCol w:w="1086"/>
        <w:gridCol w:w="36"/>
        <w:gridCol w:w="116"/>
        <w:gridCol w:w="593"/>
        <w:gridCol w:w="36"/>
        <w:gridCol w:w="36"/>
        <w:gridCol w:w="36"/>
        <w:gridCol w:w="36"/>
        <w:gridCol w:w="117"/>
        <w:gridCol w:w="770"/>
        <w:gridCol w:w="36"/>
        <w:gridCol w:w="36"/>
        <w:gridCol w:w="36"/>
        <w:gridCol w:w="36"/>
        <w:gridCol w:w="117"/>
        <w:gridCol w:w="939"/>
        <w:gridCol w:w="36"/>
        <w:gridCol w:w="36"/>
        <w:gridCol w:w="36"/>
        <w:gridCol w:w="36"/>
        <w:gridCol w:w="115"/>
        <w:gridCol w:w="475"/>
        <w:gridCol w:w="36"/>
        <w:gridCol w:w="36"/>
        <w:gridCol w:w="36"/>
        <w:gridCol w:w="36"/>
        <w:gridCol w:w="116"/>
        <w:gridCol w:w="593"/>
        <w:gridCol w:w="36"/>
        <w:gridCol w:w="36"/>
        <w:gridCol w:w="36"/>
        <w:gridCol w:w="36"/>
        <w:gridCol w:w="117"/>
        <w:gridCol w:w="770"/>
        <w:gridCol w:w="36"/>
        <w:gridCol w:w="36"/>
        <w:gridCol w:w="36"/>
        <w:gridCol w:w="36"/>
        <w:gridCol w:w="117"/>
        <w:gridCol w:w="939"/>
        <w:gridCol w:w="36"/>
        <w:gridCol w:w="36"/>
        <w:gridCol w:w="36"/>
        <w:gridCol w:w="36"/>
        <w:gridCol w:w="115"/>
        <w:gridCol w:w="475"/>
        <w:gridCol w:w="36"/>
      </w:tblGrid>
      <w:tr w:rsidR="00D7560A" w14:paraId="59E48E95" w14:textId="77777777">
        <w:tc>
          <w:tcPr>
            <w:tcW w:w="50" w:type="pct"/>
            <w:tcBorders>
              <w:top w:val="nil"/>
              <w:left w:val="nil"/>
              <w:bottom w:val="nil"/>
              <w:right w:val="nil"/>
            </w:tcBorders>
            <w:shd w:val="clear" w:color="auto" w:fill="auto"/>
            <w:vAlign w:val="bottom"/>
          </w:tcPr>
          <w:p w14:paraId="59E48E65" w14:textId="77777777" w:rsidR="00D7560A" w:rsidRDefault="00D7560A">
            <w:pPr>
              <w:widowControl/>
              <w:jc w:val="left"/>
              <w:rPr>
                <w:rFonts w:ascii="Times New Roman" w:eastAsia="宋体" w:hAnsi="宋体" w:cs="宋体"/>
                <w:kern w:val="0"/>
                <w:sz w:val="24"/>
              </w:rPr>
            </w:pPr>
          </w:p>
        </w:tc>
        <w:tc>
          <w:tcPr>
            <w:tcW w:w="1070" w:type="pct"/>
            <w:tcBorders>
              <w:top w:val="nil"/>
              <w:left w:val="nil"/>
              <w:bottom w:val="nil"/>
              <w:right w:val="nil"/>
            </w:tcBorders>
            <w:shd w:val="clear" w:color="auto" w:fill="auto"/>
            <w:vAlign w:val="bottom"/>
          </w:tcPr>
          <w:p w14:paraId="59E48E66"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8E67"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8E68" w14:textId="77777777" w:rsidR="00D7560A" w:rsidRDefault="00D7560A">
            <w:pPr>
              <w:widowControl/>
              <w:jc w:val="left"/>
              <w:rPr>
                <w:rFonts w:ascii="Times New Roman" w:eastAsia="宋体" w:hAnsi="宋体" w:cs="宋体"/>
                <w:kern w:val="0"/>
                <w:sz w:val="24"/>
              </w:rPr>
            </w:pPr>
          </w:p>
        </w:tc>
        <w:tc>
          <w:tcPr>
            <w:tcW w:w="364" w:type="pct"/>
            <w:tcBorders>
              <w:top w:val="nil"/>
              <w:left w:val="nil"/>
              <w:bottom w:val="nil"/>
              <w:right w:val="nil"/>
            </w:tcBorders>
            <w:shd w:val="clear" w:color="auto" w:fill="auto"/>
            <w:vAlign w:val="bottom"/>
          </w:tcPr>
          <w:p w14:paraId="59E48E69"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8E6A"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8E6B" w14:textId="77777777" w:rsidR="00D7560A" w:rsidRDefault="00D7560A">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59E48E6C"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8E6D"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8E6E" w14:textId="77777777" w:rsidR="00D7560A" w:rsidRDefault="00D7560A">
            <w:pPr>
              <w:widowControl/>
              <w:jc w:val="left"/>
              <w:rPr>
                <w:rFonts w:ascii="Times New Roman" w:eastAsia="宋体" w:hAnsi="宋体" w:cs="宋体"/>
                <w:kern w:val="0"/>
                <w:sz w:val="24"/>
              </w:rPr>
            </w:pPr>
          </w:p>
        </w:tc>
        <w:tc>
          <w:tcPr>
            <w:tcW w:w="415" w:type="pct"/>
            <w:tcBorders>
              <w:top w:val="nil"/>
              <w:left w:val="nil"/>
              <w:bottom w:val="nil"/>
              <w:right w:val="nil"/>
            </w:tcBorders>
            <w:shd w:val="clear" w:color="auto" w:fill="auto"/>
            <w:vAlign w:val="bottom"/>
          </w:tcPr>
          <w:p w14:paraId="59E48E6F"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8E70"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8E71" w14:textId="77777777" w:rsidR="00D7560A" w:rsidRDefault="00D7560A">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59E48E72"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8E73"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8E74" w14:textId="77777777" w:rsidR="00D7560A" w:rsidRDefault="00D7560A">
            <w:pPr>
              <w:widowControl/>
              <w:jc w:val="left"/>
              <w:rPr>
                <w:rFonts w:ascii="Times New Roman" w:eastAsia="宋体" w:hAnsi="宋体" w:cs="宋体"/>
                <w:kern w:val="0"/>
                <w:sz w:val="24"/>
              </w:rPr>
            </w:pPr>
          </w:p>
        </w:tc>
        <w:tc>
          <w:tcPr>
            <w:tcW w:w="503" w:type="pct"/>
            <w:tcBorders>
              <w:top w:val="nil"/>
              <w:left w:val="nil"/>
              <w:bottom w:val="nil"/>
              <w:right w:val="nil"/>
            </w:tcBorders>
            <w:shd w:val="clear" w:color="auto" w:fill="auto"/>
            <w:vAlign w:val="bottom"/>
          </w:tcPr>
          <w:p w14:paraId="59E48E75"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8E76"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8E77" w14:textId="77777777" w:rsidR="00D7560A" w:rsidRDefault="00D7560A">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59E48E78"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8E79"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8E7A" w14:textId="77777777" w:rsidR="00D7560A" w:rsidRDefault="00D7560A">
            <w:pPr>
              <w:widowControl/>
              <w:jc w:val="left"/>
              <w:rPr>
                <w:rFonts w:ascii="Times New Roman" w:eastAsia="宋体" w:hAnsi="宋体" w:cs="宋体"/>
                <w:kern w:val="0"/>
                <w:sz w:val="24"/>
              </w:rPr>
            </w:pPr>
          </w:p>
        </w:tc>
        <w:tc>
          <w:tcPr>
            <w:tcW w:w="305" w:type="pct"/>
            <w:tcBorders>
              <w:top w:val="nil"/>
              <w:left w:val="nil"/>
              <w:bottom w:val="nil"/>
              <w:right w:val="nil"/>
            </w:tcBorders>
            <w:shd w:val="clear" w:color="auto" w:fill="auto"/>
            <w:vAlign w:val="bottom"/>
          </w:tcPr>
          <w:p w14:paraId="59E48E7B"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8E7C"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8E7D" w14:textId="77777777" w:rsidR="00D7560A" w:rsidRDefault="00D7560A">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59E48E7E"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8E7F"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8E80" w14:textId="77777777" w:rsidR="00D7560A" w:rsidRDefault="00D7560A">
            <w:pPr>
              <w:widowControl/>
              <w:jc w:val="left"/>
              <w:rPr>
                <w:rFonts w:ascii="Times New Roman" w:eastAsia="宋体" w:hAnsi="宋体" w:cs="宋体"/>
                <w:kern w:val="0"/>
                <w:sz w:val="24"/>
              </w:rPr>
            </w:pPr>
          </w:p>
        </w:tc>
        <w:tc>
          <w:tcPr>
            <w:tcW w:w="364" w:type="pct"/>
            <w:tcBorders>
              <w:top w:val="nil"/>
              <w:left w:val="nil"/>
              <w:bottom w:val="nil"/>
              <w:right w:val="nil"/>
            </w:tcBorders>
            <w:shd w:val="clear" w:color="auto" w:fill="auto"/>
            <w:vAlign w:val="bottom"/>
          </w:tcPr>
          <w:p w14:paraId="59E48E81"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8E82"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8E83" w14:textId="77777777" w:rsidR="00D7560A" w:rsidRDefault="00D7560A">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59E48E84"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8E85"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8E86" w14:textId="77777777" w:rsidR="00D7560A" w:rsidRDefault="00D7560A">
            <w:pPr>
              <w:widowControl/>
              <w:jc w:val="left"/>
              <w:rPr>
                <w:rFonts w:ascii="Times New Roman" w:eastAsia="宋体" w:hAnsi="宋体" w:cs="宋体"/>
                <w:kern w:val="0"/>
                <w:sz w:val="24"/>
              </w:rPr>
            </w:pPr>
          </w:p>
        </w:tc>
        <w:tc>
          <w:tcPr>
            <w:tcW w:w="415" w:type="pct"/>
            <w:tcBorders>
              <w:top w:val="nil"/>
              <w:left w:val="nil"/>
              <w:bottom w:val="nil"/>
              <w:right w:val="nil"/>
            </w:tcBorders>
            <w:shd w:val="clear" w:color="auto" w:fill="auto"/>
            <w:vAlign w:val="bottom"/>
          </w:tcPr>
          <w:p w14:paraId="59E48E87"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8E88"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8E89" w14:textId="77777777" w:rsidR="00D7560A" w:rsidRDefault="00D7560A">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59E48E8A"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8E8B"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8E8C" w14:textId="77777777" w:rsidR="00D7560A" w:rsidRDefault="00D7560A">
            <w:pPr>
              <w:widowControl/>
              <w:jc w:val="left"/>
              <w:rPr>
                <w:rFonts w:ascii="Times New Roman" w:eastAsia="宋体" w:hAnsi="宋体" w:cs="宋体"/>
                <w:kern w:val="0"/>
                <w:sz w:val="24"/>
              </w:rPr>
            </w:pPr>
          </w:p>
        </w:tc>
        <w:tc>
          <w:tcPr>
            <w:tcW w:w="503" w:type="pct"/>
            <w:tcBorders>
              <w:top w:val="nil"/>
              <w:left w:val="nil"/>
              <w:bottom w:val="nil"/>
              <w:right w:val="nil"/>
            </w:tcBorders>
            <w:shd w:val="clear" w:color="auto" w:fill="auto"/>
            <w:vAlign w:val="bottom"/>
          </w:tcPr>
          <w:p w14:paraId="59E48E8D"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8E8E"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8E8F" w14:textId="77777777" w:rsidR="00D7560A" w:rsidRDefault="00D7560A">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59E48E90"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8E91"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8E92" w14:textId="77777777" w:rsidR="00D7560A" w:rsidRDefault="00D7560A">
            <w:pPr>
              <w:widowControl/>
              <w:jc w:val="left"/>
              <w:rPr>
                <w:rFonts w:ascii="Times New Roman" w:eastAsia="宋体" w:hAnsi="宋体" w:cs="宋体"/>
                <w:kern w:val="0"/>
                <w:sz w:val="24"/>
              </w:rPr>
            </w:pPr>
          </w:p>
        </w:tc>
        <w:tc>
          <w:tcPr>
            <w:tcW w:w="305" w:type="pct"/>
            <w:tcBorders>
              <w:top w:val="nil"/>
              <w:left w:val="nil"/>
              <w:bottom w:val="nil"/>
              <w:right w:val="nil"/>
            </w:tcBorders>
            <w:shd w:val="clear" w:color="auto" w:fill="auto"/>
            <w:vAlign w:val="bottom"/>
          </w:tcPr>
          <w:p w14:paraId="59E48E93"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8E94" w14:textId="77777777" w:rsidR="00D7560A" w:rsidRDefault="00D7560A">
            <w:pPr>
              <w:widowControl/>
              <w:jc w:val="left"/>
              <w:rPr>
                <w:rFonts w:ascii="Times New Roman" w:eastAsia="宋体" w:hAnsi="宋体" w:cs="宋体"/>
                <w:kern w:val="0"/>
                <w:sz w:val="24"/>
              </w:rPr>
            </w:pPr>
          </w:p>
        </w:tc>
      </w:tr>
      <w:tr w:rsidR="00D7560A" w14:paraId="59E48E9A"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9E48E96"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gridSpan w:val="21"/>
            <w:tcBorders>
              <w:top w:val="nil"/>
              <w:left w:val="nil"/>
              <w:bottom w:val="nil"/>
              <w:right w:val="nil"/>
            </w:tcBorders>
            <w:shd w:val="clear" w:color="auto" w:fill="auto"/>
            <w:tcMar>
              <w:top w:w="40" w:type="dxa"/>
              <w:left w:w="20" w:type="dxa"/>
              <w:bottom w:w="40" w:type="dxa"/>
              <w:right w:w="20" w:type="dxa"/>
            </w:tcMar>
            <w:vAlign w:val="bottom"/>
          </w:tcPr>
          <w:p w14:paraId="59E48E97"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29, 2022</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8E98" w14:textId="77777777" w:rsidR="00D7560A" w:rsidRDefault="00D7560A">
            <w:pPr>
              <w:widowControl/>
              <w:jc w:val="left"/>
              <w:rPr>
                <w:rFonts w:ascii="Times New Roman" w:eastAsia="宋体" w:hAnsi="宋体" w:cs="宋体"/>
                <w:kern w:val="0"/>
                <w:sz w:val="24"/>
              </w:rPr>
            </w:pPr>
          </w:p>
        </w:tc>
        <w:tc>
          <w:tcPr>
            <w:tcW w:w="0" w:type="auto"/>
            <w:gridSpan w:val="21"/>
            <w:tcBorders>
              <w:top w:val="nil"/>
              <w:left w:val="nil"/>
              <w:bottom w:val="nil"/>
              <w:right w:val="nil"/>
            </w:tcBorders>
            <w:shd w:val="clear" w:color="auto" w:fill="auto"/>
            <w:tcMar>
              <w:top w:w="40" w:type="dxa"/>
              <w:left w:w="20" w:type="dxa"/>
              <w:bottom w:w="40" w:type="dxa"/>
              <w:right w:w="20" w:type="dxa"/>
            </w:tcMar>
            <w:vAlign w:val="bottom"/>
          </w:tcPr>
          <w:p w14:paraId="59E48E99"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January 28, 2022</w:t>
            </w:r>
          </w:p>
        </w:tc>
      </w:tr>
      <w:tr w:rsidR="00D7560A" w14:paraId="59E48EAB"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9E48E9B"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2"/>
                <w:szCs w:val="12"/>
                <w:lang w:bidi="ar"/>
              </w:rPr>
              <w:t> </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59E48E9C"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Level 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59E48E9D"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59E48E9E"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Level 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59E48E9F"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59E48EA0"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Level 3</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59E48EA1"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59E48EA2"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Total</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8EA3"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59E48EA4"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Level 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59E48EA5"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59E48EA6"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Level 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59E48EA7"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59E48EA8"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Level 3</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59E48EA9"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59E48EAA"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Total</w:t>
            </w:r>
          </w:p>
        </w:tc>
      </w:tr>
      <w:tr w:rsidR="00D7560A" w14:paraId="59E48EBC"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9E48EAC"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2"/>
                <w:szCs w:val="12"/>
                <w:lang w:bidi="ar"/>
              </w:rPr>
              <w:t> </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59E48EAD"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7"/>
                <w:szCs w:val="17"/>
                <w:lang w:bidi="ar"/>
              </w:rPr>
              <w:t>Quoted Prices in Active Markets for Identical Assets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8EAE"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59E48EAF"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7"/>
                <w:szCs w:val="17"/>
                <w:lang w:bidi="ar"/>
              </w:rPr>
              <w:t>Significant Other Observable Inputs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8EB0"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59E48EB1"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7"/>
                <w:szCs w:val="17"/>
                <w:lang w:bidi="ar"/>
              </w:rPr>
              <w:t>Significant Unobservable Inputs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8EB2"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59E48EB3"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7"/>
                <w:szCs w:val="17"/>
                <w:lang w:bidi="ar"/>
              </w:rPr>
              <w:t> </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8EB4"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59E48EB5"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7"/>
                <w:szCs w:val="17"/>
                <w:lang w:bidi="ar"/>
              </w:rPr>
              <w:t xml:space="preserve">Quoted Prices in Active </w:t>
            </w:r>
            <w:r>
              <w:rPr>
                <w:rFonts w:ascii="Times New Roman" w:eastAsia="宋体" w:hAnsi="Times New Roman" w:cs="Times New Roman"/>
                <w:b/>
                <w:bCs/>
                <w:color w:val="000000"/>
                <w:kern w:val="0"/>
                <w:sz w:val="17"/>
                <w:szCs w:val="17"/>
                <w:lang w:bidi="ar"/>
              </w:rPr>
              <w:t>Markets for Identical Assets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8EB6"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59E48EB7"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7"/>
                <w:szCs w:val="17"/>
                <w:lang w:bidi="ar"/>
              </w:rPr>
              <w:t>Significant Other Observable Inputs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8EB8"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59E48EB9"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7"/>
                <w:szCs w:val="17"/>
                <w:lang w:bidi="ar"/>
              </w:rPr>
              <w:t>Significant Unobservable Inputs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8EBA"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59E48EBB"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7"/>
                <w:szCs w:val="17"/>
                <w:lang w:bidi="ar"/>
              </w:rPr>
              <w:t> </w:t>
            </w:r>
          </w:p>
        </w:tc>
      </w:tr>
      <w:tr w:rsidR="00D7560A" w14:paraId="59E48ECD" w14:textId="77777777">
        <w:trPr>
          <w:trHeight w:val="6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8EBD"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59E48EBE"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8EBF"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59E48EC0"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8EC1"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59E48EC2"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8EC3"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8EC4"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8EC5"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59E48EC6"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8EC7"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59E48EC8"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8EC9"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59E48ECA"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8ECB"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8ECC" w14:textId="77777777" w:rsidR="00D7560A" w:rsidRDefault="00D7560A">
            <w:pPr>
              <w:widowControl/>
              <w:jc w:val="left"/>
              <w:rPr>
                <w:rFonts w:ascii="Times New Roman" w:eastAsia="宋体" w:hAnsi="宋体" w:cs="宋体"/>
                <w:kern w:val="0"/>
                <w:sz w:val="24"/>
              </w:rPr>
            </w:pPr>
          </w:p>
        </w:tc>
      </w:tr>
      <w:tr w:rsidR="00D7560A" w14:paraId="59E48ED0"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9E48ECE"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 </w:t>
            </w:r>
          </w:p>
        </w:tc>
        <w:tc>
          <w:tcPr>
            <w:tcW w:w="0" w:type="auto"/>
            <w:gridSpan w:val="45"/>
            <w:tcBorders>
              <w:top w:val="nil"/>
              <w:left w:val="nil"/>
              <w:bottom w:val="nil"/>
              <w:right w:val="nil"/>
            </w:tcBorders>
            <w:shd w:val="clear" w:color="auto" w:fill="auto"/>
            <w:tcMar>
              <w:top w:w="40" w:type="dxa"/>
              <w:left w:w="20" w:type="dxa"/>
              <w:bottom w:w="40" w:type="dxa"/>
              <w:right w:w="20" w:type="dxa"/>
            </w:tcMar>
            <w:vAlign w:val="bottom"/>
          </w:tcPr>
          <w:p w14:paraId="59E48ECF"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(in millions)</w:t>
            </w:r>
          </w:p>
        </w:tc>
      </w:tr>
      <w:tr w:rsidR="00D7560A" w14:paraId="59E48EE1"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9E48ED1"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i/>
                <w:iCs/>
                <w:color w:val="000000"/>
                <w:kern w:val="0"/>
                <w:sz w:val="20"/>
                <w:szCs w:val="20"/>
                <w:lang w:bidi="ar"/>
              </w:rPr>
              <w:t>Assets:</w:t>
            </w: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9E48ED2"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 </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ED3"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9E48ED4"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 </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ED5"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9E48ED6"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 </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ED7"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9E48ED8"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 </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ED9"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9E48EDA"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 </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EDB"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9E48EDC"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 </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EDD"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9E48EDE"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 </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EDF"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9E48EE0"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 </w:t>
            </w:r>
          </w:p>
        </w:tc>
      </w:tr>
      <w:tr w:rsidR="00D7560A" w14:paraId="59E48EF2" w14:textId="77777777">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59E48EE2"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Cash and cash equivalents:</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EE3"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EE4"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EE5"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EE6"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EE7"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EE8"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EE9"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EEA"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EEB"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EEC"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EED"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EEE"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EEF"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EF0"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EF1" w14:textId="77777777" w:rsidR="00D7560A" w:rsidRDefault="00D7560A">
            <w:pPr>
              <w:widowControl/>
              <w:jc w:val="left"/>
              <w:rPr>
                <w:rFonts w:ascii="Times New Roman" w:eastAsia="宋体" w:hAnsi="宋体" w:cs="宋体"/>
                <w:kern w:val="0"/>
                <w:sz w:val="24"/>
              </w:rPr>
            </w:pPr>
          </w:p>
        </w:tc>
      </w:tr>
      <w:tr w:rsidR="00D7560A" w14:paraId="59E48F13" w14:textId="77777777">
        <w:tc>
          <w:tcPr>
            <w:tcW w:w="0" w:type="auto"/>
            <w:gridSpan w:val="3"/>
            <w:tcBorders>
              <w:top w:val="nil"/>
              <w:left w:val="nil"/>
              <w:bottom w:val="nil"/>
              <w:right w:val="nil"/>
            </w:tcBorders>
            <w:shd w:val="clear" w:color="auto" w:fill="CCEEFF"/>
            <w:tcMar>
              <w:top w:w="40" w:type="dxa"/>
              <w:left w:w="155" w:type="dxa"/>
              <w:bottom w:w="40" w:type="dxa"/>
              <w:right w:w="20" w:type="dxa"/>
            </w:tcMar>
            <w:vAlign w:val="bottom"/>
          </w:tcPr>
          <w:p w14:paraId="59E48EF3"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Money market funds</w:t>
            </w: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9E48EF4"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9E48EF5"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1,089 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EF6"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EF7"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9E48EF8"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9E48EF9"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EFA"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EFB"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9E48EFC"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9E48EFD"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EFE"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EFF"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9E48F00"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9E48F01"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1,089 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F02"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F03"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9E48F04"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9E48F05"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3,737 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F06"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F07"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9E48F08"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9E48F09"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F0A"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F0B"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9E48F0C"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9E48F0D"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F0E"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F0F"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9E48F10"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9E48F11"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3,737 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F12" w14:textId="77777777" w:rsidR="00D7560A" w:rsidRDefault="00D7560A">
            <w:pPr>
              <w:widowControl/>
              <w:jc w:val="right"/>
              <w:rPr>
                <w:rFonts w:ascii="Times New Roman" w:eastAsia="宋体" w:hAnsi="宋体" w:cs="宋体"/>
                <w:kern w:val="0"/>
                <w:sz w:val="24"/>
              </w:rPr>
            </w:pPr>
          </w:p>
        </w:tc>
      </w:tr>
      <w:tr w:rsidR="00D7560A" w14:paraId="59E48F24" w14:textId="77777777">
        <w:trPr>
          <w:hidden/>
        </w:trPr>
        <w:tc>
          <w:tcPr>
            <w:tcW w:w="0" w:type="auto"/>
            <w:gridSpan w:val="3"/>
            <w:tcBorders>
              <w:top w:val="nil"/>
              <w:left w:val="nil"/>
              <w:bottom w:val="nil"/>
              <w:right w:val="nil"/>
            </w:tcBorders>
            <w:shd w:val="clear" w:color="auto" w:fill="auto"/>
            <w:vAlign w:val="bottom"/>
          </w:tcPr>
          <w:p w14:paraId="59E48F14"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F15"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F16"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F17"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F18"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F19"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F1A"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F1B"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F1C"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F1D"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F1E"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F1F"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F20"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F21"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F22"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F23" w14:textId="77777777" w:rsidR="00D7560A" w:rsidRDefault="00D7560A">
            <w:pPr>
              <w:widowControl/>
              <w:jc w:val="left"/>
              <w:rPr>
                <w:rFonts w:ascii="Times New Roman" w:eastAsia="宋体" w:hAnsi="宋体" w:cs="宋体"/>
                <w:vanish/>
                <w:kern w:val="0"/>
                <w:sz w:val="24"/>
              </w:rPr>
            </w:pPr>
          </w:p>
        </w:tc>
      </w:tr>
      <w:tr w:rsidR="00D7560A" w14:paraId="59E48F35" w14:textId="77777777">
        <w:trPr>
          <w:hidden/>
        </w:trPr>
        <w:tc>
          <w:tcPr>
            <w:tcW w:w="0" w:type="auto"/>
            <w:gridSpan w:val="3"/>
            <w:tcBorders>
              <w:top w:val="nil"/>
              <w:left w:val="nil"/>
              <w:bottom w:val="nil"/>
              <w:right w:val="nil"/>
            </w:tcBorders>
            <w:shd w:val="clear" w:color="auto" w:fill="auto"/>
            <w:vAlign w:val="bottom"/>
          </w:tcPr>
          <w:p w14:paraId="59E48F25"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F26"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F27"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F28"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F29"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F2A"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F2B"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F2C"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F2D"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F2E"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F2F"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F30"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F31"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F32"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F33"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F34" w14:textId="77777777" w:rsidR="00D7560A" w:rsidRDefault="00D7560A">
            <w:pPr>
              <w:widowControl/>
              <w:jc w:val="left"/>
              <w:rPr>
                <w:rFonts w:ascii="Times New Roman" w:eastAsia="宋体" w:hAnsi="宋体" w:cs="宋体"/>
                <w:vanish/>
                <w:kern w:val="0"/>
                <w:sz w:val="24"/>
              </w:rPr>
            </w:pPr>
          </w:p>
        </w:tc>
      </w:tr>
      <w:tr w:rsidR="00D7560A" w14:paraId="59E48F46" w14:textId="77777777">
        <w:trPr>
          <w:hidden/>
        </w:trPr>
        <w:tc>
          <w:tcPr>
            <w:tcW w:w="0" w:type="auto"/>
            <w:gridSpan w:val="3"/>
            <w:tcBorders>
              <w:top w:val="nil"/>
              <w:left w:val="nil"/>
              <w:bottom w:val="nil"/>
              <w:right w:val="nil"/>
            </w:tcBorders>
            <w:shd w:val="clear" w:color="auto" w:fill="auto"/>
            <w:vAlign w:val="bottom"/>
          </w:tcPr>
          <w:p w14:paraId="59E48F36"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F37"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F38"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F39"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F3A"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F3B"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F3C"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F3D"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F3E"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F3F"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F40"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F41"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F42"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F43"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F44"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F45" w14:textId="77777777" w:rsidR="00D7560A" w:rsidRDefault="00D7560A">
            <w:pPr>
              <w:widowControl/>
              <w:jc w:val="left"/>
              <w:rPr>
                <w:rFonts w:ascii="Times New Roman" w:eastAsia="宋体" w:hAnsi="宋体" w:cs="宋体"/>
                <w:vanish/>
                <w:kern w:val="0"/>
                <w:sz w:val="24"/>
              </w:rPr>
            </w:pPr>
          </w:p>
        </w:tc>
      </w:tr>
      <w:tr w:rsidR="00D7560A" w14:paraId="59E48F57" w14:textId="77777777">
        <w:trPr>
          <w:hidden/>
        </w:trPr>
        <w:tc>
          <w:tcPr>
            <w:tcW w:w="0" w:type="auto"/>
            <w:gridSpan w:val="3"/>
            <w:tcBorders>
              <w:top w:val="nil"/>
              <w:left w:val="nil"/>
              <w:bottom w:val="nil"/>
              <w:right w:val="nil"/>
            </w:tcBorders>
            <w:shd w:val="clear" w:color="auto" w:fill="auto"/>
            <w:vAlign w:val="bottom"/>
          </w:tcPr>
          <w:p w14:paraId="59E48F47"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F48"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F49"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F4A"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F4B"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F4C"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F4D"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F4E"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F4F"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F50"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F51"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F52"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F53"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F54"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F55"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F56" w14:textId="77777777" w:rsidR="00D7560A" w:rsidRDefault="00D7560A">
            <w:pPr>
              <w:widowControl/>
              <w:jc w:val="left"/>
              <w:rPr>
                <w:rFonts w:ascii="Times New Roman" w:eastAsia="宋体" w:hAnsi="宋体" w:cs="宋体"/>
                <w:vanish/>
                <w:kern w:val="0"/>
                <w:sz w:val="24"/>
              </w:rPr>
            </w:pPr>
          </w:p>
        </w:tc>
      </w:tr>
      <w:tr w:rsidR="00D7560A" w14:paraId="59E48F68" w14:textId="77777777">
        <w:trPr>
          <w:hidden/>
        </w:trPr>
        <w:tc>
          <w:tcPr>
            <w:tcW w:w="0" w:type="auto"/>
            <w:gridSpan w:val="3"/>
            <w:tcBorders>
              <w:top w:val="nil"/>
              <w:left w:val="nil"/>
              <w:bottom w:val="nil"/>
              <w:right w:val="nil"/>
            </w:tcBorders>
            <w:shd w:val="clear" w:color="auto" w:fill="auto"/>
            <w:vAlign w:val="bottom"/>
          </w:tcPr>
          <w:p w14:paraId="59E48F58"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F59"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F5A"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F5B"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F5C"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F5D"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F5E"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F5F"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F60"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F61"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F62"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F63"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F64"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F65"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F66"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F67" w14:textId="77777777" w:rsidR="00D7560A" w:rsidRDefault="00D7560A">
            <w:pPr>
              <w:widowControl/>
              <w:jc w:val="left"/>
              <w:rPr>
                <w:rFonts w:ascii="Times New Roman" w:eastAsia="宋体" w:hAnsi="宋体" w:cs="宋体"/>
                <w:vanish/>
                <w:kern w:val="0"/>
                <w:sz w:val="24"/>
              </w:rPr>
            </w:pPr>
          </w:p>
        </w:tc>
      </w:tr>
      <w:tr w:rsidR="00D7560A" w14:paraId="59E48F79" w14:textId="77777777">
        <w:trPr>
          <w:hidden/>
        </w:trPr>
        <w:tc>
          <w:tcPr>
            <w:tcW w:w="0" w:type="auto"/>
            <w:gridSpan w:val="3"/>
            <w:tcBorders>
              <w:top w:val="nil"/>
              <w:left w:val="nil"/>
              <w:bottom w:val="nil"/>
              <w:right w:val="nil"/>
            </w:tcBorders>
            <w:shd w:val="clear" w:color="auto" w:fill="auto"/>
            <w:vAlign w:val="bottom"/>
          </w:tcPr>
          <w:p w14:paraId="59E48F69"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F6A"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F6B"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F6C"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F6D"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F6E"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F6F"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F70"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F71"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F72"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F73"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F74"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F75"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F76"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F77"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8F78" w14:textId="77777777" w:rsidR="00D7560A" w:rsidRDefault="00D7560A">
            <w:pPr>
              <w:widowControl/>
              <w:jc w:val="left"/>
              <w:rPr>
                <w:rFonts w:ascii="Times New Roman" w:eastAsia="宋体" w:hAnsi="宋体" w:cs="宋体"/>
                <w:vanish/>
                <w:kern w:val="0"/>
                <w:sz w:val="24"/>
              </w:rPr>
            </w:pPr>
          </w:p>
        </w:tc>
      </w:tr>
      <w:tr w:rsidR="00D7560A" w14:paraId="59E48F92" w14:textId="77777777">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59E48F7A"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Marketable equity and other securities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F7B"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25 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F7C"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F7D"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F7E"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F7F"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F80"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F81"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F82"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F83"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F84"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25 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F85"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F86"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F87"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86 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F88"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F89"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F8A"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F8B"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F8C"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F8D"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F8E"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F8F"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8F90"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86 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F91" w14:textId="77777777" w:rsidR="00D7560A" w:rsidRDefault="00D7560A">
            <w:pPr>
              <w:widowControl/>
              <w:jc w:val="right"/>
              <w:rPr>
                <w:rFonts w:ascii="Times New Roman" w:eastAsia="宋体" w:hAnsi="宋体" w:cs="宋体"/>
                <w:kern w:val="0"/>
                <w:sz w:val="24"/>
              </w:rPr>
            </w:pPr>
          </w:p>
        </w:tc>
      </w:tr>
      <w:tr w:rsidR="00D7560A" w14:paraId="59E48FAB" w14:textId="77777777">
        <w:tc>
          <w:tcPr>
            <w:tcW w:w="0" w:type="auto"/>
            <w:gridSpan w:val="3"/>
            <w:tcBorders>
              <w:top w:val="nil"/>
              <w:left w:val="nil"/>
              <w:bottom w:val="nil"/>
              <w:right w:val="nil"/>
            </w:tcBorders>
            <w:shd w:val="clear" w:color="auto" w:fill="CCEEFF"/>
            <w:tcMar>
              <w:top w:w="40" w:type="dxa"/>
              <w:left w:w="155" w:type="dxa"/>
              <w:bottom w:w="40" w:type="dxa"/>
              <w:right w:w="20" w:type="dxa"/>
            </w:tcMar>
            <w:vAlign w:val="bottom"/>
          </w:tcPr>
          <w:p w14:paraId="59E48F93"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Derivative instruments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8F94"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F95"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F96"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8F97"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634 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F98"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F99"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8F9A"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F9B"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F9C"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8F9D"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634 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F9E"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F9F"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8FA0"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FA1"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FA2"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8FA3"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253 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FA4"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FA5"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8FA6"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FA7"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FA8"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8FA9"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253 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8FAA" w14:textId="77777777" w:rsidR="00D7560A" w:rsidRDefault="00D7560A">
            <w:pPr>
              <w:widowControl/>
              <w:jc w:val="right"/>
              <w:rPr>
                <w:rFonts w:ascii="Times New Roman" w:eastAsia="宋体" w:hAnsi="宋体" w:cs="宋体"/>
                <w:kern w:val="0"/>
                <w:sz w:val="24"/>
              </w:rPr>
            </w:pPr>
          </w:p>
        </w:tc>
      </w:tr>
      <w:tr w:rsidR="00D7560A" w14:paraId="59E48FCC" w14:textId="77777777">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59E48FAC"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Total assets</w:t>
            </w: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59E48FAD"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59E48FAE"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1,114 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59E48FAF"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FB0"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59E48FB1"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59E48FB2"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634 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59E48FB3"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FB4"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59E48FB5"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59E48FB6"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59E48FB7"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FB8"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59E48FB9"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59E48FBA"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1,748 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59E48FBB"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FBC"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59E48FBD"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59E48FBE"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3,823 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59E48FBF"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FC0"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59E48FC1"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59E48FC2"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253 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59E48FC3"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FC4"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59E48FC5"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59E48FC6"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59E48FC7"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FC8"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59E48FC9"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59E48FCA"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4,076 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59E48FCB" w14:textId="77777777" w:rsidR="00D7560A" w:rsidRDefault="00D7560A">
            <w:pPr>
              <w:widowControl/>
              <w:jc w:val="right"/>
              <w:rPr>
                <w:rFonts w:ascii="Times New Roman" w:eastAsia="宋体" w:hAnsi="宋体" w:cs="宋体"/>
                <w:kern w:val="0"/>
                <w:sz w:val="24"/>
              </w:rPr>
            </w:pPr>
          </w:p>
        </w:tc>
      </w:tr>
      <w:tr w:rsidR="00D7560A" w14:paraId="59E48FDD"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9E48FCD"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i/>
                <w:iCs/>
                <w:color w:val="000000"/>
                <w:kern w:val="0"/>
                <w:sz w:val="20"/>
                <w:szCs w:val="20"/>
                <w:lang w:bidi="ar"/>
              </w:rPr>
              <w:t>Liabilities:</w:t>
            </w:r>
          </w:p>
        </w:tc>
        <w:tc>
          <w:tcPr>
            <w:tcW w:w="0" w:type="auto"/>
            <w:gridSpan w:val="3"/>
            <w:tcBorders>
              <w:top w:val="double" w:sz="2" w:space="0" w:color="000000"/>
              <w:left w:val="nil"/>
              <w:bottom w:val="nil"/>
              <w:right w:val="nil"/>
            </w:tcBorders>
            <w:shd w:val="clear" w:color="auto" w:fill="CCEEFF"/>
            <w:tcMar>
              <w:top w:w="40" w:type="dxa"/>
              <w:left w:w="20" w:type="dxa"/>
              <w:bottom w:w="40" w:type="dxa"/>
              <w:right w:w="20" w:type="dxa"/>
            </w:tcMar>
            <w:vAlign w:val="bottom"/>
          </w:tcPr>
          <w:p w14:paraId="59E48FCE"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 </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FCF" w14:textId="77777777" w:rsidR="00D7560A" w:rsidRDefault="00D7560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40" w:type="dxa"/>
              <w:left w:w="20" w:type="dxa"/>
              <w:bottom w:w="40" w:type="dxa"/>
              <w:right w:w="20" w:type="dxa"/>
            </w:tcMar>
            <w:vAlign w:val="bottom"/>
          </w:tcPr>
          <w:p w14:paraId="59E48FD0"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 </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FD1" w14:textId="77777777" w:rsidR="00D7560A" w:rsidRDefault="00D7560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40" w:type="dxa"/>
              <w:left w:w="20" w:type="dxa"/>
              <w:bottom w:w="40" w:type="dxa"/>
              <w:right w:w="20" w:type="dxa"/>
            </w:tcMar>
            <w:vAlign w:val="bottom"/>
          </w:tcPr>
          <w:p w14:paraId="59E48FD2"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 </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FD3" w14:textId="77777777" w:rsidR="00D7560A" w:rsidRDefault="00D7560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40" w:type="dxa"/>
              <w:left w:w="20" w:type="dxa"/>
              <w:bottom w:w="40" w:type="dxa"/>
              <w:right w:w="20" w:type="dxa"/>
            </w:tcMar>
            <w:vAlign w:val="bottom"/>
          </w:tcPr>
          <w:p w14:paraId="59E48FD4"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 </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FD5" w14:textId="77777777" w:rsidR="00D7560A" w:rsidRDefault="00D7560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40" w:type="dxa"/>
              <w:left w:w="20" w:type="dxa"/>
              <w:bottom w:w="40" w:type="dxa"/>
              <w:right w:w="20" w:type="dxa"/>
            </w:tcMar>
            <w:vAlign w:val="bottom"/>
          </w:tcPr>
          <w:p w14:paraId="59E48FD6"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 </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FD7" w14:textId="77777777" w:rsidR="00D7560A" w:rsidRDefault="00D7560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40" w:type="dxa"/>
              <w:left w:w="20" w:type="dxa"/>
              <w:bottom w:w="40" w:type="dxa"/>
              <w:right w:w="20" w:type="dxa"/>
            </w:tcMar>
            <w:vAlign w:val="bottom"/>
          </w:tcPr>
          <w:p w14:paraId="59E48FD8"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 </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FD9" w14:textId="77777777" w:rsidR="00D7560A" w:rsidRDefault="00D7560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40" w:type="dxa"/>
              <w:left w:w="20" w:type="dxa"/>
              <w:bottom w:w="40" w:type="dxa"/>
              <w:right w:w="20" w:type="dxa"/>
            </w:tcMar>
            <w:vAlign w:val="bottom"/>
          </w:tcPr>
          <w:p w14:paraId="59E48FDA"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 </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8FDB" w14:textId="77777777" w:rsidR="00D7560A" w:rsidRDefault="00D7560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40" w:type="dxa"/>
              <w:left w:w="20" w:type="dxa"/>
              <w:bottom w:w="40" w:type="dxa"/>
              <w:right w:w="20" w:type="dxa"/>
            </w:tcMar>
            <w:vAlign w:val="bottom"/>
          </w:tcPr>
          <w:p w14:paraId="59E48FDC"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 </w:t>
            </w:r>
          </w:p>
        </w:tc>
      </w:tr>
      <w:tr w:rsidR="00D7560A" w14:paraId="59E48FFE" w14:textId="77777777">
        <w:tc>
          <w:tcPr>
            <w:tcW w:w="0" w:type="auto"/>
            <w:gridSpan w:val="3"/>
            <w:tcBorders>
              <w:top w:val="nil"/>
              <w:left w:val="nil"/>
              <w:bottom w:val="nil"/>
              <w:right w:val="nil"/>
            </w:tcBorders>
            <w:shd w:val="clear" w:color="auto" w:fill="FFFFFF"/>
            <w:tcMar>
              <w:top w:w="40" w:type="dxa"/>
              <w:left w:w="140" w:type="dxa"/>
              <w:bottom w:w="40" w:type="dxa"/>
              <w:right w:w="20" w:type="dxa"/>
            </w:tcMar>
            <w:vAlign w:val="bottom"/>
          </w:tcPr>
          <w:p w14:paraId="59E48FDE"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Derivative instruments</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9E48FDF"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9E48FE0"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FE1"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FE2"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9E48FE3"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9E48FE4"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108 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FE5"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FE6"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9E48FE7"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9E48FE8"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FE9"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FEA"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9E48FEB"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9E48FEC"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108 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FED"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FEE"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9E48FEF"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9E48FF0"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FF1"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FF2"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9E48FF3"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9E48FF4"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138 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FF5"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FF6"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9E48FF7"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9E48FF8"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FF9"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8FFA"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9E48FFB"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9E48FFC"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138 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8FFD" w14:textId="77777777" w:rsidR="00D7560A" w:rsidRDefault="00D7560A">
            <w:pPr>
              <w:widowControl/>
              <w:jc w:val="right"/>
              <w:rPr>
                <w:rFonts w:ascii="Times New Roman" w:eastAsia="宋体" w:hAnsi="宋体" w:cs="宋体"/>
                <w:kern w:val="0"/>
                <w:sz w:val="24"/>
              </w:rPr>
            </w:pPr>
          </w:p>
        </w:tc>
      </w:tr>
      <w:tr w:rsidR="00D7560A" w14:paraId="59E4901F" w14:textId="77777777">
        <w:tc>
          <w:tcPr>
            <w:tcW w:w="0" w:type="auto"/>
            <w:gridSpan w:val="3"/>
            <w:tcBorders>
              <w:top w:val="nil"/>
              <w:left w:val="nil"/>
              <w:bottom w:val="nil"/>
              <w:right w:val="nil"/>
            </w:tcBorders>
            <w:shd w:val="clear" w:color="auto" w:fill="CCEEFF"/>
            <w:tcMar>
              <w:top w:w="40" w:type="dxa"/>
              <w:left w:w="245" w:type="dxa"/>
              <w:bottom w:w="40" w:type="dxa"/>
              <w:right w:w="20" w:type="dxa"/>
            </w:tcMar>
            <w:vAlign w:val="bottom"/>
          </w:tcPr>
          <w:p w14:paraId="59E48FFF"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Total liabilities</w:t>
            </w: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59E49000"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59E49001"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59E49002"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003"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59E49004"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59E49005"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108 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59E49006"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007"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59E49008"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59E49009"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59E4900A"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00B"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59E4900C"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59E4900D"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108 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59E4900E"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00F"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59E49010"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59E49011"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59E49012"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013"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59E49014"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59E49015"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138 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59E49016"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017"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59E49018"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59E49019"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59E4901A"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01B"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59E4901C"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59E4901D"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138 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59E4901E" w14:textId="77777777" w:rsidR="00D7560A" w:rsidRDefault="00D7560A">
            <w:pPr>
              <w:widowControl/>
              <w:jc w:val="right"/>
              <w:rPr>
                <w:rFonts w:ascii="Times New Roman" w:eastAsia="宋体" w:hAnsi="宋体" w:cs="宋体"/>
                <w:kern w:val="0"/>
                <w:sz w:val="24"/>
              </w:rPr>
            </w:pPr>
          </w:p>
        </w:tc>
      </w:tr>
    </w:tbl>
    <w:p w14:paraId="59E49020"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9021"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shd w:val="clear" w:color="auto" w:fill="FFFFFF"/>
          <w:lang w:bidi="ar"/>
        </w:rPr>
        <w:t>The following section describes the valuation methodologies the Company uses to measure</w:t>
      </w:r>
      <w:r>
        <w:rPr>
          <w:rFonts w:ascii="Times New Roman" w:eastAsia="宋体" w:hAnsi="Times New Roman" w:cs="Times New Roman"/>
          <w:color w:val="000000"/>
          <w:kern w:val="0"/>
          <w:sz w:val="20"/>
          <w:szCs w:val="20"/>
          <w:shd w:val="clear" w:color="auto" w:fill="FFFFFF"/>
          <w:lang w:bidi="ar"/>
        </w:rPr>
        <w:t xml:space="preserve"> financial instruments at fair value:</w:t>
      </w:r>
    </w:p>
    <w:p w14:paraId="59E49022"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9023"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i/>
          <w:iCs/>
          <w:color w:val="000000"/>
          <w:kern w:val="0"/>
          <w:sz w:val="20"/>
          <w:szCs w:val="20"/>
          <w:lang w:bidi="ar"/>
        </w:rPr>
        <w:t xml:space="preserve">Money Market Funds </w:t>
      </w:r>
      <w:r>
        <w:rPr>
          <w:rFonts w:ascii="Times New Roman" w:eastAsia="宋体" w:hAnsi="Times New Roman" w:cs="Times New Roman"/>
          <w:color w:val="000000"/>
          <w:kern w:val="0"/>
          <w:sz w:val="20"/>
          <w:szCs w:val="20"/>
          <w:lang w:bidi="ar"/>
        </w:rPr>
        <w:t>— The Company’s investment in money market funds that are classified as cash equivalents hold underlying investments with a weighted average maturity of 90 days or less and are recognized at fair v</w:t>
      </w:r>
      <w:r>
        <w:rPr>
          <w:rFonts w:ascii="Times New Roman" w:eastAsia="宋体" w:hAnsi="Times New Roman" w:cs="Times New Roman"/>
          <w:color w:val="000000"/>
          <w:kern w:val="0"/>
          <w:sz w:val="20"/>
          <w:szCs w:val="20"/>
          <w:lang w:bidi="ar"/>
        </w:rPr>
        <w:t>alue. The valuations of these securities are based on quoted prices in active markets for identical assets, when available, or pricing models whereby all significant inputs are observable or can be derived from or corroborated by observable market data. Th</w:t>
      </w:r>
      <w:r>
        <w:rPr>
          <w:rFonts w:ascii="Times New Roman" w:eastAsia="宋体" w:hAnsi="Times New Roman" w:cs="Times New Roman"/>
          <w:color w:val="000000"/>
          <w:kern w:val="0"/>
          <w:sz w:val="20"/>
          <w:szCs w:val="20"/>
          <w:lang w:bidi="ar"/>
        </w:rPr>
        <w:t xml:space="preserve">e Company reviews security pricing and assesses liquidity on a quarterly basis. </w:t>
      </w:r>
    </w:p>
    <w:p w14:paraId="59E49024"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9025"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i/>
          <w:iCs/>
          <w:color w:val="000000"/>
          <w:kern w:val="0"/>
          <w:sz w:val="20"/>
          <w:szCs w:val="20"/>
          <w:lang w:bidi="ar"/>
        </w:rPr>
        <w:t xml:space="preserve">Marketable Equity and Other Securities </w:t>
      </w:r>
      <w:r>
        <w:rPr>
          <w:rFonts w:ascii="Times New Roman" w:eastAsia="宋体" w:hAnsi="Times New Roman" w:cs="Times New Roman"/>
          <w:color w:val="000000"/>
          <w:kern w:val="0"/>
          <w:sz w:val="20"/>
          <w:szCs w:val="20"/>
          <w:lang w:bidi="ar"/>
        </w:rPr>
        <w:t xml:space="preserve">— The majority of the Company’s investments in equity and other securities that are measured at fair value on a recurring basis </w:t>
      </w:r>
      <w:r>
        <w:rPr>
          <w:rFonts w:ascii="Times New Roman" w:eastAsia="宋体" w:hAnsi="Times New Roman" w:cs="Times New Roman"/>
          <w:color w:val="000000"/>
          <w:kern w:val="0"/>
          <w:sz w:val="20"/>
          <w:szCs w:val="20"/>
          <w:lang w:bidi="ar"/>
        </w:rPr>
        <w:t>consist of strategic investments in publicly-traded companies. The valuation of these securities is based on quoted prices in active markets.</w:t>
      </w:r>
    </w:p>
    <w:p w14:paraId="59E49026"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9027"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i/>
          <w:iCs/>
          <w:color w:val="000000"/>
          <w:kern w:val="0"/>
          <w:sz w:val="20"/>
          <w:szCs w:val="20"/>
          <w:lang w:bidi="ar"/>
        </w:rPr>
        <w:t>Derivative Instruments</w:t>
      </w:r>
      <w:r>
        <w:rPr>
          <w:rFonts w:ascii="Times New Roman" w:eastAsia="宋体" w:hAnsi="Times New Roman" w:cs="Times New Roman"/>
          <w:color w:val="000000"/>
          <w:kern w:val="0"/>
          <w:sz w:val="20"/>
          <w:szCs w:val="20"/>
          <w:lang w:bidi="ar"/>
        </w:rPr>
        <w:t xml:space="preserve"> — The Company’s derivative financial instruments consist primarily of foreign currency fo</w:t>
      </w:r>
      <w:r>
        <w:rPr>
          <w:rFonts w:ascii="Times New Roman" w:eastAsia="宋体" w:hAnsi="Times New Roman" w:cs="Times New Roman"/>
          <w:color w:val="000000"/>
          <w:kern w:val="0"/>
          <w:sz w:val="20"/>
          <w:szCs w:val="20"/>
          <w:lang w:bidi="ar"/>
        </w:rPr>
        <w:t>rward and purchased option contracts and interest rate swaps. The fair value of the portfolio is determined using valuation models based on market observable inputs, including interest rate curves, forward and spot prices for currencies, and implied volati</w:t>
      </w:r>
      <w:r>
        <w:rPr>
          <w:rFonts w:ascii="Times New Roman" w:eastAsia="宋体" w:hAnsi="Times New Roman" w:cs="Times New Roman"/>
          <w:color w:val="000000"/>
          <w:kern w:val="0"/>
          <w:sz w:val="20"/>
          <w:szCs w:val="20"/>
          <w:lang w:bidi="ar"/>
        </w:rPr>
        <w:t>lities. Credit risk is also factored into the fair value calculation of the Company’s derivative financial instrument portfolio. See Note 8 of the Notes to the Condensed Consolidated Financial Statements for a description of the Company’s derivative financ</w:t>
      </w:r>
      <w:r>
        <w:rPr>
          <w:rFonts w:ascii="Times New Roman" w:eastAsia="宋体" w:hAnsi="Times New Roman" w:cs="Times New Roman"/>
          <w:color w:val="000000"/>
          <w:kern w:val="0"/>
          <w:sz w:val="20"/>
          <w:szCs w:val="20"/>
          <w:lang w:bidi="ar"/>
        </w:rPr>
        <w:t>ial instrument activities.</w:t>
      </w:r>
    </w:p>
    <w:p w14:paraId="59E49028"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9029"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i/>
          <w:iCs/>
          <w:color w:val="000000"/>
          <w:kern w:val="0"/>
          <w:sz w:val="20"/>
          <w:szCs w:val="20"/>
          <w:lang w:bidi="ar"/>
        </w:rPr>
        <w:t xml:space="preserve">Deferred Compensation Plans </w:t>
      </w:r>
      <w:r>
        <w:rPr>
          <w:rFonts w:ascii="Times New Roman" w:eastAsia="宋体" w:hAnsi="Times New Roman" w:cs="Times New Roman"/>
          <w:color w:val="000000"/>
          <w:kern w:val="0"/>
          <w:sz w:val="20"/>
          <w:szCs w:val="20"/>
          <w:lang w:bidi="ar"/>
        </w:rPr>
        <w:t>—The Company offers deferred compensation plans for eligible employees, which allow participants to defer a portion of their compensation. Assets were the same as liabilities associated with the plan</w:t>
      </w:r>
      <w:r>
        <w:rPr>
          <w:rFonts w:ascii="Times New Roman" w:eastAsia="宋体" w:hAnsi="Times New Roman" w:cs="Times New Roman"/>
          <w:color w:val="000000"/>
          <w:kern w:val="0"/>
          <w:sz w:val="20"/>
          <w:szCs w:val="20"/>
          <w:lang w:bidi="ar"/>
        </w:rPr>
        <w:t xml:space="preserve">s at approximately $169 million and $192 million as of July 29, 2022 and January 28, 2022, respectively, and are included in other assets and other liabilities on the Condensed Consolidated Statements of Financial Position. The net impact to the Condensed </w:t>
      </w:r>
      <w:r>
        <w:rPr>
          <w:rFonts w:ascii="Times New Roman" w:eastAsia="宋体" w:hAnsi="Times New Roman" w:cs="Times New Roman"/>
          <w:color w:val="000000"/>
          <w:kern w:val="0"/>
          <w:sz w:val="20"/>
          <w:szCs w:val="20"/>
          <w:lang w:bidi="ar"/>
        </w:rPr>
        <w:t>Consolidated Statements of Income is not material since changes in the fair value of the assets substantially offset changes in the fair value of the liabilities. As such, assets and liabilities associated with these plans have not been included in the rec</w:t>
      </w:r>
      <w:r>
        <w:rPr>
          <w:rFonts w:ascii="Times New Roman" w:eastAsia="宋体" w:hAnsi="Times New Roman" w:cs="Times New Roman"/>
          <w:color w:val="000000"/>
          <w:kern w:val="0"/>
          <w:sz w:val="20"/>
          <w:szCs w:val="20"/>
          <w:lang w:bidi="ar"/>
        </w:rPr>
        <w:t xml:space="preserve">urring fair value table above. </w:t>
      </w:r>
    </w:p>
    <w:p w14:paraId="59E4902A"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902B"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902C"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16</w:t>
      </w:r>
    </w:p>
    <w:p w14:paraId="59E4902D"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902E" w14:textId="77777777" w:rsidR="00D7560A" w:rsidRDefault="001E3CAB">
      <w:pPr>
        <w:widowControl/>
        <w:jc w:val="center"/>
      </w:pPr>
      <w:r>
        <w:rPr>
          <w:rFonts w:ascii="宋体" w:eastAsia="宋体" w:hAnsi="宋体" w:cs="宋体"/>
          <w:kern w:val="0"/>
          <w:sz w:val="24"/>
        </w:rPr>
        <w:pict w14:anchorId="59E4C7DB">
          <v:rect id="_x0000_i1040" style="width:6in;height:1.5pt" o:hralign="center" o:hrstd="t" o:hr="t" fillcolor="#a0a0a0" stroked="f"/>
        </w:pict>
      </w:r>
    </w:p>
    <w:p w14:paraId="59E4902F" w14:textId="77777777" w:rsidR="00D7560A" w:rsidRDefault="001E3CAB">
      <w:pPr>
        <w:widowControl/>
        <w:jc w:val="left"/>
        <w:rPr>
          <w:rFonts w:ascii="宋体" w:eastAsia="宋体" w:hAnsi="宋体" w:cs="宋体"/>
          <w:kern w:val="0"/>
          <w:sz w:val="24"/>
        </w:rPr>
      </w:pPr>
      <w:hyperlink w:anchor="if933dd1d5d004d2495dd7029e3ecad00_13" w:history="1">
        <w:r>
          <w:rPr>
            <w:rStyle w:val="a4"/>
            <w:rFonts w:ascii="Times New Roman" w:eastAsia="宋体" w:hAnsi="Times New Roman" w:cs="Times New Roman"/>
            <w:sz w:val="20"/>
            <w:szCs w:val="20"/>
          </w:rPr>
          <w:t>Table of Contents</w:t>
        </w:r>
      </w:hyperlink>
    </w:p>
    <w:p w14:paraId="59E49030"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DELL TECHNOLOGIES INC.</w:t>
      </w:r>
    </w:p>
    <w:p w14:paraId="59E49031"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NOTES TO THE CONDENSED CONSOLIDATED FINANCIAL STATEMENTS (Continued)</w:t>
      </w:r>
    </w:p>
    <w:p w14:paraId="59E49032"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(unaudited)</w:t>
      </w:r>
    </w:p>
    <w:p w14:paraId="59E49033"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9034"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i/>
          <w:iCs/>
          <w:color w:val="000000"/>
          <w:kern w:val="0"/>
          <w:sz w:val="20"/>
          <w:szCs w:val="20"/>
          <w:lang w:bidi="ar"/>
        </w:rPr>
        <w:t xml:space="preserve">Assets and </w:t>
      </w:r>
      <w:r>
        <w:rPr>
          <w:rFonts w:ascii="Times New Roman" w:eastAsia="宋体" w:hAnsi="Times New Roman" w:cs="Times New Roman"/>
          <w:i/>
          <w:iCs/>
          <w:color w:val="000000"/>
          <w:kern w:val="0"/>
          <w:sz w:val="20"/>
          <w:szCs w:val="20"/>
          <w:lang w:bidi="ar"/>
        </w:rPr>
        <w:t>Liabilities Measured at Fair Value on a Nonrecurring Basis</w:t>
      </w:r>
      <w:r>
        <w:rPr>
          <w:rFonts w:ascii="Times New Roman" w:eastAsia="宋体" w:hAnsi="Times New Roman" w:cs="Times New Roman"/>
          <w:color w:val="000000"/>
          <w:kern w:val="0"/>
          <w:sz w:val="20"/>
          <w:szCs w:val="20"/>
          <w:lang w:bidi="ar"/>
        </w:rPr>
        <w:t xml:space="preserve"> — Certain assets are measured at fair value on a nonrecurring basis and therefore are not included in the recurring fair value table above. These assets consist primarily of non-financial assets su</w:t>
      </w:r>
      <w:r>
        <w:rPr>
          <w:rFonts w:ascii="Times New Roman" w:eastAsia="宋体" w:hAnsi="Times New Roman" w:cs="Times New Roman"/>
          <w:color w:val="000000"/>
          <w:kern w:val="0"/>
          <w:sz w:val="20"/>
          <w:szCs w:val="20"/>
          <w:lang w:bidi="ar"/>
        </w:rPr>
        <w:t>ch as goodwill and intangible assets. See Note 9 of the Notes to the Condensed Consolidated Financial Statements for additional information about goodwill and intangible assets.</w:t>
      </w:r>
    </w:p>
    <w:p w14:paraId="59E49035"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9036"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As of July 29, 2022 and January 28, 2022, the Company held strategic investments in non-marketable equity and other securities of $1.3 billion and $1.4 billion, respectively. As these investments represent early-stage companies without readily determinable</w:t>
      </w:r>
      <w:r>
        <w:rPr>
          <w:rFonts w:ascii="Times New Roman" w:eastAsia="宋体" w:hAnsi="Times New Roman" w:cs="Times New Roman"/>
          <w:color w:val="000000"/>
          <w:kern w:val="0"/>
          <w:sz w:val="20"/>
          <w:szCs w:val="20"/>
          <w:lang w:bidi="ar"/>
        </w:rPr>
        <w:t xml:space="preserve"> fair values, they are not included in the recurring fair value table above. See Note 4 of the Notes to the Condensed Consolidated Financial Statements for additional information about our strategic investments. </w:t>
      </w:r>
    </w:p>
    <w:p w14:paraId="59E49037"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9038" w14:textId="77777777" w:rsidR="00D7560A" w:rsidRDefault="001E3CAB">
      <w:pPr>
        <w:widowControl/>
        <w:spacing w:after="120"/>
        <w:jc w:val="left"/>
        <w:rPr>
          <w:rFonts w:ascii="宋体" w:eastAsia="宋体" w:hAnsi="宋体" w:cs="宋体"/>
          <w:kern w:val="0"/>
          <w:sz w:val="24"/>
        </w:rPr>
      </w:pPr>
      <w:r>
        <w:rPr>
          <w:rFonts w:ascii="Times New Roman" w:eastAsia="宋体" w:hAnsi="Times New Roman" w:cs="Times New Roman"/>
          <w:i/>
          <w:iCs/>
          <w:color w:val="000000"/>
          <w:kern w:val="0"/>
          <w:sz w:val="20"/>
          <w:szCs w:val="20"/>
          <w:lang w:bidi="ar"/>
        </w:rPr>
        <w:t>Carrying Value and Estimated Fair Value o</w:t>
      </w:r>
      <w:r>
        <w:rPr>
          <w:rFonts w:ascii="Times New Roman" w:eastAsia="宋体" w:hAnsi="Times New Roman" w:cs="Times New Roman"/>
          <w:i/>
          <w:iCs/>
          <w:color w:val="000000"/>
          <w:kern w:val="0"/>
          <w:sz w:val="20"/>
          <w:szCs w:val="20"/>
          <w:lang w:bidi="ar"/>
        </w:rPr>
        <w:t xml:space="preserve">f Outstanding Debt </w:t>
      </w:r>
      <w:r>
        <w:rPr>
          <w:rFonts w:ascii="Times New Roman" w:eastAsia="宋体" w:hAnsi="Times New Roman" w:cs="Times New Roman"/>
          <w:color w:val="000000"/>
          <w:kern w:val="0"/>
          <w:sz w:val="20"/>
          <w:szCs w:val="20"/>
          <w:lang w:bidi="ar"/>
        </w:rPr>
        <w:t>— The following table presents the carrying value and estimated fair value of the Company’s outstanding debt as described in Note 7 of the Notes to the Condensed Consolidated Financial Statements, including the current portion, as of the</w:t>
      </w:r>
      <w:r>
        <w:rPr>
          <w:rFonts w:ascii="Times New Roman" w:eastAsia="宋体" w:hAnsi="Times New Roman" w:cs="Times New Roman"/>
          <w:color w:val="000000"/>
          <w:kern w:val="0"/>
          <w:sz w:val="20"/>
          <w:szCs w:val="20"/>
          <w:lang w:bidi="ar"/>
        </w:rPr>
        <w:t xml:space="preserve"> dates indicated: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3327"/>
        <w:gridCol w:w="37"/>
        <w:gridCol w:w="121"/>
        <w:gridCol w:w="1028"/>
        <w:gridCol w:w="36"/>
        <w:gridCol w:w="36"/>
        <w:gridCol w:w="36"/>
        <w:gridCol w:w="36"/>
        <w:gridCol w:w="120"/>
        <w:gridCol w:w="984"/>
        <w:gridCol w:w="36"/>
        <w:gridCol w:w="36"/>
        <w:gridCol w:w="36"/>
        <w:gridCol w:w="36"/>
        <w:gridCol w:w="121"/>
        <w:gridCol w:w="986"/>
        <w:gridCol w:w="36"/>
        <w:gridCol w:w="36"/>
        <w:gridCol w:w="36"/>
        <w:gridCol w:w="36"/>
        <w:gridCol w:w="120"/>
        <w:gridCol w:w="986"/>
        <w:gridCol w:w="36"/>
      </w:tblGrid>
      <w:tr w:rsidR="00D7560A" w14:paraId="59E49051" w14:textId="77777777">
        <w:trPr>
          <w:jc w:val="center"/>
        </w:trPr>
        <w:tc>
          <w:tcPr>
            <w:tcW w:w="50" w:type="pct"/>
            <w:tcBorders>
              <w:top w:val="nil"/>
              <w:left w:val="nil"/>
              <w:bottom w:val="nil"/>
              <w:right w:val="nil"/>
            </w:tcBorders>
            <w:shd w:val="clear" w:color="auto" w:fill="auto"/>
            <w:vAlign w:val="bottom"/>
          </w:tcPr>
          <w:p w14:paraId="59E49039" w14:textId="77777777" w:rsidR="00D7560A" w:rsidRDefault="00D7560A">
            <w:pPr>
              <w:widowControl/>
              <w:jc w:val="left"/>
              <w:rPr>
                <w:rFonts w:ascii="Times New Roman" w:eastAsia="宋体" w:hAnsi="宋体" w:cs="宋体"/>
                <w:kern w:val="0"/>
                <w:sz w:val="24"/>
              </w:rPr>
            </w:pPr>
          </w:p>
        </w:tc>
        <w:tc>
          <w:tcPr>
            <w:tcW w:w="2028" w:type="pct"/>
            <w:tcBorders>
              <w:top w:val="nil"/>
              <w:left w:val="nil"/>
              <w:bottom w:val="nil"/>
              <w:right w:val="nil"/>
            </w:tcBorders>
            <w:shd w:val="clear" w:color="auto" w:fill="auto"/>
            <w:vAlign w:val="bottom"/>
          </w:tcPr>
          <w:p w14:paraId="59E4903A"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03B"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903C" w14:textId="77777777" w:rsidR="00D7560A" w:rsidRDefault="00D7560A">
            <w:pPr>
              <w:widowControl/>
              <w:jc w:val="left"/>
              <w:rPr>
                <w:rFonts w:ascii="Times New Roman" w:eastAsia="宋体" w:hAnsi="宋体" w:cs="宋体"/>
                <w:kern w:val="0"/>
                <w:sz w:val="24"/>
              </w:rPr>
            </w:pPr>
          </w:p>
        </w:tc>
        <w:tc>
          <w:tcPr>
            <w:tcW w:w="646" w:type="pct"/>
            <w:tcBorders>
              <w:top w:val="nil"/>
              <w:left w:val="nil"/>
              <w:bottom w:val="nil"/>
              <w:right w:val="nil"/>
            </w:tcBorders>
            <w:shd w:val="clear" w:color="auto" w:fill="auto"/>
            <w:vAlign w:val="bottom"/>
          </w:tcPr>
          <w:p w14:paraId="59E4903D"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03E"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03F" w14:textId="77777777" w:rsidR="00D7560A" w:rsidRDefault="00D7560A">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59E49040"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041"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9042" w14:textId="77777777" w:rsidR="00D7560A" w:rsidRDefault="00D7560A">
            <w:pPr>
              <w:widowControl/>
              <w:jc w:val="left"/>
              <w:rPr>
                <w:rFonts w:ascii="Times New Roman" w:eastAsia="宋体" w:hAnsi="宋体" w:cs="宋体"/>
                <w:kern w:val="0"/>
                <w:sz w:val="24"/>
              </w:rPr>
            </w:pPr>
          </w:p>
        </w:tc>
        <w:tc>
          <w:tcPr>
            <w:tcW w:w="646" w:type="pct"/>
            <w:tcBorders>
              <w:top w:val="nil"/>
              <w:left w:val="nil"/>
              <w:bottom w:val="nil"/>
              <w:right w:val="nil"/>
            </w:tcBorders>
            <w:shd w:val="clear" w:color="auto" w:fill="auto"/>
            <w:vAlign w:val="bottom"/>
          </w:tcPr>
          <w:p w14:paraId="59E49043"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044"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045" w14:textId="77777777" w:rsidR="00D7560A" w:rsidRDefault="00D7560A">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59E49046"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047"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9048" w14:textId="77777777" w:rsidR="00D7560A" w:rsidRDefault="00D7560A">
            <w:pPr>
              <w:widowControl/>
              <w:jc w:val="left"/>
              <w:rPr>
                <w:rFonts w:ascii="Times New Roman" w:eastAsia="宋体" w:hAnsi="宋体" w:cs="宋体"/>
                <w:kern w:val="0"/>
                <w:sz w:val="24"/>
              </w:rPr>
            </w:pPr>
          </w:p>
        </w:tc>
        <w:tc>
          <w:tcPr>
            <w:tcW w:w="646" w:type="pct"/>
            <w:tcBorders>
              <w:top w:val="nil"/>
              <w:left w:val="nil"/>
              <w:bottom w:val="nil"/>
              <w:right w:val="nil"/>
            </w:tcBorders>
            <w:shd w:val="clear" w:color="auto" w:fill="auto"/>
            <w:vAlign w:val="bottom"/>
          </w:tcPr>
          <w:p w14:paraId="59E49049"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04A"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04B" w14:textId="77777777" w:rsidR="00D7560A" w:rsidRDefault="00D7560A">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59E4904C"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04D"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904E" w14:textId="77777777" w:rsidR="00D7560A" w:rsidRDefault="00D7560A">
            <w:pPr>
              <w:widowControl/>
              <w:jc w:val="left"/>
              <w:rPr>
                <w:rFonts w:ascii="Times New Roman" w:eastAsia="宋体" w:hAnsi="宋体" w:cs="宋体"/>
                <w:kern w:val="0"/>
                <w:sz w:val="24"/>
              </w:rPr>
            </w:pPr>
          </w:p>
        </w:tc>
        <w:tc>
          <w:tcPr>
            <w:tcW w:w="646" w:type="pct"/>
            <w:tcBorders>
              <w:top w:val="nil"/>
              <w:left w:val="nil"/>
              <w:bottom w:val="nil"/>
              <w:right w:val="nil"/>
            </w:tcBorders>
            <w:shd w:val="clear" w:color="auto" w:fill="auto"/>
            <w:vAlign w:val="bottom"/>
          </w:tcPr>
          <w:p w14:paraId="59E4904F"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050" w14:textId="77777777" w:rsidR="00D7560A" w:rsidRDefault="00D7560A">
            <w:pPr>
              <w:widowControl/>
              <w:jc w:val="left"/>
              <w:rPr>
                <w:rFonts w:ascii="Times New Roman" w:eastAsia="宋体" w:hAnsi="宋体" w:cs="宋体"/>
                <w:kern w:val="0"/>
                <w:sz w:val="24"/>
              </w:rPr>
            </w:pPr>
          </w:p>
        </w:tc>
      </w:tr>
      <w:tr w:rsidR="00D7560A" w14:paraId="59E49056"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9052" w14:textId="77777777" w:rsidR="00D7560A" w:rsidRDefault="00D7560A">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59E49053"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29, 2022</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9054" w14:textId="77777777" w:rsidR="00D7560A" w:rsidRDefault="00D7560A">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59E49055"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January 28, 2022</w:t>
            </w:r>
          </w:p>
        </w:tc>
      </w:tr>
      <w:tr w:rsidR="00D7560A" w14:paraId="59E4905F"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9057"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59E49058"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Carrying Value</w:t>
            </w: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59E49059"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59E4905A"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Fair Value</w:t>
            </w: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59E4905B"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59E4905C"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Carrying Value</w:t>
            </w: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59E4905D"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59E4905E"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Fair Value</w:t>
            </w:r>
          </w:p>
        </w:tc>
      </w:tr>
      <w:tr w:rsidR="00D7560A" w14:paraId="59E49062"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9060" w14:textId="77777777" w:rsidR="00D7560A" w:rsidRDefault="00D7560A">
            <w:pPr>
              <w:widowControl/>
              <w:jc w:val="left"/>
              <w:rPr>
                <w:rFonts w:ascii="Times New Roman" w:eastAsia="宋体" w:hAnsi="宋体" w:cs="宋体"/>
                <w:kern w:val="0"/>
                <w:sz w:val="24"/>
              </w:rPr>
            </w:pPr>
          </w:p>
        </w:tc>
        <w:tc>
          <w:tcPr>
            <w:tcW w:w="0" w:type="auto"/>
            <w:gridSpan w:val="21"/>
            <w:tcBorders>
              <w:top w:val="single" w:sz="8" w:space="0" w:color="000000"/>
              <w:left w:val="nil"/>
              <w:bottom w:val="nil"/>
              <w:right w:val="nil"/>
            </w:tcBorders>
            <w:shd w:val="clear" w:color="auto" w:fill="auto"/>
            <w:tcMar>
              <w:top w:w="40" w:type="dxa"/>
              <w:left w:w="20" w:type="dxa"/>
              <w:bottom w:w="40" w:type="dxa"/>
              <w:right w:w="20" w:type="dxa"/>
            </w:tcMar>
            <w:vAlign w:val="bottom"/>
          </w:tcPr>
          <w:p w14:paraId="59E49061"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(in billions)</w:t>
            </w:r>
          </w:p>
        </w:tc>
      </w:tr>
      <w:tr w:rsidR="00D7560A" w14:paraId="59E4906B" w14:textId="77777777">
        <w:trPr>
          <w:jc w:val="center"/>
          <w:hidden/>
        </w:trPr>
        <w:tc>
          <w:tcPr>
            <w:tcW w:w="0" w:type="auto"/>
            <w:gridSpan w:val="3"/>
            <w:tcBorders>
              <w:top w:val="nil"/>
              <w:left w:val="nil"/>
              <w:bottom w:val="nil"/>
              <w:right w:val="nil"/>
            </w:tcBorders>
            <w:shd w:val="clear" w:color="auto" w:fill="auto"/>
            <w:vAlign w:val="bottom"/>
          </w:tcPr>
          <w:p w14:paraId="59E49063"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9064"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9065"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9066"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9067"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9068"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9069"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906A" w14:textId="77777777" w:rsidR="00D7560A" w:rsidRDefault="00D7560A">
            <w:pPr>
              <w:widowControl/>
              <w:jc w:val="left"/>
              <w:rPr>
                <w:rFonts w:ascii="Times New Roman" w:eastAsia="宋体" w:hAnsi="宋体" w:cs="宋体"/>
                <w:vanish/>
                <w:kern w:val="0"/>
                <w:sz w:val="24"/>
              </w:rPr>
            </w:pPr>
          </w:p>
        </w:tc>
      </w:tr>
      <w:tr w:rsidR="00D7560A" w14:paraId="59E4907C"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9E4906C"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Senior Notes</w:t>
            </w: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9E4906D"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9E4906E"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16.2 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906F"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070"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9E49071"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9E49072"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16.7 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9073"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074"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9E49075"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9E49076"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16.1 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9077"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078"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9E49079"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9E4907A"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18.5 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907B" w14:textId="77777777" w:rsidR="00D7560A" w:rsidRDefault="00D7560A">
            <w:pPr>
              <w:widowControl/>
              <w:jc w:val="right"/>
              <w:rPr>
                <w:rFonts w:ascii="Times New Roman" w:eastAsia="宋体" w:hAnsi="宋体" w:cs="宋体"/>
                <w:kern w:val="0"/>
                <w:sz w:val="24"/>
              </w:rPr>
            </w:pPr>
          </w:p>
        </w:tc>
      </w:tr>
      <w:tr w:rsidR="00D7560A" w14:paraId="59E4908D"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59E4907D"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Legacy Notes and Debentures</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9E4907E"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9E4907F"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0.8 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9080"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9081"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9E49082"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9E49083"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9084"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9085"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9E49086"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9E49087"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0.8 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9088"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9089"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9E4908A"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9E4908B"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908C" w14:textId="77777777" w:rsidR="00D7560A" w:rsidRDefault="00D7560A">
            <w:pPr>
              <w:widowControl/>
              <w:jc w:val="right"/>
              <w:rPr>
                <w:rFonts w:ascii="Times New Roman" w:eastAsia="宋体" w:hAnsi="宋体" w:cs="宋体"/>
                <w:kern w:val="0"/>
                <w:sz w:val="24"/>
              </w:rPr>
            </w:pPr>
          </w:p>
        </w:tc>
      </w:tr>
      <w:tr w:rsidR="00D7560A" w14:paraId="59E49096" w14:textId="77777777">
        <w:trPr>
          <w:jc w:val="center"/>
          <w:hidden/>
        </w:trPr>
        <w:tc>
          <w:tcPr>
            <w:tcW w:w="0" w:type="auto"/>
            <w:gridSpan w:val="3"/>
            <w:tcBorders>
              <w:top w:val="nil"/>
              <w:left w:val="nil"/>
              <w:bottom w:val="nil"/>
              <w:right w:val="nil"/>
            </w:tcBorders>
            <w:shd w:val="clear" w:color="auto" w:fill="auto"/>
            <w:vAlign w:val="bottom"/>
          </w:tcPr>
          <w:p w14:paraId="59E4908E"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908F"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9090"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9091"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9092"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9093"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9094"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9095" w14:textId="77777777" w:rsidR="00D7560A" w:rsidRDefault="00D7560A">
            <w:pPr>
              <w:widowControl/>
              <w:jc w:val="left"/>
              <w:rPr>
                <w:rFonts w:ascii="Times New Roman" w:eastAsia="宋体" w:hAnsi="宋体" w:cs="宋体"/>
                <w:vanish/>
                <w:kern w:val="0"/>
                <w:sz w:val="24"/>
              </w:rPr>
            </w:pPr>
          </w:p>
        </w:tc>
      </w:tr>
    </w:tbl>
    <w:p w14:paraId="59E49097"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9098"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The fair values of the outstanding debt shown in the table above, as well as the DFS debt described in Note 5 of the Notes to the </w:t>
      </w:r>
      <w:r>
        <w:rPr>
          <w:rFonts w:ascii="Times New Roman" w:eastAsia="宋体" w:hAnsi="Times New Roman" w:cs="Times New Roman"/>
          <w:color w:val="000000"/>
          <w:kern w:val="0"/>
          <w:sz w:val="20"/>
          <w:szCs w:val="20"/>
          <w:lang w:bidi="ar"/>
        </w:rPr>
        <w:t>Condensed Consolidated Financial Statements, were determined based on observable market prices in a less active market or based on valuation methodologies using observable inputs and were categorized as Level 2 in the fair value hierarchy. The carrying val</w:t>
      </w:r>
      <w:r>
        <w:rPr>
          <w:rFonts w:ascii="Times New Roman" w:eastAsia="宋体" w:hAnsi="Times New Roman" w:cs="Times New Roman"/>
          <w:color w:val="000000"/>
          <w:kern w:val="0"/>
          <w:sz w:val="20"/>
          <w:szCs w:val="20"/>
          <w:lang w:bidi="ar"/>
        </w:rPr>
        <w:t>ue of DFS debt approximates fair value.</w:t>
      </w:r>
    </w:p>
    <w:p w14:paraId="59E49099"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909A"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909B"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909C"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909D"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17</w:t>
      </w:r>
    </w:p>
    <w:p w14:paraId="59E4909E"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909F" w14:textId="77777777" w:rsidR="00D7560A" w:rsidRDefault="001E3CAB">
      <w:pPr>
        <w:widowControl/>
        <w:jc w:val="center"/>
      </w:pPr>
      <w:r>
        <w:rPr>
          <w:rFonts w:ascii="宋体" w:eastAsia="宋体" w:hAnsi="宋体" w:cs="宋体"/>
          <w:kern w:val="0"/>
          <w:sz w:val="24"/>
        </w:rPr>
        <w:pict w14:anchorId="59E4C7DC">
          <v:rect id="_x0000_i1041" style="width:6in;height:1.5pt" o:hralign="center" o:hrstd="t" o:hr="t" fillcolor="#a0a0a0" stroked="f"/>
        </w:pict>
      </w:r>
    </w:p>
    <w:p w14:paraId="59E490A0" w14:textId="77777777" w:rsidR="00D7560A" w:rsidRDefault="001E3CAB">
      <w:pPr>
        <w:widowControl/>
        <w:jc w:val="left"/>
        <w:rPr>
          <w:rFonts w:ascii="宋体" w:eastAsia="宋体" w:hAnsi="宋体" w:cs="宋体"/>
          <w:kern w:val="0"/>
          <w:sz w:val="24"/>
        </w:rPr>
      </w:pPr>
      <w:hyperlink w:anchor="if933dd1d5d004d2495dd7029e3ecad00_13" w:history="1">
        <w:r>
          <w:rPr>
            <w:rStyle w:val="a4"/>
            <w:rFonts w:ascii="Times New Roman" w:eastAsia="宋体" w:hAnsi="Times New Roman" w:cs="Times New Roman"/>
            <w:sz w:val="20"/>
            <w:szCs w:val="20"/>
          </w:rPr>
          <w:t>Table of Contents</w:t>
        </w:r>
      </w:hyperlink>
    </w:p>
    <w:p w14:paraId="59E490A1"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DELL TECHNOLOGIES INC.</w:t>
      </w:r>
    </w:p>
    <w:p w14:paraId="59E490A2"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NOTES TO THE CONDENSED CONSOLIDATED FINANCIAL STATEMENTS (Continued)</w:t>
      </w:r>
    </w:p>
    <w:p w14:paraId="59E490A3"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(unaudited)</w:t>
      </w:r>
    </w:p>
    <w:p w14:paraId="59E490A4"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90A5"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 xml:space="preserve">NOTE 4 — </w:t>
      </w:r>
      <w:r>
        <w:rPr>
          <w:rFonts w:ascii="Times New Roman" w:eastAsia="宋体" w:hAnsi="Times New Roman" w:cs="Times New Roman"/>
          <w:b/>
          <w:bCs/>
          <w:color w:val="000000"/>
          <w:kern w:val="0"/>
          <w:sz w:val="20"/>
          <w:szCs w:val="20"/>
          <w:lang w:bidi="ar"/>
        </w:rPr>
        <w:t>INVESTMENTS</w:t>
      </w:r>
    </w:p>
    <w:p w14:paraId="59E490A6"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90A7"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The Company has strategic investments in equity and other securities as well as investments in fixed income debt securities. All equity and other securities as well as long-term fixed income debt securities are recorded as long-term investments in the Cond</w:t>
      </w:r>
      <w:r>
        <w:rPr>
          <w:rFonts w:ascii="Times New Roman" w:eastAsia="宋体" w:hAnsi="Times New Roman" w:cs="Times New Roman"/>
          <w:color w:val="000000"/>
          <w:kern w:val="0"/>
          <w:sz w:val="20"/>
          <w:szCs w:val="20"/>
          <w:lang w:bidi="ar"/>
        </w:rPr>
        <w:t xml:space="preserve">ensed Consolidated Statements of Financial Position. Short-term fixed income debt securities are recorded as other current assets in the Condensed Consolidated Statements of Financial Position. </w:t>
      </w:r>
    </w:p>
    <w:p w14:paraId="59E490A8"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90A9"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As of July 29, 2022 and January 28, 2022, total investments</w:t>
      </w:r>
      <w:r>
        <w:rPr>
          <w:rFonts w:ascii="Times New Roman" w:eastAsia="宋体" w:hAnsi="Times New Roman" w:cs="Times New Roman"/>
          <w:color w:val="000000"/>
          <w:kern w:val="0"/>
          <w:sz w:val="20"/>
          <w:szCs w:val="20"/>
          <w:lang w:bidi="ar"/>
        </w:rPr>
        <w:t xml:space="preserve"> were $1.6 billion and $1.8 billion, respectively.</w:t>
      </w:r>
    </w:p>
    <w:p w14:paraId="59E490AA"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90AB"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i/>
          <w:iCs/>
          <w:color w:val="000000"/>
          <w:kern w:val="0"/>
          <w:sz w:val="20"/>
          <w:szCs w:val="20"/>
          <w:u w:val="single"/>
          <w:lang w:bidi="ar"/>
        </w:rPr>
        <w:t>Equity and Other Securities</w:t>
      </w:r>
    </w:p>
    <w:p w14:paraId="59E490AC"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90AD"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Equity and other securities include strategic investments in marketable and non-marketable securities. Investments in marketable securities are measured at fair value on a r</w:t>
      </w:r>
      <w:r>
        <w:rPr>
          <w:rFonts w:ascii="Times New Roman" w:eastAsia="宋体" w:hAnsi="Times New Roman" w:cs="Times New Roman"/>
          <w:color w:val="000000"/>
          <w:kern w:val="0"/>
          <w:sz w:val="20"/>
          <w:szCs w:val="20"/>
          <w:lang w:bidi="ar"/>
        </w:rPr>
        <w:t>ecurring basis. The Company has elected to apply the measurement alternative for non-marketable securities. Under the alternative, the Company measures investments without readily determinable fair values at cost, less impairment, adjusted by observable pr</w:t>
      </w:r>
      <w:r>
        <w:rPr>
          <w:rFonts w:ascii="Times New Roman" w:eastAsia="宋体" w:hAnsi="Times New Roman" w:cs="Times New Roman"/>
          <w:color w:val="000000"/>
          <w:kern w:val="0"/>
          <w:sz w:val="20"/>
          <w:szCs w:val="20"/>
          <w:lang w:bidi="ar"/>
        </w:rPr>
        <w:t xml:space="preserve">ice changes. The Company makes a separate election to use the alternative for each eligible investment and is required to reassess at each reporting period whether an investment qualifies for the alternative. In evaluating these investments for impairment </w:t>
      </w:r>
      <w:r>
        <w:rPr>
          <w:rFonts w:ascii="Times New Roman" w:eastAsia="宋体" w:hAnsi="Times New Roman" w:cs="Times New Roman"/>
          <w:color w:val="000000"/>
          <w:kern w:val="0"/>
          <w:sz w:val="20"/>
          <w:szCs w:val="20"/>
          <w:lang w:bidi="ar"/>
        </w:rPr>
        <w:t>or observable price changes, the Company uses inputs including pre- and post-money valuations of recent financing events and the impact of those events on its fully diluted ownership percentages, as well as other available information regarding the issuer’</w:t>
      </w:r>
      <w:r>
        <w:rPr>
          <w:rFonts w:ascii="Times New Roman" w:eastAsia="宋体" w:hAnsi="Times New Roman" w:cs="Times New Roman"/>
          <w:color w:val="000000"/>
          <w:kern w:val="0"/>
          <w:sz w:val="20"/>
          <w:szCs w:val="20"/>
          <w:lang w:bidi="ar"/>
        </w:rPr>
        <w:t>s historical and forecasted performance.</w:t>
      </w:r>
    </w:p>
    <w:p w14:paraId="59E490AE"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90AF"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i/>
          <w:iCs/>
          <w:color w:val="000000"/>
          <w:kern w:val="0"/>
          <w:sz w:val="20"/>
          <w:szCs w:val="20"/>
          <w:lang w:bidi="ar"/>
        </w:rPr>
        <w:t>Carrying Value of Equity and Other Securities</w:t>
      </w:r>
    </w:p>
    <w:p w14:paraId="59E490B0"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90B1" w14:textId="77777777" w:rsidR="00D7560A" w:rsidRDefault="001E3CAB">
      <w:pPr>
        <w:widowControl/>
        <w:spacing w:after="12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The following table presents the amortized cost, cumulative unrealized gains, cumulative unrealized losses, and carrying value of the Company's strategic investments</w:t>
      </w:r>
      <w:r>
        <w:rPr>
          <w:rFonts w:ascii="Times New Roman" w:eastAsia="宋体" w:hAnsi="Times New Roman" w:cs="Times New Roman"/>
          <w:color w:val="000000"/>
          <w:kern w:val="0"/>
          <w:sz w:val="20"/>
          <w:szCs w:val="20"/>
          <w:lang w:bidi="ar"/>
        </w:rPr>
        <w:t xml:space="preserve"> in marketable and non-marketable equity securities as of the dates indicated: </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83"/>
        <w:gridCol w:w="1264"/>
        <w:gridCol w:w="36"/>
        <w:gridCol w:w="110"/>
        <w:gridCol w:w="315"/>
        <w:gridCol w:w="36"/>
        <w:gridCol w:w="36"/>
        <w:gridCol w:w="36"/>
        <w:gridCol w:w="36"/>
        <w:gridCol w:w="111"/>
        <w:gridCol w:w="782"/>
        <w:gridCol w:w="36"/>
        <w:gridCol w:w="36"/>
        <w:gridCol w:w="36"/>
        <w:gridCol w:w="36"/>
        <w:gridCol w:w="111"/>
        <w:gridCol w:w="782"/>
        <w:gridCol w:w="36"/>
        <w:gridCol w:w="36"/>
        <w:gridCol w:w="36"/>
        <w:gridCol w:w="36"/>
        <w:gridCol w:w="111"/>
        <w:gridCol w:w="666"/>
        <w:gridCol w:w="36"/>
        <w:gridCol w:w="36"/>
        <w:gridCol w:w="36"/>
        <w:gridCol w:w="36"/>
        <w:gridCol w:w="110"/>
        <w:gridCol w:w="315"/>
        <w:gridCol w:w="36"/>
        <w:gridCol w:w="36"/>
        <w:gridCol w:w="36"/>
        <w:gridCol w:w="36"/>
        <w:gridCol w:w="111"/>
        <w:gridCol w:w="782"/>
        <w:gridCol w:w="36"/>
        <w:gridCol w:w="36"/>
        <w:gridCol w:w="36"/>
        <w:gridCol w:w="36"/>
        <w:gridCol w:w="111"/>
        <w:gridCol w:w="782"/>
        <w:gridCol w:w="36"/>
        <w:gridCol w:w="36"/>
        <w:gridCol w:w="36"/>
        <w:gridCol w:w="36"/>
        <w:gridCol w:w="111"/>
        <w:gridCol w:w="666"/>
        <w:gridCol w:w="36"/>
      </w:tblGrid>
      <w:tr w:rsidR="00D7560A" w14:paraId="59E490E2" w14:textId="77777777">
        <w:tc>
          <w:tcPr>
            <w:tcW w:w="50" w:type="pct"/>
            <w:tcBorders>
              <w:top w:val="nil"/>
              <w:left w:val="nil"/>
              <w:bottom w:val="nil"/>
              <w:right w:val="nil"/>
            </w:tcBorders>
            <w:shd w:val="clear" w:color="auto" w:fill="auto"/>
            <w:vAlign w:val="bottom"/>
          </w:tcPr>
          <w:p w14:paraId="59E490B2" w14:textId="77777777" w:rsidR="00D7560A" w:rsidRDefault="00D7560A">
            <w:pPr>
              <w:widowControl/>
              <w:jc w:val="left"/>
              <w:rPr>
                <w:rFonts w:ascii="Times New Roman" w:eastAsia="宋体" w:hAnsi="宋体" w:cs="宋体"/>
                <w:kern w:val="0"/>
                <w:sz w:val="24"/>
              </w:rPr>
            </w:pPr>
          </w:p>
        </w:tc>
        <w:tc>
          <w:tcPr>
            <w:tcW w:w="771" w:type="pct"/>
            <w:tcBorders>
              <w:top w:val="nil"/>
              <w:left w:val="nil"/>
              <w:bottom w:val="nil"/>
              <w:right w:val="nil"/>
            </w:tcBorders>
            <w:shd w:val="clear" w:color="auto" w:fill="auto"/>
            <w:vAlign w:val="bottom"/>
          </w:tcPr>
          <w:p w14:paraId="59E490B3"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0B4"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90B5" w14:textId="77777777" w:rsidR="00D7560A" w:rsidRDefault="00D7560A">
            <w:pPr>
              <w:widowControl/>
              <w:jc w:val="left"/>
              <w:rPr>
                <w:rFonts w:ascii="Times New Roman" w:eastAsia="宋体" w:hAnsi="宋体" w:cs="宋体"/>
                <w:kern w:val="0"/>
                <w:sz w:val="24"/>
              </w:rPr>
            </w:pPr>
          </w:p>
        </w:tc>
        <w:tc>
          <w:tcPr>
            <w:tcW w:w="434" w:type="pct"/>
            <w:tcBorders>
              <w:top w:val="nil"/>
              <w:left w:val="nil"/>
              <w:bottom w:val="nil"/>
              <w:right w:val="nil"/>
            </w:tcBorders>
            <w:shd w:val="clear" w:color="auto" w:fill="auto"/>
            <w:vAlign w:val="bottom"/>
          </w:tcPr>
          <w:p w14:paraId="59E490B6"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0B7"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0B8" w14:textId="77777777" w:rsidR="00D7560A" w:rsidRDefault="00D7560A">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59E490B9"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0BA"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90BB" w14:textId="77777777" w:rsidR="00D7560A" w:rsidRDefault="00D7560A">
            <w:pPr>
              <w:widowControl/>
              <w:jc w:val="left"/>
              <w:rPr>
                <w:rFonts w:ascii="Times New Roman" w:eastAsia="宋体" w:hAnsi="宋体" w:cs="宋体"/>
                <w:kern w:val="0"/>
                <w:sz w:val="24"/>
              </w:rPr>
            </w:pPr>
          </w:p>
        </w:tc>
        <w:tc>
          <w:tcPr>
            <w:tcW w:w="434" w:type="pct"/>
            <w:tcBorders>
              <w:top w:val="nil"/>
              <w:left w:val="nil"/>
              <w:bottom w:val="nil"/>
              <w:right w:val="nil"/>
            </w:tcBorders>
            <w:shd w:val="clear" w:color="auto" w:fill="auto"/>
            <w:vAlign w:val="bottom"/>
          </w:tcPr>
          <w:p w14:paraId="59E490BC"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0BD"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0BE" w14:textId="77777777" w:rsidR="00D7560A" w:rsidRDefault="00D7560A">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59E490BF"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0C0"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90C1" w14:textId="77777777" w:rsidR="00D7560A" w:rsidRDefault="00D7560A">
            <w:pPr>
              <w:widowControl/>
              <w:jc w:val="left"/>
              <w:rPr>
                <w:rFonts w:ascii="Times New Roman" w:eastAsia="宋体" w:hAnsi="宋体" w:cs="宋体"/>
                <w:kern w:val="0"/>
                <w:sz w:val="24"/>
              </w:rPr>
            </w:pPr>
          </w:p>
        </w:tc>
        <w:tc>
          <w:tcPr>
            <w:tcW w:w="434" w:type="pct"/>
            <w:tcBorders>
              <w:top w:val="nil"/>
              <w:left w:val="nil"/>
              <w:bottom w:val="nil"/>
              <w:right w:val="nil"/>
            </w:tcBorders>
            <w:shd w:val="clear" w:color="auto" w:fill="auto"/>
            <w:vAlign w:val="bottom"/>
          </w:tcPr>
          <w:p w14:paraId="59E490C2"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0C3"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0C4" w14:textId="77777777" w:rsidR="00D7560A" w:rsidRDefault="00D7560A">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59E490C5"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0C6"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90C7" w14:textId="77777777" w:rsidR="00D7560A" w:rsidRDefault="00D7560A">
            <w:pPr>
              <w:widowControl/>
              <w:jc w:val="left"/>
              <w:rPr>
                <w:rFonts w:ascii="Times New Roman" w:eastAsia="宋体" w:hAnsi="宋体" w:cs="宋体"/>
                <w:kern w:val="0"/>
                <w:sz w:val="24"/>
              </w:rPr>
            </w:pPr>
          </w:p>
        </w:tc>
        <w:tc>
          <w:tcPr>
            <w:tcW w:w="434" w:type="pct"/>
            <w:tcBorders>
              <w:top w:val="nil"/>
              <w:left w:val="nil"/>
              <w:bottom w:val="nil"/>
              <w:right w:val="nil"/>
            </w:tcBorders>
            <w:shd w:val="clear" w:color="auto" w:fill="auto"/>
            <w:vAlign w:val="bottom"/>
          </w:tcPr>
          <w:p w14:paraId="59E490C8"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0C9"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0CA" w14:textId="77777777" w:rsidR="00D7560A" w:rsidRDefault="00D7560A">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59E490CB"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0CC"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90CD" w14:textId="77777777" w:rsidR="00D7560A" w:rsidRDefault="00D7560A">
            <w:pPr>
              <w:widowControl/>
              <w:jc w:val="left"/>
              <w:rPr>
                <w:rFonts w:ascii="Times New Roman" w:eastAsia="宋体" w:hAnsi="宋体" w:cs="宋体"/>
                <w:kern w:val="0"/>
                <w:sz w:val="24"/>
              </w:rPr>
            </w:pPr>
          </w:p>
        </w:tc>
        <w:tc>
          <w:tcPr>
            <w:tcW w:w="434" w:type="pct"/>
            <w:tcBorders>
              <w:top w:val="nil"/>
              <w:left w:val="nil"/>
              <w:bottom w:val="nil"/>
              <w:right w:val="nil"/>
            </w:tcBorders>
            <w:shd w:val="clear" w:color="auto" w:fill="auto"/>
            <w:vAlign w:val="bottom"/>
          </w:tcPr>
          <w:p w14:paraId="59E490CE"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0CF"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0D0" w14:textId="77777777" w:rsidR="00D7560A" w:rsidRDefault="00D7560A">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59E490D1"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0D2"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90D3" w14:textId="77777777" w:rsidR="00D7560A" w:rsidRDefault="00D7560A">
            <w:pPr>
              <w:widowControl/>
              <w:jc w:val="left"/>
              <w:rPr>
                <w:rFonts w:ascii="Times New Roman" w:eastAsia="宋体" w:hAnsi="宋体" w:cs="宋体"/>
                <w:kern w:val="0"/>
                <w:sz w:val="24"/>
              </w:rPr>
            </w:pPr>
          </w:p>
        </w:tc>
        <w:tc>
          <w:tcPr>
            <w:tcW w:w="434" w:type="pct"/>
            <w:tcBorders>
              <w:top w:val="nil"/>
              <w:left w:val="nil"/>
              <w:bottom w:val="nil"/>
              <w:right w:val="nil"/>
            </w:tcBorders>
            <w:shd w:val="clear" w:color="auto" w:fill="auto"/>
            <w:vAlign w:val="bottom"/>
          </w:tcPr>
          <w:p w14:paraId="59E490D4"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0D5"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0D6" w14:textId="77777777" w:rsidR="00D7560A" w:rsidRDefault="00D7560A">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59E490D7"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0D8"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90D9" w14:textId="77777777" w:rsidR="00D7560A" w:rsidRDefault="00D7560A">
            <w:pPr>
              <w:widowControl/>
              <w:jc w:val="left"/>
              <w:rPr>
                <w:rFonts w:ascii="Times New Roman" w:eastAsia="宋体" w:hAnsi="宋体" w:cs="宋体"/>
                <w:kern w:val="0"/>
                <w:sz w:val="24"/>
              </w:rPr>
            </w:pPr>
          </w:p>
        </w:tc>
        <w:tc>
          <w:tcPr>
            <w:tcW w:w="434" w:type="pct"/>
            <w:tcBorders>
              <w:top w:val="nil"/>
              <w:left w:val="nil"/>
              <w:bottom w:val="nil"/>
              <w:right w:val="nil"/>
            </w:tcBorders>
            <w:shd w:val="clear" w:color="auto" w:fill="auto"/>
            <w:vAlign w:val="bottom"/>
          </w:tcPr>
          <w:p w14:paraId="59E490DA"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0DB"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0DC" w14:textId="77777777" w:rsidR="00D7560A" w:rsidRDefault="00D7560A">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59E490DD"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0DE"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90DF" w14:textId="77777777" w:rsidR="00D7560A" w:rsidRDefault="00D7560A">
            <w:pPr>
              <w:widowControl/>
              <w:jc w:val="left"/>
              <w:rPr>
                <w:rFonts w:ascii="Times New Roman" w:eastAsia="宋体" w:hAnsi="宋体" w:cs="宋体"/>
                <w:kern w:val="0"/>
                <w:sz w:val="24"/>
              </w:rPr>
            </w:pPr>
          </w:p>
        </w:tc>
        <w:tc>
          <w:tcPr>
            <w:tcW w:w="434" w:type="pct"/>
            <w:tcBorders>
              <w:top w:val="nil"/>
              <w:left w:val="nil"/>
              <w:bottom w:val="nil"/>
              <w:right w:val="nil"/>
            </w:tcBorders>
            <w:shd w:val="clear" w:color="auto" w:fill="auto"/>
            <w:vAlign w:val="bottom"/>
          </w:tcPr>
          <w:p w14:paraId="59E490E0"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0E1" w14:textId="77777777" w:rsidR="00D7560A" w:rsidRDefault="00D7560A">
            <w:pPr>
              <w:widowControl/>
              <w:jc w:val="left"/>
              <w:rPr>
                <w:rFonts w:ascii="Times New Roman" w:eastAsia="宋体" w:hAnsi="宋体" w:cs="宋体"/>
                <w:kern w:val="0"/>
                <w:sz w:val="24"/>
              </w:rPr>
            </w:pPr>
          </w:p>
        </w:tc>
      </w:tr>
      <w:tr w:rsidR="00D7560A" w14:paraId="59E490E7"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90E3" w14:textId="77777777" w:rsidR="00D7560A" w:rsidRDefault="00D7560A">
            <w:pPr>
              <w:widowControl/>
              <w:jc w:val="left"/>
              <w:rPr>
                <w:rFonts w:ascii="Times New Roman" w:eastAsia="宋体" w:hAnsi="宋体" w:cs="宋体"/>
                <w:kern w:val="0"/>
                <w:sz w:val="24"/>
              </w:rPr>
            </w:pPr>
          </w:p>
        </w:tc>
        <w:tc>
          <w:tcPr>
            <w:tcW w:w="0" w:type="auto"/>
            <w:gridSpan w:val="21"/>
            <w:tcBorders>
              <w:top w:val="nil"/>
              <w:left w:val="nil"/>
              <w:bottom w:val="nil"/>
              <w:right w:val="nil"/>
            </w:tcBorders>
            <w:shd w:val="clear" w:color="auto" w:fill="auto"/>
            <w:tcMar>
              <w:top w:w="40" w:type="dxa"/>
              <w:left w:w="20" w:type="dxa"/>
              <w:bottom w:w="40" w:type="dxa"/>
              <w:right w:w="20" w:type="dxa"/>
            </w:tcMar>
            <w:vAlign w:val="bottom"/>
          </w:tcPr>
          <w:p w14:paraId="59E490E4"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29, 2022</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90E5" w14:textId="77777777" w:rsidR="00D7560A" w:rsidRDefault="00D7560A">
            <w:pPr>
              <w:widowControl/>
              <w:jc w:val="left"/>
              <w:rPr>
                <w:rFonts w:ascii="Times New Roman" w:eastAsia="宋体" w:hAnsi="宋体" w:cs="宋体"/>
                <w:kern w:val="0"/>
                <w:sz w:val="24"/>
              </w:rPr>
            </w:pPr>
          </w:p>
        </w:tc>
        <w:tc>
          <w:tcPr>
            <w:tcW w:w="0" w:type="auto"/>
            <w:gridSpan w:val="21"/>
            <w:tcBorders>
              <w:top w:val="nil"/>
              <w:left w:val="nil"/>
              <w:bottom w:val="nil"/>
              <w:right w:val="nil"/>
            </w:tcBorders>
            <w:shd w:val="clear" w:color="auto" w:fill="auto"/>
            <w:tcMar>
              <w:top w:w="40" w:type="dxa"/>
              <w:left w:w="20" w:type="dxa"/>
              <w:bottom w:w="40" w:type="dxa"/>
              <w:right w:w="20" w:type="dxa"/>
            </w:tcMar>
            <w:vAlign w:val="bottom"/>
          </w:tcPr>
          <w:p w14:paraId="59E490E6"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January 28, 2022</w:t>
            </w:r>
          </w:p>
        </w:tc>
      </w:tr>
      <w:tr w:rsidR="00D7560A" w14:paraId="59E490F8"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90E8"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59E490E9"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Cost</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59E490EA"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59E490EB"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Unrealized Gain</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59E490EC"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59E490ED"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Unrealized Loss</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59E490EE"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59E490EF"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Carrying Value</w:t>
            </w: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59E490F0"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59E490F1"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Cost</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59E490F2"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59E490F3"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Unrealized Gain</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59E490F4"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59E490F5"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Unrealized Loss</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59E490F6"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59E490F7"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Carrying Value</w:t>
            </w:r>
          </w:p>
        </w:tc>
      </w:tr>
      <w:tr w:rsidR="00D7560A" w14:paraId="59E490FB"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90F9" w14:textId="77777777" w:rsidR="00D7560A" w:rsidRDefault="00D7560A">
            <w:pPr>
              <w:widowControl/>
              <w:jc w:val="left"/>
              <w:rPr>
                <w:rFonts w:ascii="Times New Roman" w:eastAsia="宋体" w:hAnsi="宋体" w:cs="宋体"/>
                <w:kern w:val="0"/>
                <w:sz w:val="24"/>
              </w:rPr>
            </w:pPr>
          </w:p>
        </w:tc>
        <w:tc>
          <w:tcPr>
            <w:tcW w:w="0" w:type="auto"/>
            <w:gridSpan w:val="45"/>
            <w:tcBorders>
              <w:top w:val="single" w:sz="8" w:space="0" w:color="000000"/>
              <w:left w:val="nil"/>
              <w:bottom w:val="nil"/>
              <w:right w:val="nil"/>
            </w:tcBorders>
            <w:shd w:val="clear" w:color="auto" w:fill="auto"/>
            <w:tcMar>
              <w:top w:w="40" w:type="dxa"/>
              <w:left w:w="20" w:type="dxa"/>
              <w:bottom w:w="40" w:type="dxa"/>
              <w:right w:w="20" w:type="dxa"/>
            </w:tcMar>
            <w:vAlign w:val="bottom"/>
          </w:tcPr>
          <w:p w14:paraId="59E490FA"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(in millions)</w:t>
            </w:r>
          </w:p>
        </w:tc>
      </w:tr>
      <w:tr w:rsidR="00D7560A" w14:paraId="59E4911C" w14:textId="77777777">
        <w:tc>
          <w:tcPr>
            <w:tcW w:w="0" w:type="auto"/>
            <w:gridSpan w:val="3"/>
            <w:tcBorders>
              <w:top w:val="nil"/>
              <w:left w:val="nil"/>
              <w:bottom w:val="nil"/>
              <w:right w:val="nil"/>
            </w:tcBorders>
            <w:shd w:val="clear" w:color="auto" w:fill="CCEEFF"/>
            <w:tcMar>
              <w:top w:w="40" w:type="dxa"/>
              <w:left w:w="35" w:type="dxa"/>
              <w:bottom w:w="40" w:type="dxa"/>
              <w:right w:w="20" w:type="dxa"/>
            </w:tcMar>
            <w:vAlign w:val="bottom"/>
          </w:tcPr>
          <w:p w14:paraId="59E490FC"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Marketable</w:t>
            </w: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9E490FD"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9E490FE"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29 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90FF"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100"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9E49101"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9E49102"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22 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9103"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104"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9E49105"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9E49106"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(26)</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9107"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108"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9E49109"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9E4910A"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25 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910B"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10C"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9E4910D"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9E4910E"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126 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910F"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110"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9E49111"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9E49112"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79 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9113"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114"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9E49115"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9E49116"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(119)</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9117"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118"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9E49119"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9E4911A"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86 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911B" w14:textId="77777777" w:rsidR="00D7560A" w:rsidRDefault="00D7560A">
            <w:pPr>
              <w:widowControl/>
              <w:jc w:val="right"/>
              <w:rPr>
                <w:rFonts w:ascii="Times New Roman" w:eastAsia="宋体" w:hAnsi="宋体" w:cs="宋体"/>
                <w:kern w:val="0"/>
                <w:sz w:val="24"/>
              </w:rPr>
            </w:pPr>
          </w:p>
        </w:tc>
      </w:tr>
      <w:tr w:rsidR="00D7560A" w14:paraId="59E49135" w14:textId="77777777">
        <w:tc>
          <w:tcPr>
            <w:tcW w:w="0" w:type="auto"/>
            <w:gridSpan w:val="3"/>
            <w:tcBorders>
              <w:top w:val="nil"/>
              <w:left w:val="nil"/>
              <w:bottom w:val="nil"/>
              <w:right w:val="nil"/>
            </w:tcBorders>
            <w:shd w:val="clear" w:color="auto" w:fill="FFFFFF"/>
            <w:tcMar>
              <w:top w:w="40" w:type="dxa"/>
              <w:left w:w="35" w:type="dxa"/>
              <w:bottom w:w="40" w:type="dxa"/>
              <w:right w:w="20" w:type="dxa"/>
            </w:tcMar>
            <w:vAlign w:val="bottom"/>
          </w:tcPr>
          <w:p w14:paraId="59E4911D"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Non-marketable</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911E"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691 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911F"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9120"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9121"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961 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9122"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9123"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9124"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(385)</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9125"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9126"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9127"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1,267 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9128"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9129"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912A"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593 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912B"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912C"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912D"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900 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912E"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912F"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9130"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(52)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9131"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9132"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9133"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1,441 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9134" w14:textId="77777777" w:rsidR="00D7560A" w:rsidRDefault="00D7560A">
            <w:pPr>
              <w:widowControl/>
              <w:jc w:val="right"/>
              <w:rPr>
                <w:rFonts w:ascii="Times New Roman" w:eastAsia="宋体" w:hAnsi="宋体" w:cs="宋体"/>
                <w:kern w:val="0"/>
                <w:sz w:val="24"/>
              </w:rPr>
            </w:pPr>
          </w:p>
        </w:tc>
      </w:tr>
      <w:tr w:rsidR="00D7560A" w14:paraId="59E49156" w14:textId="77777777">
        <w:tc>
          <w:tcPr>
            <w:tcW w:w="0" w:type="auto"/>
            <w:gridSpan w:val="3"/>
            <w:tcBorders>
              <w:top w:val="nil"/>
              <w:left w:val="nil"/>
              <w:bottom w:val="nil"/>
              <w:right w:val="nil"/>
            </w:tcBorders>
            <w:shd w:val="clear" w:color="auto" w:fill="CCEEFF"/>
            <w:tcMar>
              <w:top w:w="40" w:type="dxa"/>
              <w:left w:w="140" w:type="dxa"/>
              <w:bottom w:w="40" w:type="dxa"/>
              <w:right w:w="20" w:type="dxa"/>
            </w:tcMar>
            <w:vAlign w:val="bottom"/>
          </w:tcPr>
          <w:p w14:paraId="59E49136"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Total equity and other securities</w:t>
            </w: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59E49137"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59E49138"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720 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59E49139"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13A"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59E4913B"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59E4913C"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983 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59E4913D"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13E"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59E4913F"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59E49140"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(411)</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59E49141"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142"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59E49143"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59E49144"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1,292 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59E49145"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146"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59E49147"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59E49148"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719 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59E49149"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14A"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59E4914B"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59E4914C"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979 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59E4914D"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14E"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59E4914F"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59E49150"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(171)</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59E49151"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152"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59E49153"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59E49154"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1,527 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59E49155" w14:textId="77777777" w:rsidR="00D7560A" w:rsidRDefault="00D7560A">
            <w:pPr>
              <w:widowControl/>
              <w:jc w:val="right"/>
              <w:rPr>
                <w:rFonts w:ascii="Times New Roman" w:eastAsia="宋体" w:hAnsi="宋体" w:cs="宋体"/>
                <w:kern w:val="0"/>
                <w:sz w:val="24"/>
              </w:rPr>
            </w:pPr>
          </w:p>
        </w:tc>
      </w:tr>
    </w:tbl>
    <w:p w14:paraId="59E49157"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9158"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18</w:t>
      </w:r>
    </w:p>
    <w:p w14:paraId="59E49159"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915A" w14:textId="77777777" w:rsidR="00D7560A" w:rsidRDefault="001E3CAB">
      <w:pPr>
        <w:widowControl/>
        <w:jc w:val="center"/>
      </w:pPr>
      <w:r>
        <w:rPr>
          <w:rFonts w:ascii="宋体" w:eastAsia="宋体" w:hAnsi="宋体" w:cs="宋体"/>
          <w:kern w:val="0"/>
          <w:sz w:val="24"/>
        </w:rPr>
        <w:pict w14:anchorId="59E4C7DD">
          <v:rect id="_x0000_i1042" style="width:6in;height:1.5pt" o:hralign="center" o:hrstd="t" o:hr="t" fillcolor="#a0a0a0" stroked="f"/>
        </w:pict>
      </w:r>
    </w:p>
    <w:p w14:paraId="59E4915B" w14:textId="77777777" w:rsidR="00D7560A" w:rsidRDefault="001E3CAB">
      <w:pPr>
        <w:widowControl/>
        <w:jc w:val="left"/>
        <w:rPr>
          <w:rFonts w:ascii="宋体" w:eastAsia="宋体" w:hAnsi="宋体" w:cs="宋体"/>
          <w:kern w:val="0"/>
          <w:sz w:val="24"/>
        </w:rPr>
      </w:pPr>
      <w:hyperlink w:anchor="if933dd1d5d004d2495dd7029e3ecad00_13" w:history="1">
        <w:r>
          <w:rPr>
            <w:rStyle w:val="a4"/>
            <w:rFonts w:ascii="Times New Roman" w:eastAsia="宋体" w:hAnsi="Times New Roman" w:cs="Times New Roman"/>
            <w:sz w:val="20"/>
            <w:szCs w:val="20"/>
          </w:rPr>
          <w:t>Table of Contents</w:t>
        </w:r>
      </w:hyperlink>
    </w:p>
    <w:p w14:paraId="59E4915C"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DELL TECHNOLOGIES INC.</w:t>
      </w:r>
    </w:p>
    <w:p w14:paraId="59E4915D"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NOTES TO THE CONDENSED CONSOLIDATED FINANCIAL STATEMENTS (Continued)</w:t>
      </w:r>
    </w:p>
    <w:p w14:paraId="59E4915E"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(unaudited)</w:t>
      </w:r>
    </w:p>
    <w:p w14:paraId="59E4915F"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9160"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i/>
          <w:iCs/>
          <w:color w:val="000000"/>
          <w:kern w:val="0"/>
          <w:sz w:val="20"/>
          <w:szCs w:val="20"/>
          <w:lang w:bidi="ar"/>
        </w:rPr>
        <w:t>Gains and Losses on Equity and Other Securities</w:t>
      </w:r>
    </w:p>
    <w:p w14:paraId="59E49161"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9162"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The following table pre</w:t>
      </w:r>
      <w:r>
        <w:rPr>
          <w:rFonts w:ascii="Times New Roman" w:eastAsia="宋体" w:hAnsi="Times New Roman" w:cs="Times New Roman"/>
          <w:color w:val="000000"/>
          <w:kern w:val="0"/>
          <w:sz w:val="20"/>
          <w:szCs w:val="20"/>
          <w:lang w:bidi="ar"/>
        </w:rPr>
        <w:t>sents unrealized gains and losses on marketable and non-marketable equity and other securities for the periods indicated:</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40"/>
        <w:gridCol w:w="3954"/>
        <w:gridCol w:w="39"/>
        <w:gridCol w:w="120"/>
        <w:gridCol w:w="853"/>
        <w:gridCol w:w="36"/>
        <w:gridCol w:w="36"/>
        <w:gridCol w:w="36"/>
        <w:gridCol w:w="36"/>
        <w:gridCol w:w="120"/>
        <w:gridCol w:w="794"/>
        <w:gridCol w:w="36"/>
        <w:gridCol w:w="36"/>
        <w:gridCol w:w="36"/>
        <w:gridCol w:w="36"/>
        <w:gridCol w:w="120"/>
        <w:gridCol w:w="854"/>
        <w:gridCol w:w="36"/>
        <w:gridCol w:w="36"/>
        <w:gridCol w:w="36"/>
        <w:gridCol w:w="36"/>
        <w:gridCol w:w="120"/>
        <w:gridCol w:w="854"/>
        <w:gridCol w:w="36"/>
      </w:tblGrid>
      <w:tr w:rsidR="00D7560A" w14:paraId="59E4917B" w14:textId="77777777">
        <w:tc>
          <w:tcPr>
            <w:tcW w:w="50" w:type="pct"/>
            <w:tcBorders>
              <w:top w:val="nil"/>
              <w:left w:val="nil"/>
              <w:bottom w:val="nil"/>
              <w:right w:val="nil"/>
            </w:tcBorders>
            <w:shd w:val="clear" w:color="auto" w:fill="auto"/>
            <w:vAlign w:val="bottom"/>
          </w:tcPr>
          <w:p w14:paraId="59E49163" w14:textId="77777777" w:rsidR="00D7560A" w:rsidRDefault="00D7560A">
            <w:pPr>
              <w:widowControl/>
              <w:jc w:val="left"/>
              <w:rPr>
                <w:rFonts w:ascii="Times New Roman" w:eastAsia="宋体" w:hAnsi="宋体" w:cs="宋体"/>
                <w:kern w:val="0"/>
                <w:sz w:val="24"/>
              </w:rPr>
            </w:pPr>
          </w:p>
        </w:tc>
        <w:tc>
          <w:tcPr>
            <w:tcW w:w="2423" w:type="pct"/>
            <w:tcBorders>
              <w:top w:val="nil"/>
              <w:left w:val="nil"/>
              <w:bottom w:val="nil"/>
              <w:right w:val="nil"/>
            </w:tcBorders>
            <w:shd w:val="clear" w:color="auto" w:fill="auto"/>
            <w:vAlign w:val="bottom"/>
          </w:tcPr>
          <w:p w14:paraId="59E49164"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165"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9166" w14:textId="77777777" w:rsidR="00D7560A" w:rsidRDefault="00D7560A">
            <w:pPr>
              <w:widowControl/>
              <w:jc w:val="left"/>
              <w:rPr>
                <w:rFonts w:ascii="Times New Roman" w:eastAsia="宋体" w:hAnsi="宋体" w:cs="宋体"/>
                <w:kern w:val="0"/>
                <w:sz w:val="24"/>
              </w:rPr>
            </w:pPr>
          </w:p>
        </w:tc>
        <w:tc>
          <w:tcPr>
            <w:tcW w:w="551" w:type="pct"/>
            <w:tcBorders>
              <w:top w:val="nil"/>
              <w:left w:val="nil"/>
              <w:bottom w:val="nil"/>
              <w:right w:val="nil"/>
            </w:tcBorders>
            <w:shd w:val="clear" w:color="auto" w:fill="auto"/>
            <w:vAlign w:val="bottom"/>
          </w:tcPr>
          <w:p w14:paraId="59E49167"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168"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169" w14:textId="77777777" w:rsidR="00D7560A" w:rsidRDefault="00D7560A">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59E4916A"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16B"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916C" w14:textId="77777777" w:rsidR="00D7560A" w:rsidRDefault="00D7560A">
            <w:pPr>
              <w:widowControl/>
              <w:jc w:val="left"/>
              <w:rPr>
                <w:rFonts w:ascii="Times New Roman" w:eastAsia="宋体" w:hAnsi="宋体" w:cs="宋体"/>
                <w:kern w:val="0"/>
                <w:sz w:val="24"/>
              </w:rPr>
            </w:pPr>
          </w:p>
        </w:tc>
        <w:tc>
          <w:tcPr>
            <w:tcW w:w="551" w:type="pct"/>
            <w:tcBorders>
              <w:top w:val="nil"/>
              <w:left w:val="nil"/>
              <w:bottom w:val="nil"/>
              <w:right w:val="nil"/>
            </w:tcBorders>
            <w:shd w:val="clear" w:color="auto" w:fill="auto"/>
            <w:vAlign w:val="bottom"/>
          </w:tcPr>
          <w:p w14:paraId="59E4916D"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16E"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16F" w14:textId="77777777" w:rsidR="00D7560A" w:rsidRDefault="00D7560A">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59E49170"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171"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9172" w14:textId="77777777" w:rsidR="00D7560A" w:rsidRDefault="00D7560A">
            <w:pPr>
              <w:widowControl/>
              <w:jc w:val="left"/>
              <w:rPr>
                <w:rFonts w:ascii="Times New Roman" w:eastAsia="宋体" w:hAnsi="宋体" w:cs="宋体"/>
                <w:kern w:val="0"/>
                <w:sz w:val="24"/>
              </w:rPr>
            </w:pPr>
          </w:p>
        </w:tc>
        <w:tc>
          <w:tcPr>
            <w:tcW w:w="551" w:type="pct"/>
            <w:tcBorders>
              <w:top w:val="nil"/>
              <w:left w:val="nil"/>
              <w:bottom w:val="nil"/>
              <w:right w:val="nil"/>
            </w:tcBorders>
            <w:shd w:val="clear" w:color="auto" w:fill="auto"/>
            <w:vAlign w:val="bottom"/>
          </w:tcPr>
          <w:p w14:paraId="59E49173"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174"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175" w14:textId="77777777" w:rsidR="00D7560A" w:rsidRDefault="00D7560A">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59E49176"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177"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9178" w14:textId="77777777" w:rsidR="00D7560A" w:rsidRDefault="00D7560A">
            <w:pPr>
              <w:widowControl/>
              <w:jc w:val="left"/>
              <w:rPr>
                <w:rFonts w:ascii="Times New Roman" w:eastAsia="宋体" w:hAnsi="宋体" w:cs="宋体"/>
                <w:kern w:val="0"/>
                <w:sz w:val="24"/>
              </w:rPr>
            </w:pPr>
          </w:p>
        </w:tc>
        <w:tc>
          <w:tcPr>
            <w:tcW w:w="551" w:type="pct"/>
            <w:tcBorders>
              <w:top w:val="nil"/>
              <w:left w:val="nil"/>
              <w:bottom w:val="nil"/>
              <w:right w:val="nil"/>
            </w:tcBorders>
            <w:shd w:val="clear" w:color="auto" w:fill="auto"/>
            <w:vAlign w:val="bottom"/>
          </w:tcPr>
          <w:p w14:paraId="59E49179"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17A" w14:textId="77777777" w:rsidR="00D7560A" w:rsidRDefault="00D7560A">
            <w:pPr>
              <w:widowControl/>
              <w:jc w:val="left"/>
              <w:rPr>
                <w:rFonts w:ascii="Times New Roman" w:eastAsia="宋体" w:hAnsi="宋体" w:cs="宋体"/>
                <w:kern w:val="0"/>
                <w:sz w:val="24"/>
              </w:rPr>
            </w:pPr>
          </w:p>
        </w:tc>
      </w:tr>
      <w:tr w:rsidR="00D7560A" w14:paraId="59E49180"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917C" w14:textId="77777777" w:rsidR="00D7560A" w:rsidRDefault="00D7560A">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59E4917D"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Three Months Ended</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917E" w14:textId="77777777" w:rsidR="00D7560A" w:rsidRDefault="00D7560A">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59E4917F"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Six Months Ended</w:t>
            </w:r>
          </w:p>
        </w:tc>
      </w:tr>
      <w:tr w:rsidR="00D7560A" w14:paraId="59E49189"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9181"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59E49182"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29, 2022</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59E49183"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59E49184"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30, 2021</w:t>
            </w: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59E49185"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59E49186"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29, 2022</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59E49187"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59E49188"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30, 2021</w:t>
            </w:r>
          </w:p>
        </w:tc>
      </w:tr>
      <w:tr w:rsidR="00D7560A" w14:paraId="59E4918C"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918A" w14:textId="77777777" w:rsidR="00D7560A" w:rsidRDefault="00D7560A">
            <w:pPr>
              <w:widowControl/>
              <w:jc w:val="left"/>
              <w:rPr>
                <w:rFonts w:ascii="Times New Roman" w:eastAsia="宋体" w:hAnsi="宋体" w:cs="宋体"/>
                <w:kern w:val="0"/>
                <w:sz w:val="24"/>
              </w:rPr>
            </w:pPr>
          </w:p>
        </w:tc>
        <w:tc>
          <w:tcPr>
            <w:tcW w:w="0" w:type="auto"/>
            <w:gridSpan w:val="21"/>
            <w:tcBorders>
              <w:top w:val="single" w:sz="8" w:space="0" w:color="000000"/>
              <w:left w:val="nil"/>
              <w:bottom w:val="nil"/>
              <w:right w:val="nil"/>
            </w:tcBorders>
            <w:shd w:val="clear" w:color="auto" w:fill="auto"/>
            <w:tcMar>
              <w:top w:w="40" w:type="dxa"/>
              <w:left w:w="20" w:type="dxa"/>
              <w:bottom w:w="40" w:type="dxa"/>
              <w:right w:w="20" w:type="dxa"/>
            </w:tcMar>
            <w:vAlign w:val="bottom"/>
          </w:tcPr>
          <w:p w14:paraId="59E4918B"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 xml:space="preserve">(in </w:t>
            </w:r>
            <w:r>
              <w:rPr>
                <w:rFonts w:ascii="Times New Roman" w:eastAsia="宋体" w:hAnsi="Times New Roman" w:cs="Times New Roman"/>
                <w:color w:val="000000"/>
                <w:kern w:val="0"/>
                <w:sz w:val="18"/>
                <w:szCs w:val="18"/>
                <w:lang w:bidi="ar"/>
              </w:rPr>
              <w:t>millions)</w:t>
            </w:r>
          </w:p>
        </w:tc>
      </w:tr>
      <w:tr w:rsidR="00D7560A" w14:paraId="59E49195" w14:textId="77777777">
        <w:tc>
          <w:tcPr>
            <w:tcW w:w="0" w:type="auto"/>
            <w:gridSpan w:val="3"/>
            <w:tcBorders>
              <w:top w:val="nil"/>
              <w:left w:val="nil"/>
              <w:bottom w:val="nil"/>
              <w:right w:val="nil"/>
            </w:tcBorders>
            <w:shd w:val="clear" w:color="auto" w:fill="CCEEFF"/>
            <w:tcMar>
              <w:top w:w="40" w:type="dxa"/>
              <w:left w:w="35" w:type="dxa"/>
              <w:bottom w:w="40" w:type="dxa"/>
              <w:right w:w="20" w:type="dxa"/>
            </w:tcMar>
            <w:vAlign w:val="bottom"/>
          </w:tcPr>
          <w:p w14:paraId="59E4918D"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i/>
                <w:iCs/>
                <w:color w:val="000000"/>
                <w:kern w:val="0"/>
                <w:sz w:val="20"/>
                <w:szCs w:val="20"/>
                <w:lang w:bidi="ar"/>
              </w:rPr>
              <w:t>Marketable securities</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18E"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18F"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190"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191"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192"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193"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194" w14:textId="77777777" w:rsidR="00D7560A" w:rsidRDefault="00D7560A">
            <w:pPr>
              <w:widowControl/>
              <w:jc w:val="left"/>
              <w:rPr>
                <w:rFonts w:ascii="Times New Roman" w:eastAsia="宋体" w:hAnsi="宋体" w:cs="宋体"/>
                <w:kern w:val="0"/>
                <w:sz w:val="24"/>
              </w:rPr>
            </w:pPr>
          </w:p>
        </w:tc>
      </w:tr>
      <w:tr w:rsidR="00D7560A" w14:paraId="59E491A6" w14:textId="77777777">
        <w:tc>
          <w:tcPr>
            <w:tcW w:w="0" w:type="auto"/>
            <w:gridSpan w:val="3"/>
            <w:tcBorders>
              <w:top w:val="nil"/>
              <w:left w:val="nil"/>
              <w:bottom w:val="nil"/>
              <w:right w:val="nil"/>
            </w:tcBorders>
            <w:shd w:val="clear" w:color="auto" w:fill="FFFFFF"/>
            <w:tcMar>
              <w:top w:w="40" w:type="dxa"/>
              <w:left w:w="140" w:type="dxa"/>
              <w:bottom w:w="40" w:type="dxa"/>
              <w:right w:w="20" w:type="dxa"/>
            </w:tcMar>
            <w:vAlign w:val="bottom"/>
          </w:tcPr>
          <w:p w14:paraId="59E49196"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Unrealized gain</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9E49197"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9E49198"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9199"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919A"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9E4919B"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9E4919C"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110 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919D"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919E"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9E4919F"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9E491A0"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91A1"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91A2"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9E491A3"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9E491A4"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126 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91A5" w14:textId="77777777" w:rsidR="00D7560A" w:rsidRDefault="00D7560A">
            <w:pPr>
              <w:widowControl/>
              <w:jc w:val="right"/>
              <w:rPr>
                <w:rFonts w:ascii="Times New Roman" w:eastAsia="宋体" w:hAnsi="宋体" w:cs="宋体"/>
                <w:kern w:val="0"/>
                <w:sz w:val="24"/>
              </w:rPr>
            </w:pPr>
          </w:p>
        </w:tc>
      </w:tr>
      <w:tr w:rsidR="00D7560A" w14:paraId="59E491B3" w14:textId="77777777">
        <w:tc>
          <w:tcPr>
            <w:tcW w:w="0" w:type="auto"/>
            <w:gridSpan w:val="3"/>
            <w:tcBorders>
              <w:top w:val="nil"/>
              <w:left w:val="nil"/>
              <w:bottom w:val="nil"/>
              <w:right w:val="nil"/>
            </w:tcBorders>
            <w:shd w:val="clear" w:color="auto" w:fill="CCEEFF"/>
            <w:tcMar>
              <w:top w:w="40" w:type="dxa"/>
              <w:left w:w="140" w:type="dxa"/>
              <w:bottom w:w="40" w:type="dxa"/>
              <w:right w:w="20" w:type="dxa"/>
            </w:tcMar>
            <w:vAlign w:val="bottom"/>
          </w:tcPr>
          <w:p w14:paraId="59E491A7"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Unrealized loss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91A8"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91A9"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1AA"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91AB"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91AC"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1AD"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91AE"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(19)</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91AF"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1B0"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91B1"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(8)</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91B2" w14:textId="77777777" w:rsidR="00D7560A" w:rsidRDefault="00D7560A">
            <w:pPr>
              <w:widowControl/>
              <w:jc w:val="right"/>
              <w:rPr>
                <w:rFonts w:ascii="Times New Roman" w:eastAsia="宋体" w:hAnsi="宋体" w:cs="宋体"/>
                <w:kern w:val="0"/>
                <w:sz w:val="24"/>
              </w:rPr>
            </w:pPr>
          </w:p>
        </w:tc>
      </w:tr>
      <w:tr w:rsidR="00D7560A" w14:paraId="59E491C0" w14:textId="77777777">
        <w:tc>
          <w:tcPr>
            <w:tcW w:w="0" w:type="auto"/>
            <w:gridSpan w:val="3"/>
            <w:tcBorders>
              <w:top w:val="nil"/>
              <w:left w:val="nil"/>
              <w:bottom w:val="nil"/>
              <w:right w:val="nil"/>
            </w:tcBorders>
            <w:shd w:val="clear" w:color="auto" w:fill="FFFFFF"/>
            <w:tcMar>
              <w:top w:w="40" w:type="dxa"/>
              <w:left w:w="260" w:type="dxa"/>
              <w:bottom w:w="40" w:type="dxa"/>
              <w:right w:w="20" w:type="dxa"/>
            </w:tcMar>
            <w:vAlign w:val="bottom"/>
          </w:tcPr>
          <w:p w14:paraId="59E491B4"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Net unrealized gain (loss)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59E491B5"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59E491B6"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91B7" w14:textId="77777777" w:rsidR="00D7560A" w:rsidRDefault="00D7560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59E491B8"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110 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59E491B9"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91BA" w14:textId="77777777" w:rsidR="00D7560A" w:rsidRDefault="00D7560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59E491BB"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(12)</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59E491BC"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91BD" w14:textId="77777777" w:rsidR="00D7560A" w:rsidRDefault="00D7560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59E491BE"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118 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59E491BF" w14:textId="77777777" w:rsidR="00D7560A" w:rsidRDefault="00D7560A">
            <w:pPr>
              <w:widowControl/>
              <w:jc w:val="right"/>
              <w:rPr>
                <w:rFonts w:ascii="Times New Roman" w:eastAsia="宋体" w:hAnsi="宋体" w:cs="宋体"/>
                <w:kern w:val="0"/>
                <w:sz w:val="24"/>
              </w:rPr>
            </w:pPr>
          </w:p>
        </w:tc>
      </w:tr>
      <w:tr w:rsidR="00D7560A" w14:paraId="59E491C9" w14:textId="77777777">
        <w:tc>
          <w:tcPr>
            <w:tcW w:w="0" w:type="auto"/>
            <w:gridSpan w:val="3"/>
            <w:tcBorders>
              <w:top w:val="nil"/>
              <w:left w:val="nil"/>
              <w:bottom w:val="nil"/>
              <w:right w:val="nil"/>
            </w:tcBorders>
            <w:shd w:val="clear" w:color="auto" w:fill="CCEEFF"/>
            <w:tcMar>
              <w:top w:w="40" w:type="dxa"/>
              <w:left w:w="35" w:type="dxa"/>
              <w:bottom w:w="40" w:type="dxa"/>
              <w:right w:w="20" w:type="dxa"/>
            </w:tcMar>
            <w:vAlign w:val="bottom"/>
          </w:tcPr>
          <w:p w14:paraId="59E491C1"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i/>
                <w:iCs/>
                <w:color w:val="000000"/>
                <w:kern w:val="0"/>
                <w:sz w:val="20"/>
                <w:szCs w:val="20"/>
                <w:lang w:bidi="ar"/>
              </w:rPr>
              <w:t>Non-marketable securities</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59E491C2"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1C3"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59E491C4"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1C5"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59E491C6"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1C7"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59E491C8" w14:textId="77777777" w:rsidR="00D7560A" w:rsidRDefault="00D7560A">
            <w:pPr>
              <w:widowControl/>
              <w:jc w:val="left"/>
              <w:rPr>
                <w:rFonts w:ascii="Times New Roman" w:eastAsia="宋体" w:hAnsi="宋体" w:cs="宋体"/>
                <w:kern w:val="0"/>
                <w:sz w:val="24"/>
              </w:rPr>
            </w:pPr>
          </w:p>
        </w:tc>
      </w:tr>
      <w:tr w:rsidR="00D7560A" w14:paraId="59E491D6" w14:textId="77777777">
        <w:tc>
          <w:tcPr>
            <w:tcW w:w="0" w:type="auto"/>
            <w:gridSpan w:val="3"/>
            <w:tcBorders>
              <w:top w:val="nil"/>
              <w:left w:val="nil"/>
              <w:bottom w:val="nil"/>
              <w:right w:val="nil"/>
            </w:tcBorders>
            <w:shd w:val="clear" w:color="auto" w:fill="FFFFFF"/>
            <w:tcMar>
              <w:top w:w="40" w:type="dxa"/>
              <w:left w:w="140" w:type="dxa"/>
              <w:bottom w:w="40" w:type="dxa"/>
              <w:right w:w="20" w:type="dxa"/>
            </w:tcMar>
            <w:vAlign w:val="bottom"/>
          </w:tcPr>
          <w:p w14:paraId="59E491CA"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Unre</w:t>
            </w:r>
            <w:r>
              <w:rPr>
                <w:rFonts w:ascii="Times New Roman" w:eastAsia="宋体" w:hAnsi="Times New Roman" w:cs="Times New Roman"/>
                <w:color w:val="000000"/>
                <w:kern w:val="0"/>
                <w:sz w:val="20"/>
                <w:szCs w:val="20"/>
                <w:lang w:bidi="ar"/>
              </w:rPr>
              <w:t>alized gain</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91CB"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91CC"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91CD"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91CE"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91CF"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91D0"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91D1"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91D2"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91D3"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91D4"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244 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91D5" w14:textId="77777777" w:rsidR="00D7560A" w:rsidRDefault="00D7560A">
            <w:pPr>
              <w:widowControl/>
              <w:jc w:val="right"/>
              <w:rPr>
                <w:rFonts w:ascii="Times New Roman" w:eastAsia="宋体" w:hAnsi="宋体" w:cs="宋体"/>
                <w:kern w:val="0"/>
                <w:sz w:val="24"/>
              </w:rPr>
            </w:pPr>
          </w:p>
        </w:tc>
      </w:tr>
      <w:tr w:rsidR="00D7560A" w14:paraId="59E491E3" w14:textId="77777777">
        <w:tc>
          <w:tcPr>
            <w:tcW w:w="0" w:type="auto"/>
            <w:gridSpan w:val="3"/>
            <w:tcBorders>
              <w:top w:val="nil"/>
              <w:left w:val="nil"/>
              <w:bottom w:val="nil"/>
              <w:right w:val="nil"/>
            </w:tcBorders>
            <w:shd w:val="clear" w:color="auto" w:fill="CCEEFF"/>
            <w:tcMar>
              <w:top w:w="40" w:type="dxa"/>
              <w:left w:w="140" w:type="dxa"/>
              <w:bottom w:w="40" w:type="dxa"/>
              <w:right w:w="20" w:type="dxa"/>
            </w:tcMar>
            <w:vAlign w:val="bottom"/>
          </w:tcPr>
          <w:p w14:paraId="59E491D7"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Unrealized loss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91D8"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(320)</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91D9"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1DA"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91DB"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(21)</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91DC"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1DD"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91DE"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(320)</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91DF"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1E0"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91E1"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(98)</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91E2" w14:textId="77777777" w:rsidR="00D7560A" w:rsidRDefault="00D7560A">
            <w:pPr>
              <w:widowControl/>
              <w:jc w:val="right"/>
              <w:rPr>
                <w:rFonts w:ascii="Times New Roman" w:eastAsia="宋体" w:hAnsi="宋体" w:cs="宋体"/>
                <w:kern w:val="0"/>
                <w:sz w:val="24"/>
              </w:rPr>
            </w:pPr>
          </w:p>
        </w:tc>
      </w:tr>
      <w:tr w:rsidR="00D7560A" w14:paraId="59E491F0" w14:textId="77777777">
        <w:tc>
          <w:tcPr>
            <w:tcW w:w="0" w:type="auto"/>
            <w:gridSpan w:val="3"/>
            <w:tcBorders>
              <w:top w:val="nil"/>
              <w:left w:val="nil"/>
              <w:bottom w:val="nil"/>
              <w:right w:val="nil"/>
            </w:tcBorders>
            <w:shd w:val="clear" w:color="auto" w:fill="FFFFFF"/>
            <w:tcMar>
              <w:top w:w="40" w:type="dxa"/>
              <w:left w:w="260" w:type="dxa"/>
              <w:bottom w:w="40" w:type="dxa"/>
              <w:right w:w="20" w:type="dxa"/>
            </w:tcMar>
            <w:vAlign w:val="bottom"/>
          </w:tcPr>
          <w:p w14:paraId="59E491E4"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Net unrealized gain (loss) (a) (b)</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59E491E5"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(269)</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59E491E6"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91E7" w14:textId="77777777" w:rsidR="00D7560A" w:rsidRDefault="00D7560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59E491E8"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41 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59E491E9"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91EA" w14:textId="77777777" w:rsidR="00D7560A" w:rsidRDefault="00D7560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59E491EB"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(248)</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59E491EC"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91ED" w14:textId="77777777" w:rsidR="00D7560A" w:rsidRDefault="00D7560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59E491EE"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146 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59E491EF" w14:textId="77777777" w:rsidR="00D7560A" w:rsidRDefault="00D7560A">
            <w:pPr>
              <w:widowControl/>
              <w:jc w:val="right"/>
              <w:rPr>
                <w:rFonts w:ascii="Times New Roman" w:eastAsia="宋体" w:hAnsi="宋体" w:cs="宋体"/>
                <w:kern w:val="0"/>
                <w:sz w:val="24"/>
              </w:rPr>
            </w:pPr>
          </w:p>
        </w:tc>
      </w:tr>
      <w:tr w:rsidR="00D7560A" w14:paraId="59E49201" w14:textId="77777777">
        <w:tc>
          <w:tcPr>
            <w:tcW w:w="0" w:type="auto"/>
            <w:gridSpan w:val="3"/>
            <w:tcBorders>
              <w:top w:val="nil"/>
              <w:left w:val="nil"/>
              <w:bottom w:val="nil"/>
              <w:right w:val="nil"/>
            </w:tcBorders>
            <w:shd w:val="clear" w:color="auto" w:fill="CCEEFF"/>
            <w:tcMar>
              <w:top w:w="40" w:type="dxa"/>
              <w:left w:w="380" w:type="dxa"/>
              <w:bottom w:w="40" w:type="dxa"/>
              <w:right w:w="20" w:type="dxa"/>
            </w:tcMar>
            <w:vAlign w:val="bottom"/>
          </w:tcPr>
          <w:p w14:paraId="59E491F1"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Net unrealized gain (loss) on equity and other securities</w:t>
            </w: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59E491F2"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59E491F3"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(263)</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59E491F4"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1F5"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59E491F6"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59E491F7"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151 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59E491F8"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1F9"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59E491FA"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59E491FB"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(260)</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59E491FC"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1FD"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59E491FE"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59E491FF"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264 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59E49200" w14:textId="77777777" w:rsidR="00D7560A" w:rsidRDefault="00D7560A">
            <w:pPr>
              <w:widowControl/>
              <w:jc w:val="right"/>
              <w:rPr>
                <w:rFonts w:ascii="Times New Roman" w:eastAsia="宋体" w:hAnsi="宋体" w:cs="宋体"/>
                <w:kern w:val="0"/>
                <w:sz w:val="24"/>
              </w:rPr>
            </w:pPr>
          </w:p>
        </w:tc>
      </w:tr>
    </w:tbl>
    <w:p w14:paraId="59E49202"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____________________</w:t>
      </w:r>
    </w:p>
    <w:p w14:paraId="59E49203" w14:textId="77777777" w:rsidR="00D7560A" w:rsidRDefault="001E3CAB">
      <w:pPr>
        <w:widowControl/>
        <w:ind w:left="360" w:hanging="36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(a)    For the three and six months ended July 29, 2022, net unrealized losses on non-marketable securities was primarily attributable to the recognition of $310 million of impairments on equity and other securities, which was </w:t>
      </w:r>
      <w:r>
        <w:rPr>
          <w:rFonts w:ascii="Times New Roman" w:eastAsia="宋体" w:hAnsi="Times New Roman" w:cs="Times New Roman"/>
          <w:color w:val="000000"/>
          <w:kern w:val="0"/>
          <w:sz w:val="20"/>
          <w:szCs w:val="20"/>
          <w:lang w:bidi="ar"/>
        </w:rPr>
        <w:t>generally in line with extended public equity market declines. In evaluating these investments for impairment, the Company used inputs including pre- and post-money valuations of recent financing events and the impact of those events on its fully diluted o</w:t>
      </w:r>
      <w:r>
        <w:rPr>
          <w:rFonts w:ascii="Times New Roman" w:eastAsia="宋体" w:hAnsi="Times New Roman" w:cs="Times New Roman"/>
          <w:color w:val="000000"/>
          <w:kern w:val="0"/>
          <w:sz w:val="20"/>
          <w:szCs w:val="20"/>
          <w:lang w:bidi="ar"/>
        </w:rPr>
        <w:t>wnership percentages, as well as other available information regarding the issuer’s historical and forecasted performance.</w:t>
      </w:r>
    </w:p>
    <w:p w14:paraId="59E49204" w14:textId="77777777" w:rsidR="00D7560A" w:rsidRDefault="001E3CAB">
      <w:pPr>
        <w:widowControl/>
        <w:ind w:left="360" w:hanging="36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(b) For the three and six months ended July 30, 2021, net unrealized gains on non-marketable securities were due to upward adjustment</w:t>
      </w:r>
      <w:r>
        <w:rPr>
          <w:rFonts w:ascii="Times New Roman" w:eastAsia="宋体" w:hAnsi="Times New Roman" w:cs="Times New Roman"/>
          <w:color w:val="000000"/>
          <w:kern w:val="0"/>
          <w:sz w:val="20"/>
          <w:szCs w:val="20"/>
          <w:lang w:bidi="ar"/>
        </w:rPr>
        <w:t xml:space="preserve">s for observable price changes offset by losses primarily attributable to downward adjustments for observable price changes. </w:t>
      </w:r>
    </w:p>
    <w:p w14:paraId="59E49205"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9206"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9207"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i/>
          <w:iCs/>
          <w:color w:val="000000"/>
          <w:kern w:val="0"/>
          <w:sz w:val="20"/>
          <w:szCs w:val="20"/>
          <w:u w:val="single"/>
          <w:lang w:bidi="ar"/>
        </w:rPr>
        <w:t>Fixed Income Debt Securities</w:t>
      </w:r>
    </w:p>
    <w:p w14:paraId="59E49208"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9209"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The Company has fixed income debt securities carried at amortized cost which are held as collat</w:t>
      </w:r>
      <w:r>
        <w:rPr>
          <w:rFonts w:ascii="Times New Roman" w:eastAsia="宋体" w:hAnsi="Times New Roman" w:cs="Times New Roman"/>
          <w:color w:val="000000"/>
          <w:kern w:val="0"/>
          <w:sz w:val="20"/>
          <w:szCs w:val="20"/>
          <w:lang w:bidi="ar"/>
        </w:rPr>
        <w:t>eral for borrowings. The Company intends to hold the investments to maturity.</w:t>
      </w:r>
    </w:p>
    <w:p w14:paraId="59E4920A"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920B" w14:textId="77777777" w:rsidR="00D7560A" w:rsidRDefault="001E3CAB">
      <w:pPr>
        <w:widowControl/>
        <w:spacing w:after="12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The following table summarizes the Company’s debt securities as of the dates indicated:</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50"/>
        <w:gridCol w:w="757"/>
        <w:gridCol w:w="36"/>
        <w:gridCol w:w="111"/>
        <w:gridCol w:w="765"/>
        <w:gridCol w:w="36"/>
        <w:gridCol w:w="36"/>
        <w:gridCol w:w="36"/>
        <w:gridCol w:w="36"/>
        <w:gridCol w:w="111"/>
        <w:gridCol w:w="783"/>
        <w:gridCol w:w="36"/>
        <w:gridCol w:w="36"/>
        <w:gridCol w:w="36"/>
        <w:gridCol w:w="36"/>
        <w:gridCol w:w="111"/>
        <w:gridCol w:w="783"/>
        <w:gridCol w:w="36"/>
        <w:gridCol w:w="36"/>
        <w:gridCol w:w="36"/>
        <w:gridCol w:w="36"/>
        <w:gridCol w:w="111"/>
        <w:gridCol w:w="660"/>
        <w:gridCol w:w="36"/>
        <w:gridCol w:w="36"/>
        <w:gridCol w:w="36"/>
        <w:gridCol w:w="36"/>
        <w:gridCol w:w="111"/>
        <w:gridCol w:w="765"/>
        <w:gridCol w:w="36"/>
        <w:gridCol w:w="36"/>
        <w:gridCol w:w="36"/>
        <w:gridCol w:w="36"/>
        <w:gridCol w:w="111"/>
        <w:gridCol w:w="783"/>
        <w:gridCol w:w="36"/>
        <w:gridCol w:w="36"/>
        <w:gridCol w:w="36"/>
        <w:gridCol w:w="36"/>
        <w:gridCol w:w="111"/>
        <w:gridCol w:w="785"/>
        <w:gridCol w:w="36"/>
        <w:gridCol w:w="36"/>
        <w:gridCol w:w="36"/>
        <w:gridCol w:w="36"/>
        <w:gridCol w:w="111"/>
        <w:gridCol w:w="660"/>
        <w:gridCol w:w="36"/>
      </w:tblGrid>
      <w:tr w:rsidR="00D7560A" w14:paraId="59E4923C" w14:textId="77777777">
        <w:tc>
          <w:tcPr>
            <w:tcW w:w="50" w:type="pct"/>
            <w:tcBorders>
              <w:top w:val="nil"/>
              <w:left w:val="nil"/>
              <w:bottom w:val="nil"/>
              <w:right w:val="nil"/>
            </w:tcBorders>
            <w:shd w:val="clear" w:color="auto" w:fill="auto"/>
            <w:vAlign w:val="bottom"/>
          </w:tcPr>
          <w:p w14:paraId="59E4920C" w14:textId="77777777" w:rsidR="00D7560A" w:rsidRDefault="00D7560A">
            <w:pPr>
              <w:widowControl/>
              <w:jc w:val="left"/>
              <w:rPr>
                <w:rFonts w:ascii="Times New Roman" w:eastAsia="宋体" w:hAnsi="宋体" w:cs="宋体"/>
                <w:kern w:val="0"/>
                <w:sz w:val="24"/>
              </w:rPr>
            </w:pPr>
          </w:p>
        </w:tc>
        <w:tc>
          <w:tcPr>
            <w:tcW w:w="771" w:type="pct"/>
            <w:tcBorders>
              <w:top w:val="nil"/>
              <w:left w:val="nil"/>
              <w:bottom w:val="nil"/>
              <w:right w:val="nil"/>
            </w:tcBorders>
            <w:shd w:val="clear" w:color="auto" w:fill="auto"/>
            <w:vAlign w:val="bottom"/>
          </w:tcPr>
          <w:p w14:paraId="59E4920D"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20E"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920F" w14:textId="77777777" w:rsidR="00D7560A" w:rsidRDefault="00D7560A">
            <w:pPr>
              <w:widowControl/>
              <w:jc w:val="left"/>
              <w:rPr>
                <w:rFonts w:ascii="Times New Roman" w:eastAsia="宋体" w:hAnsi="宋体" w:cs="宋体"/>
                <w:kern w:val="0"/>
                <w:sz w:val="24"/>
              </w:rPr>
            </w:pPr>
          </w:p>
        </w:tc>
        <w:tc>
          <w:tcPr>
            <w:tcW w:w="441" w:type="pct"/>
            <w:tcBorders>
              <w:top w:val="nil"/>
              <w:left w:val="nil"/>
              <w:bottom w:val="nil"/>
              <w:right w:val="nil"/>
            </w:tcBorders>
            <w:shd w:val="clear" w:color="auto" w:fill="auto"/>
            <w:vAlign w:val="bottom"/>
          </w:tcPr>
          <w:p w14:paraId="59E49210"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211"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212" w14:textId="77777777" w:rsidR="00D7560A" w:rsidRDefault="00D7560A">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59E49213"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214"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9215" w14:textId="77777777" w:rsidR="00D7560A" w:rsidRDefault="00D7560A">
            <w:pPr>
              <w:widowControl/>
              <w:jc w:val="left"/>
              <w:rPr>
                <w:rFonts w:ascii="Times New Roman" w:eastAsia="宋体" w:hAnsi="宋体" w:cs="宋体"/>
                <w:kern w:val="0"/>
                <w:sz w:val="24"/>
              </w:rPr>
            </w:pPr>
          </w:p>
        </w:tc>
        <w:tc>
          <w:tcPr>
            <w:tcW w:w="441" w:type="pct"/>
            <w:tcBorders>
              <w:top w:val="nil"/>
              <w:left w:val="nil"/>
              <w:bottom w:val="nil"/>
              <w:right w:val="nil"/>
            </w:tcBorders>
            <w:shd w:val="clear" w:color="auto" w:fill="auto"/>
            <w:vAlign w:val="bottom"/>
          </w:tcPr>
          <w:p w14:paraId="59E49216"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217"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218" w14:textId="77777777" w:rsidR="00D7560A" w:rsidRDefault="00D7560A">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59E49219"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21A"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921B" w14:textId="77777777" w:rsidR="00D7560A" w:rsidRDefault="00D7560A">
            <w:pPr>
              <w:widowControl/>
              <w:jc w:val="left"/>
              <w:rPr>
                <w:rFonts w:ascii="Times New Roman" w:eastAsia="宋体" w:hAnsi="宋体" w:cs="宋体"/>
                <w:kern w:val="0"/>
                <w:sz w:val="24"/>
              </w:rPr>
            </w:pPr>
          </w:p>
        </w:tc>
        <w:tc>
          <w:tcPr>
            <w:tcW w:w="441" w:type="pct"/>
            <w:tcBorders>
              <w:top w:val="nil"/>
              <w:left w:val="nil"/>
              <w:bottom w:val="nil"/>
              <w:right w:val="nil"/>
            </w:tcBorders>
            <w:shd w:val="clear" w:color="auto" w:fill="auto"/>
            <w:vAlign w:val="bottom"/>
          </w:tcPr>
          <w:p w14:paraId="59E4921C"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21D"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21E" w14:textId="77777777" w:rsidR="00D7560A" w:rsidRDefault="00D7560A">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59E4921F"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220"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9221" w14:textId="77777777" w:rsidR="00D7560A" w:rsidRDefault="00D7560A">
            <w:pPr>
              <w:widowControl/>
              <w:jc w:val="left"/>
              <w:rPr>
                <w:rFonts w:ascii="Times New Roman" w:eastAsia="宋体" w:hAnsi="宋体" w:cs="宋体"/>
                <w:kern w:val="0"/>
                <w:sz w:val="24"/>
              </w:rPr>
            </w:pPr>
          </w:p>
        </w:tc>
        <w:tc>
          <w:tcPr>
            <w:tcW w:w="405" w:type="pct"/>
            <w:tcBorders>
              <w:top w:val="nil"/>
              <w:left w:val="nil"/>
              <w:bottom w:val="nil"/>
              <w:right w:val="nil"/>
            </w:tcBorders>
            <w:shd w:val="clear" w:color="auto" w:fill="auto"/>
            <w:vAlign w:val="bottom"/>
          </w:tcPr>
          <w:p w14:paraId="59E49222"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223"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224" w14:textId="77777777" w:rsidR="00D7560A" w:rsidRDefault="00D7560A">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59E49225"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226"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9227" w14:textId="77777777" w:rsidR="00D7560A" w:rsidRDefault="00D7560A">
            <w:pPr>
              <w:widowControl/>
              <w:jc w:val="left"/>
              <w:rPr>
                <w:rFonts w:ascii="Times New Roman" w:eastAsia="宋体" w:hAnsi="宋体" w:cs="宋体"/>
                <w:kern w:val="0"/>
                <w:sz w:val="24"/>
              </w:rPr>
            </w:pPr>
          </w:p>
        </w:tc>
        <w:tc>
          <w:tcPr>
            <w:tcW w:w="441" w:type="pct"/>
            <w:tcBorders>
              <w:top w:val="nil"/>
              <w:left w:val="nil"/>
              <w:bottom w:val="nil"/>
              <w:right w:val="nil"/>
            </w:tcBorders>
            <w:shd w:val="clear" w:color="auto" w:fill="auto"/>
            <w:vAlign w:val="bottom"/>
          </w:tcPr>
          <w:p w14:paraId="59E49228"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229"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22A" w14:textId="77777777" w:rsidR="00D7560A" w:rsidRDefault="00D7560A">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59E4922B"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22C"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922D" w14:textId="77777777" w:rsidR="00D7560A" w:rsidRDefault="00D7560A">
            <w:pPr>
              <w:widowControl/>
              <w:jc w:val="left"/>
              <w:rPr>
                <w:rFonts w:ascii="Times New Roman" w:eastAsia="宋体" w:hAnsi="宋体" w:cs="宋体"/>
                <w:kern w:val="0"/>
                <w:sz w:val="24"/>
              </w:rPr>
            </w:pPr>
          </w:p>
        </w:tc>
        <w:tc>
          <w:tcPr>
            <w:tcW w:w="441" w:type="pct"/>
            <w:tcBorders>
              <w:top w:val="nil"/>
              <w:left w:val="nil"/>
              <w:bottom w:val="nil"/>
              <w:right w:val="nil"/>
            </w:tcBorders>
            <w:shd w:val="clear" w:color="auto" w:fill="auto"/>
            <w:vAlign w:val="bottom"/>
          </w:tcPr>
          <w:p w14:paraId="59E4922E"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22F"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230" w14:textId="77777777" w:rsidR="00D7560A" w:rsidRDefault="00D7560A">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59E49231"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232"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9233" w14:textId="77777777" w:rsidR="00D7560A" w:rsidRDefault="00D7560A">
            <w:pPr>
              <w:widowControl/>
              <w:jc w:val="left"/>
              <w:rPr>
                <w:rFonts w:ascii="Times New Roman" w:eastAsia="宋体" w:hAnsi="宋体" w:cs="宋体"/>
                <w:kern w:val="0"/>
                <w:sz w:val="24"/>
              </w:rPr>
            </w:pPr>
          </w:p>
        </w:tc>
        <w:tc>
          <w:tcPr>
            <w:tcW w:w="455" w:type="pct"/>
            <w:tcBorders>
              <w:top w:val="nil"/>
              <w:left w:val="nil"/>
              <w:bottom w:val="nil"/>
              <w:right w:val="nil"/>
            </w:tcBorders>
            <w:shd w:val="clear" w:color="auto" w:fill="auto"/>
            <w:vAlign w:val="bottom"/>
          </w:tcPr>
          <w:p w14:paraId="59E49234"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235"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236" w14:textId="77777777" w:rsidR="00D7560A" w:rsidRDefault="00D7560A">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59E49237"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238"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9239" w14:textId="77777777" w:rsidR="00D7560A" w:rsidRDefault="00D7560A">
            <w:pPr>
              <w:widowControl/>
              <w:jc w:val="left"/>
              <w:rPr>
                <w:rFonts w:ascii="Times New Roman" w:eastAsia="宋体" w:hAnsi="宋体" w:cs="宋体"/>
                <w:kern w:val="0"/>
                <w:sz w:val="24"/>
              </w:rPr>
            </w:pPr>
          </w:p>
        </w:tc>
        <w:tc>
          <w:tcPr>
            <w:tcW w:w="406" w:type="pct"/>
            <w:tcBorders>
              <w:top w:val="nil"/>
              <w:left w:val="nil"/>
              <w:bottom w:val="nil"/>
              <w:right w:val="nil"/>
            </w:tcBorders>
            <w:shd w:val="clear" w:color="auto" w:fill="auto"/>
            <w:vAlign w:val="bottom"/>
          </w:tcPr>
          <w:p w14:paraId="59E4923A"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23B" w14:textId="77777777" w:rsidR="00D7560A" w:rsidRDefault="00D7560A">
            <w:pPr>
              <w:widowControl/>
              <w:jc w:val="left"/>
              <w:rPr>
                <w:rFonts w:ascii="Times New Roman" w:eastAsia="宋体" w:hAnsi="宋体" w:cs="宋体"/>
                <w:kern w:val="0"/>
                <w:sz w:val="24"/>
              </w:rPr>
            </w:pPr>
          </w:p>
        </w:tc>
      </w:tr>
      <w:tr w:rsidR="00D7560A" w14:paraId="59E49241"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923D" w14:textId="77777777" w:rsidR="00D7560A" w:rsidRDefault="00D7560A">
            <w:pPr>
              <w:widowControl/>
              <w:jc w:val="left"/>
              <w:rPr>
                <w:rFonts w:ascii="Times New Roman" w:eastAsia="宋体" w:hAnsi="宋体" w:cs="宋体"/>
                <w:kern w:val="0"/>
                <w:sz w:val="24"/>
              </w:rPr>
            </w:pPr>
          </w:p>
        </w:tc>
        <w:tc>
          <w:tcPr>
            <w:tcW w:w="0" w:type="auto"/>
            <w:gridSpan w:val="21"/>
            <w:tcBorders>
              <w:top w:val="nil"/>
              <w:left w:val="nil"/>
              <w:bottom w:val="nil"/>
              <w:right w:val="nil"/>
            </w:tcBorders>
            <w:shd w:val="clear" w:color="auto" w:fill="auto"/>
            <w:tcMar>
              <w:top w:w="40" w:type="dxa"/>
              <w:left w:w="20" w:type="dxa"/>
              <w:bottom w:w="40" w:type="dxa"/>
              <w:right w:w="20" w:type="dxa"/>
            </w:tcMar>
            <w:vAlign w:val="bottom"/>
          </w:tcPr>
          <w:p w14:paraId="59E4923E"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29, 2022</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923F" w14:textId="77777777" w:rsidR="00D7560A" w:rsidRDefault="00D7560A">
            <w:pPr>
              <w:widowControl/>
              <w:jc w:val="left"/>
              <w:rPr>
                <w:rFonts w:ascii="Times New Roman" w:eastAsia="宋体" w:hAnsi="宋体" w:cs="宋体"/>
                <w:kern w:val="0"/>
                <w:sz w:val="24"/>
              </w:rPr>
            </w:pPr>
          </w:p>
        </w:tc>
        <w:tc>
          <w:tcPr>
            <w:tcW w:w="0" w:type="auto"/>
            <w:gridSpan w:val="21"/>
            <w:tcBorders>
              <w:top w:val="nil"/>
              <w:left w:val="nil"/>
              <w:bottom w:val="nil"/>
              <w:right w:val="nil"/>
            </w:tcBorders>
            <w:shd w:val="clear" w:color="auto" w:fill="auto"/>
            <w:tcMar>
              <w:top w:w="40" w:type="dxa"/>
              <w:left w:w="20" w:type="dxa"/>
              <w:bottom w:w="40" w:type="dxa"/>
              <w:right w:w="20" w:type="dxa"/>
            </w:tcMar>
            <w:vAlign w:val="bottom"/>
          </w:tcPr>
          <w:p w14:paraId="59E49240"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January 28, 2022</w:t>
            </w:r>
          </w:p>
        </w:tc>
      </w:tr>
      <w:tr w:rsidR="00D7560A" w14:paraId="59E49252"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9242"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59E49243"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Amortized Cost</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59E49244"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59E49245"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Unrealized Gains</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59E49246"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59E49247"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Unrealized Loss</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59E49248"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59E49249"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Carrying Value</w:t>
            </w: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59E4924A"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59E4924B"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Amortized Cost</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59E4924C"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59E4924D"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Unrealized Gains</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59E4924E"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59E4924F"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Unrealized Loss</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59E49250"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59E49251"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Carrying Value</w:t>
            </w:r>
          </w:p>
        </w:tc>
      </w:tr>
      <w:tr w:rsidR="00D7560A" w14:paraId="59E49255"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9253" w14:textId="77777777" w:rsidR="00D7560A" w:rsidRDefault="00D7560A">
            <w:pPr>
              <w:widowControl/>
              <w:jc w:val="left"/>
              <w:rPr>
                <w:rFonts w:ascii="Times New Roman" w:eastAsia="宋体" w:hAnsi="宋体" w:cs="宋体"/>
                <w:kern w:val="0"/>
                <w:sz w:val="24"/>
              </w:rPr>
            </w:pPr>
          </w:p>
        </w:tc>
        <w:tc>
          <w:tcPr>
            <w:tcW w:w="0" w:type="auto"/>
            <w:gridSpan w:val="45"/>
            <w:tcBorders>
              <w:top w:val="single" w:sz="8" w:space="0" w:color="000000"/>
              <w:left w:val="nil"/>
              <w:bottom w:val="nil"/>
              <w:right w:val="nil"/>
            </w:tcBorders>
            <w:shd w:val="clear" w:color="auto" w:fill="auto"/>
            <w:tcMar>
              <w:top w:w="40" w:type="dxa"/>
              <w:left w:w="20" w:type="dxa"/>
              <w:bottom w:w="40" w:type="dxa"/>
              <w:right w:w="20" w:type="dxa"/>
            </w:tcMar>
            <w:vAlign w:val="bottom"/>
          </w:tcPr>
          <w:p w14:paraId="59E49254"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(in millions)</w:t>
            </w:r>
          </w:p>
        </w:tc>
      </w:tr>
      <w:tr w:rsidR="001E3CAB" w14:paraId="59E49276" w14:textId="77777777">
        <w:tc>
          <w:tcPr>
            <w:tcW w:w="0" w:type="auto"/>
            <w:gridSpan w:val="3"/>
            <w:tcBorders>
              <w:top w:val="nil"/>
              <w:left w:val="nil"/>
              <w:bottom w:val="nil"/>
              <w:right w:val="nil"/>
            </w:tcBorders>
            <w:shd w:val="clear" w:color="auto" w:fill="CCEEFF"/>
            <w:tcMar>
              <w:top w:w="40" w:type="dxa"/>
              <w:left w:w="35" w:type="dxa"/>
              <w:bottom w:w="40" w:type="dxa"/>
              <w:right w:w="20" w:type="dxa"/>
            </w:tcMar>
            <w:vAlign w:val="bottom"/>
          </w:tcPr>
          <w:p w14:paraId="59E49256"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Fixed income debt securities</w:t>
            </w: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9E49257"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9E49258"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338 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9259"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25A"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9E4925B"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9E4925C"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34 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925D"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25E"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9E4925F"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9E49260"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(83)</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9261"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262"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9E49263"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9E49264"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289 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9265"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266"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9E49267"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9E49268"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333 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9269"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26A"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9E4926B"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9E4926C"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26 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926D"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26E"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9E4926F"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9E49270"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(47)</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9271"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272"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9E49273"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9E49274"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312 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9275" w14:textId="77777777" w:rsidR="00D7560A" w:rsidRDefault="00D7560A">
            <w:pPr>
              <w:widowControl/>
              <w:jc w:val="right"/>
              <w:rPr>
                <w:rFonts w:ascii="Times New Roman" w:eastAsia="宋体" w:hAnsi="宋体" w:cs="宋体"/>
                <w:kern w:val="0"/>
                <w:sz w:val="24"/>
              </w:rPr>
            </w:pPr>
          </w:p>
        </w:tc>
      </w:tr>
    </w:tbl>
    <w:p w14:paraId="59E49277"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9278"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9279"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19</w:t>
      </w:r>
    </w:p>
    <w:p w14:paraId="59E4927A"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927B" w14:textId="77777777" w:rsidR="00D7560A" w:rsidRDefault="001E3CAB">
      <w:pPr>
        <w:widowControl/>
        <w:jc w:val="center"/>
      </w:pPr>
      <w:r>
        <w:rPr>
          <w:rFonts w:ascii="宋体" w:eastAsia="宋体" w:hAnsi="宋体" w:cs="宋体"/>
          <w:kern w:val="0"/>
          <w:sz w:val="24"/>
        </w:rPr>
        <w:pict w14:anchorId="59E4C7DE">
          <v:rect id="_x0000_i1043" style="width:6in;height:1.5pt" o:hralign="center" o:hrstd="t" o:hr="t" fillcolor="#a0a0a0" stroked="f"/>
        </w:pict>
      </w:r>
    </w:p>
    <w:p w14:paraId="59E4927C" w14:textId="77777777" w:rsidR="00D7560A" w:rsidRDefault="001E3CAB">
      <w:pPr>
        <w:widowControl/>
        <w:jc w:val="left"/>
        <w:rPr>
          <w:rFonts w:ascii="宋体" w:eastAsia="宋体" w:hAnsi="宋体" w:cs="宋体"/>
          <w:kern w:val="0"/>
          <w:sz w:val="24"/>
        </w:rPr>
      </w:pPr>
      <w:hyperlink w:anchor="if933dd1d5d004d2495dd7029e3ecad00_13" w:history="1">
        <w:r>
          <w:rPr>
            <w:rStyle w:val="a4"/>
            <w:rFonts w:ascii="Times New Roman" w:eastAsia="宋体" w:hAnsi="Times New Roman" w:cs="Times New Roman"/>
            <w:sz w:val="20"/>
            <w:szCs w:val="20"/>
          </w:rPr>
          <w:t>Table of Contents</w:t>
        </w:r>
      </w:hyperlink>
    </w:p>
    <w:p w14:paraId="59E4927D"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 xml:space="preserve">DELL </w:t>
      </w:r>
      <w:r>
        <w:rPr>
          <w:rFonts w:ascii="Times New Roman" w:eastAsia="宋体" w:hAnsi="Times New Roman" w:cs="Times New Roman"/>
          <w:b/>
          <w:bCs/>
          <w:color w:val="000000"/>
          <w:kern w:val="0"/>
          <w:sz w:val="20"/>
          <w:szCs w:val="20"/>
          <w:lang w:bidi="ar"/>
        </w:rPr>
        <w:t>TECHNOLOGIES INC.</w:t>
      </w:r>
    </w:p>
    <w:p w14:paraId="59E4927E"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NOTES TO THE CONDENSED CONSOLIDATED FINANCIAL STATEMENTS (Continued)</w:t>
      </w:r>
    </w:p>
    <w:p w14:paraId="59E4927F"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(unaudited)</w:t>
      </w:r>
    </w:p>
    <w:p w14:paraId="59E49280"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9281"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NOTE 5 — FINANCIAL SERVICES</w:t>
      </w:r>
    </w:p>
    <w:p w14:paraId="59E49282"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9283"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The Company offers or arranges various financing options and services and alternative payment structures for its </w:t>
      </w:r>
      <w:r>
        <w:rPr>
          <w:rFonts w:ascii="Times New Roman" w:eastAsia="宋体" w:hAnsi="Times New Roman" w:cs="Times New Roman"/>
          <w:color w:val="000000"/>
          <w:kern w:val="0"/>
          <w:sz w:val="20"/>
          <w:szCs w:val="20"/>
          <w:lang w:bidi="ar"/>
        </w:rPr>
        <w:t xml:space="preserve">customers globally primarily through Dell Financial Services and its affiliates (“DFS”). The Company also arranges financing for some of its customers in various countries where DFS does not currently operate as a captive enterprise. The key activities of </w:t>
      </w:r>
      <w:r>
        <w:rPr>
          <w:rFonts w:ascii="Times New Roman" w:eastAsia="宋体" w:hAnsi="Times New Roman" w:cs="Times New Roman"/>
          <w:color w:val="000000"/>
          <w:kern w:val="0"/>
          <w:sz w:val="20"/>
          <w:szCs w:val="20"/>
          <w:lang w:bidi="ar"/>
        </w:rPr>
        <w:t>DFS include originating, collecting, and servicing customer financing arrangements primarily related to the purchase or use of Dell Technologies products and services. In some cases, DFS also offers financing for the purchase of third-party technology prod</w:t>
      </w:r>
      <w:r>
        <w:rPr>
          <w:rFonts w:ascii="Times New Roman" w:eastAsia="宋体" w:hAnsi="Times New Roman" w:cs="Times New Roman"/>
          <w:color w:val="000000"/>
          <w:kern w:val="0"/>
          <w:sz w:val="20"/>
          <w:szCs w:val="20"/>
          <w:lang w:bidi="ar"/>
        </w:rPr>
        <w:t>ucts that complement the Dell Technologies portfolio of products and services. New financing originations were $2.3 billion and $1.9 billion for the three months ended July 29, 2022 and July 30, 2021, respectively, and $4.4 billion and $3.8 billion for the</w:t>
      </w:r>
      <w:r>
        <w:rPr>
          <w:rFonts w:ascii="Times New Roman" w:eastAsia="宋体" w:hAnsi="Times New Roman" w:cs="Times New Roman"/>
          <w:color w:val="000000"/>
          <w:kern w:val="0"/>
          <w:sz w:val="20"/>
          <w:szCs w:val="20"/>
          <w:lang w:bidi="ar"/>
        </w:rPr>
        <w:t xml:space="preserve"> six months ended July 29, 2022 and July 30, 2021, respectively.</w:t>
      </w:r>
    </w:p>
    <w:p w14:paraId="59E49284"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9285"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The Company’s lease and loan arrangements with customers are aggregated primarily into the following categories:</w:t>
      </w:r>
    </w:p>
    <w:p w14:paraId="59E49286"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9287"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i/>
          <w:iCs/>
          <w:color w:val="000000"/>
          <w:kern w:val="0"/>
          <w:sz w:val="20"/>
          <w:szCs w:val="20"/>
          <w:lang w:bidi="ar"/>
        </w:rPr>
        <w:t>Revolving loans</w:t>
      </w:r>
      <w:r>
        <w:rPr>
          <w:rFonts w:ascii="Times New Roman" w:eastAsia="宋体" w:hAnsi="Times New Roman" w:cs="Times New Roman"/>
          <w:color w:val="000000"/>
          <w:kern w:val="0"/>
          <w:sz w:val="20"/>
          <w:szCs w:val="20"/>
          <w:lang w:bidi="ar"/>
        </w:rPr>
        <w:t xml:space="preserve"> — Revolving loans offered under private label credit finan</w:t>
      </w:r>
      <w:r>
        <w:rPr>
          <w:rFonts w:ascii="Times New Roman" w:eastAsia="宋体" w:hAnsi="Times New Roman" w:cs="Times New Roman"/>
          <w:color w:val="000000"/>
          <w:kern w:val="0"/>
          <w:sz w:val="20"/>
          <w:szCs w:val="20"/>
          <w:lang w:bidi="ar"/>
        </w:rPr>
        <w:t>cing programs provide qualified customers with a revolving credit line for the purchase of products and services offered by Dell Technologies. These private label credit financing programs are referred to as Dell Preferred Account (“DPA”) and Dell Business</w:t>
      </w:r>
      <w:r>
        <w:rPr>
          <w:rFonts w:ascii="Times New Roman" w:eastAsia="宋体" w:hAnsi="Times New Roman" w:cs="Times New Roman"/>
          <w:color w:val="000000"/>
          <w:kern w:val="0"/>
          <w:sz w:val="20"/>
          <w:szCs w:val="20"/>
          <w:lang w:bidi="ar"/>
        </w:rPr>
        <w:t xml:space="preserve"> Credit (“DBC”). The DPA product is primarily offered to individual consumer customers, and the DBC product is primarily offered to small and medium-sized commercial customers. Revolving loans in the United States bear interest at a variable annual percent</w:t>
      </w:r>
      <w:r>
        <w:rPr>
          <w:rFonts w:ascii="Times New Roman" w:eastAsia="宋体" w:hAnsi="Times New Roman" w:cs="Times New Roman"/>
          <w:color w:val="000000"/>
          <w:kern w:val="0"/>
          <w:sz w:val="20"/>
          <w:szCs w:val="20"/>
          <w:lang w:bidi="ar"/>
        </w:rPr>
        <w:t>age rate that is tied to the prime rate. Based on historical payment patterns, revolving loan transactions are typically repaid within twelve months on average. Due to the short-term nature of the revolving loan portfolio, the carrying value of the portfol</w:t>
      </w:r>
      <w:r>
        <w:rPr>
          <w:rFonts w:ascii="Times New Roman" w:eastAsia="宋体" w:hAnsi="Times New Roman" w:cs="Times New Roman"/>
          <w:color w:val="000000"/>
          <w:kern w:val="0"/>
          <w:sz w:val="20"/>
          <w:szCs w:val="20"/>
          <w:lang w:bidi="ar"/>
        </w:rPr>
        <w:t>io approximates fair value.</w:t>
      </w:r>
    </w:p>
    <w:p w14:paraId="59E49288"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9289"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i/>
          <w:iCs/>
          <w:color w:val="000000"/>
          <w:kern w:val="0"/>
          <w:sz w:val="20"/>
          <w:szCs w:val="20"/>
          <w:lang w:bidi="ar"/>
        </w:rPr>
        <w:t xml:space="preserve">Fixed-term leases and loans </w:t>
      </w:r>
      <w:r>
        <w:rPr>
          <w:rFonts w:ascii="Times New Roman" w:eastAsia="宋体" w:hAnsi="Times New Roman" w:cs="Times New Roman"/>
          <w:color w:val="000000"/>
          <w:kern w:val="0"/>
          <w:sz w:val="20"/>
          <w:szCs w:val="20"/>
          <w:lang w:bidi="ar"/>
        </w:rPr>
        <w:t>— The Company enters into financing arrangements with customers who seek lease financing for equipment. DFS leases are generally classified as sales-type leases or operating leases. Leases with business customers have fixed terms of generally two to four y</w:t>
      </w:r>
      <w:r>
        <w:rPr>
          <w:rFonts w:ascii="Times New Roman" w:eastAsia="宋体" w:hAnsi="Times New Roman" w:cs="Times New Roman"/>
          <w:color w:val="000000"/>
          <w:kern w:val="0"/>
          <w:sz w:val="20"/>
          <w:szCs w:val="20"/>
          <w:lang w:bidi="ar"/>
        </w:rPr>
        <w:t xml:space="preserve">ears. </w:t>
      </w:r>
    </w:p>
    <w:p w14:paraId="59E4928A"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928B"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The Company also offers fixed-term loans to qualified small businesses, large commercial accounts, governmental organizations, educational entities, and certain individual consumer customers. These loans are repaid in equal payments including inte</w:t>
      </w:r>
      <w:r>
        <w:rPr>
          <w:rFonts w:ascii="Times New Roman" w:eastAsia="宋体" w:hAnsi="Times New Roman" w:cs="Times New Roman"/>
          <w:color w:val="000000"/>
          <w:kern w:val="0"/>
          <w:sz w:val="20"/>
          <w:szCs w:val="20"/>
          <w:lang w:bidi="ar"/>
        </w:rPr>
        <w:t xml:space="preserve">rest and have defined terms of generally three to five years. The fair value of the fixed-term loan portfolio is determined using market observable inputs.  The carrying value of these loans approximates fair value.  </w:t>
      </w:r>
    </w:p>
    <w:p w14:paraId="59E4928C"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928D"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The Company further strengthens cust</w:t>
      </w:r>
      <w:r>
        <w:rPr>
          <w:rFonts w:ascii="Times New Roman" w:eastAsia="宋体" w:hAnsi="Times New Roman" w:cs="Times New Roman"/>
          <w:color w:val="000000"/>
          <w:kern w:val="0"/>
          <w:sz w:val="20"/>
          <w:szCs w:val="20"/>
          <w:lang w:bidi="ar"/>
        </w:rPr>
        <w:t>omer relationships through flexible consumption models, which enable the Company to offer its customers the option to pay over time and, in certain cases, based on utilization, to provide them with financial flexibility to meet their changing technological</w:t>
      </w:r>
      <w:r>
        <w:rPr>
          <w:rFonts w:ascii="Times New Roman" w:eastAsia="宋体" w:hAnsi="Times New Roman" w:cs="Times New Roman"/>
          <w:color w:val="000000"/>
          <w:kern w:val="0"/>
          <w:sz w:val="20"/>
          <w:szCs w:val="20"/>
          <w:lang w:bidi="ar"/>
        </w:rPr>
        <w:t xml:space="preserve"> requirements. </w:t>
      </w:r>
    </w:p>
    <w:p w14:paraId="59E4928E"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928F"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20</w:t>
      </w:r>
    </w:p>
    <w:p w14:paraId="59E49290"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9291" w14:textId="77777777" w:rsidR="00D7560A" w:rsidRDefault="001E3CAB">
      <w:pPr>
        <w:widowControl/>
        <w:jc w:val="center"/>
      </w:pPr>
      <w:r>
        <w:rPr>
          <w:rFonts w:ascii="宋体" w:eastAsia="宋体" w:hAnsi="宋体" w:cs="宋体"/>
          <w:kern w:val="0"/>
          <w:sz w:val="24"/>
        </w:rPr>
        <w:pict w14:anchorId="59E4C7DF">
          <v:rect id="_x0000_i1044" style="width:6in;height:1.5pt" o:hralign="center" o:hrstd="t" o:hr="t" fillcolor="#a0a0a0" stroked="f"/>
        </w:pict>
      </w:r>
    </w:p>
    <w:p w14:paraId="59E49292" w14:textId="77777777" w:rsidR="00D7560A" w:rsidRDefault="001E3CAB">
      <w:pPr>
        <w:widowControl/>
        <w:jc w:val="left"/>
        <w:rPr>
          <w:rFonts w:ascii="宋体" w:eastAsia="宋体" w:hAnsi="宋体" w:cs="宋体"/>
          <w:kern w:val="0"/>
          <w:sz w:val="24"/>
        </w:rPr>
      </w:pPr>
      <w:hyperlink w:anchor="if933dd1d5d004d2495dd7029e3ecad00_13" w:history="1">
        <w:r>
          <w:rPr>
            <w:rStyle w:val="a4"/>
            <w:rFonts w:ascii="Times New Roman" w:eastAsia="宋体" w:hAnsi="Times New Roman" w:cs="Times New Roman"/>
            <w:sz w:val="20"/>
            <w:szCs w:val="20"/>
          </w:rPr>
          <w:t>Table of Contents</w:t>
        </w:r>
      </w:hyperlink>
    </w:p>
    <w:p w14:paraId="59E49293"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DELL TECHNOLOGIES INC.</w:t>
      </w:r>
    </w:p>
    <w:p w14:paraId="59E49294"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NOTES TO THE CONDENSED CONSOLIDATED FINANCIAL STATEMENTS (Continued)</w:t>
      </w:r>
    </w:p>
    <w:p w14:paraId="59E49295"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(unaudited)</w:t>
      </w:r>
    </w:p>
    <w:p w14:paraId="59E49296"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9297"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Financing Receivables</w:t>
      </w:r>
    </w:p>
    <w:p w14:paraId="59E49298"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9299" w14:textId="77777777" w:rsidR="00D7560A" w:rsidRDefault="001E3CAB">
      <w:pPr>
        <w:widowControl/>
        <w:spacing w:after="12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The following table </w:t>
      </w:r>
      <w:r>
        <w:rPr>
          <w:rFonts w:ascii="Times New Roman" w:eastAsia="宋体" w:hAnsi="Times New Roman" w:cs="Times New Roman"/>
          <w:color w:val="000000"/>
          <w:kern w:val="0"/>
          <w:sz w:val="20"/>
          <w:szCs w:val="20"/>
          <w:lang w:bidi="ar"/>
        </w:rPr>
        <w:t>presents the components of the Company’s financing receivables segregated by portfolio segment as of the dates indicated:</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8"/>
        <w:gridCol w:w="2189"/>
        <w:gridCol w:w="37"/>
        <w:gridCol w:w="121"/>
        <w:gridCol w:w="803"/>
        <w:gridCol w:w="36"/>
        <w:gridCol w:w="36"/>
        <w:gridCol w:w="36"/>
        <w:gridCol w:w="36"/>
        <w:gridCol w:w="121"/>
        <w:gridCol w:w="893"/>
        <w:gridCol w:w="36"/>
        <w:gridCol w:w="36"/>
        <w:gridCol w:w="36"/>
        <w:gridCol w:w="36"/>
        <w:gridCol w:w="120"/>
        <w:gridCol w:w="600"/>
        <w:gridCol w:w="36"/>
        <w:gridCol w:w="36"/>
        <w:gridCol w:w="36"/>
        <w:gridCol w:w="36"/>
        <w:gridCol w:w="121"/>
        <w:gridCol w:w="803"/>
        <w:gridCol w:w="36"/>
        <w:gridCol w:w="36"/>
        <w:gridCol w:w="36"/>
        <w:gridCol w:w="36"/>
        <w:gridCol w:w="121"/>
        <w:gridCol w:w="893"/>
        <w:gridCol w:w="36"/>
        <w:gridCol w:w="36"/>
        <w:gridCol w:w="36"/>
        <w:gridCol w:w="36"/>
        <w:gridCol w:w="120"/>
        <w:gridCol w:w="600"/>
        <w:gridCol w:w="36"/>
      </w:tblGrid>
      <w:tr w:rsidR="00D7560A" w14:paraId="59E492BE" w14:textId="77777777">
        <w:tc>
          <w:tcPr>
            <w:tcW w:w="50" w:type="pct"/>
            <w:tcBorders>
              <w:top w:val="nil"/>
              <w:left w:val="nil"/>
              <w:bottom w:val="nil"/>
              <w:right w:val="nil"/>
            </w:tcBorders>
            <w:shd w:val="clear" w:color="auto" w:fill="auto"/>
            <w:vAlign w:val="bottom"/>
          </w:tcPr>
          <w:p w14:paraId="59E4929A" w14:textId="77777777" w:rsidR="00D7560A" w:rsidRDefault="00D7560A">
            <w:pPr>
              <w:widowControl/>
              <w:jc w:val="left"/>
              <w:rPr>
                <w:rFonts w:ascii="Times New Roman" w:eastAsia="宋体" w:hAnsi="宋体" w:cs="宋体"/>
                <w:kern w:val="0"/>
                <w:sz w:val="24"/>
              </w:rPr>
            </w:pPr>
          </w:p>
        </w:tc>
        <w:tc>
          <w:tcPr>
            <w:tcW w:w="1597" w:type="pct"/>
            <w:tcBorders>
              <w:top w:val="nil"/>
              <w:left w:val="nil"/>
              <w:bottom w:val="nil"/>
              <w:right w:val="nil"/>
            </w:tcBorders>
            <w:shd w:val="clear" w:color="auto" w:fill="auto"/>
            <w:vAlign w:val="bottom"/>
          </w:tcPr>
          <w:p w14:paraId="59E4929B"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29C"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929D" w14:textId="77777777" w:rsidR="00D7560A" w:rsidRDefault="00D7560A">
            <w:pPr>
              <w:widowControl/>
              <w:jc w:val="left"/>
              <w:rPr>
                <w:rFonts w:ascii="Times New Roman" w:eastAsia="宋体" w:hAnsi="宋体" w:cs="宋体"/>
                <w:kern w:val="0"/>
                <w:sz w:val="24"/>
              </w:rPr>
            </w:pPr>
          </w:p>
        </w:tc>
        <w:tc>
          <w:tcPr>
            <w:tcW w:w="478" w:type="pct"/>
            <w:tcBorders>
              <w:top w:val="nil"/>
              <w:left w:val="nil"/>
              <w:bottom w:val="nil"/>
              <w:right w:val="nil"/>
            </w:tcBorders>
            <w:shd w:val="clear" w:color="auto" w:fill="auto"/>
            <w:vAlign w:val="bottom"/>
          </w:tcPr>
          <w:p w14:paraId="59E4929E"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29F"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2A0" w14:textId="77777777" w:rsidR="00D7560A" w:rsidRDefault="00D7560A">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59E492A1"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2A2"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92A3" w14:textId="77777777" w:rsidR="00D7560A" w:rsidRDefault="00D7560A">
            <w:pPr>
              <w:widowControl/>
              <w:jc w:val="left"/>
              <w:rPr>
                <w:rFonts w:ascii="Times New Roman" w:eastAsia="宋体" w:hAnsi="宋体" w:cs="宋体"/>
                <w:kern w:val="0"/>
                <w:sz w:val="24"/>
              </w:rPr>
            </w:pPr>
          </w:p>
        </w:tc>
        <w:tc>
          <w:tcPr>
            <w:tcW w:w="478" w:type="pct"/>
            <w:tcBorders>
              <w:top w:val="nil"/>
              <w:left w:val="nil"/>
              <w:bottom w:val="nil"/>
              <w:right w:val="nil"/>
            </w:tcBorders>
            <w:shd w:val="clear" w:color="auto" w:fill="auto"/>
            <w:vAlign w:val="bottom"/>
          </w:tcPr>
          <w:p w14:paraId="59E492A4"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2A5"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2A6" w14:textId="77777777" w:rsidR="00D7560A" w:rsidRDefault="00D7560A">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59E492A7"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2A8"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92A9" w14:textId="77777777" w:rsidR="00D7560A" w:rsidRDefault="00D7560A">
            <w:pPr>
              <w:widowControl/>
              <w:jc w:val="left"/>
              <w:rPr>
                <w:rFonts w:ascii="Times New Roman" w:eastAsia="宋体" w:hAnsi="宋体" w:cs="宋体"/>
                <w:kern w:val="0"/>
                <w:sz w:val="24"/>
              </w:rPr>
            </w:pPr>
          </w:p>
        </w:tc>
        <w:tc>
          <w:tcPr>
            <w:tcW w:w="478" w:type="pct"/>
            <w:tcBorders>
              <w:top w:val="nil"/>
              <w:left w:val="nil"/>
              <w:bottom w:val="nil"/>
              <w:right w:val="nil"/>
            </w:tcBorders>
            <w:shd w:val="clear" w:color="auto" w:fill="auto"/>
            <w:vAlign w:val="bottom"/>
          </w:tcPr>
          <w:p w14:paraId="59E492AA"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2AB"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2AC" w14:textId="77777777" w:rsidR="00D7560A" w:rsidRDefault="00D7560A">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59E492AD"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2AE"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92AF" w14:textId="77777777" w:rsidR="00D7560A" w:rsidRDefault="00D7560A">
            <w:pPr>
              <w:widowControl/>
              <w:jc w:val="left"/>
              <w:rPr>
                <w:rFonts w:ascii="Times New Roman" w:eastAsia="宋体" w:hAnsi="宋体" w:cs="宋体"/>
                <w:kern w:val="0"/>
                <w:sz w:val="24"/>
              </w:rPr>
            </w:pPr>
          </w:p>
        </w:tc>
        <w:tc>
          <w:tcPr>
            <w:tcW w:w="478" w:type="pct"/>
            <w:tcBorders>
              <w:top w:val="nil"/>
              <w:left w:val="nil"/>
              <w:bottom w:val="nil"/>
              <w:right w:val="nil"/>
            </w:tcBorders>
            <w:shd w:val="clear" w:color="auto" w:fill="auto"/>
            <w:vAlign w:val="bottom"/>
          </w:tcPr>
          <w:p w14:paraId="59E492B0"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2B1"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2B2" w14:textId="77777777" w:rsidR="00D7560A" w:rsidRDefault="00D7560A">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59E492B3"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2B4"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92B5" w14:textId="77777777" w:rsidR="00D7560A" w:rsidRDefault="00D7560A">
            <w:pPr>
              <w:widowControl/>
              <w:jc w:val="left"/>
              <w:rPr>
                <w:rFonts w:ascii="Times New Roman" w:eastAsia="宋体" w:hAnsi="宋体" w:cs="宋体"/>
                <w:kern w:val="0"/>
                <w:sz w:val="24"/>
              </w:rPr>
            </w:pPr>
          </w:p>
        </w:tc>
        <w:tc>
          <w:tcPr>
            <w:tcW w:w="478" w:type="pct"/>
            <w:tcBorders>
              <w:top w:val="nil"/>
              <w:left w:val="nil"/>
              <w:bottom w:val="nil"/>
              <w:right w:val="nil"/>
            </w:tcBorders>
            <w:shd w:val="clear" w:color="auto" w:fill="auto"/>
            <w:vAlign w:val="bottom"/>
          </w:tcPr>
          <w:p w14:paraId="59E492B6"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2B7"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2B8" w14:textId="77777777" w:rsidR="00D7560A" w:rsidRDefault="00D7560A">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59E492B9"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2BA"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92BB" w14:textId="77777777" w:rsidR="00D7560A" w:rsidRDefault="00D7560A">
            <w:pPr>
              <w:widowControl/>
              <w:jc w:val="left"/>
              <w:rPr>
                <w:rFonts w:ascii="Times New Roman" w:eastAsia="宋体" w:hAnsi="宋体" w:cs="宋体"/>
                <w:kern w:val="0"/>
                <w:sz w:val="24"/>
              </w:rPr>
            </w:pPr>
          </w:p>
        </w:tc>
        <w:tc>
          <w:tcPr>
            <w:tcW w:w="479" w:type="pct"/>
            <w:tcBorders>
              <w:top w:val="nil"/>
              <w:left w:val="nil"/>
              <w:bottom w:val="nil"/>
              <w:right w:val="nil"/>
            </w:tcBorders>
            <w:shd w:val="clear" w:color="auto" w:fill="auto"/>
            <w:vAlign w:val="bottom"/>
          </w:tcPr>
          <w:p w14:paraId="59E492BC"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2BD" w14:textId="77777777" w:rsidR="00D7560A" w:rsidRDefault="00D7560A">
            <w:pPr>
              <w:widowControl/>
              <w:jc w:val="left"/>
              <w:rPr>
                <w:rFonts w:ascii="Times New Roman" w:eastAsia="宋体" w:hAnsi="宋体" w:cs="宋体"/>
                <w:kern w:val="0"/>
                <w:sz w:val="24"/>
              </w:rPr>
            </w:pPr>
          </w:p>
        </w:tc>
      </w:tr>
      <w:tr w:rsidR="00D7560A" w14:paraId="59E492C3"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9E492BF"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gridSpan w:val="15"/>
            <w:tcBorders>
              <w:top w:val="nil"/>
              <w:left w:val="nil"/>
              <w:bottom w:val="nil"/>
              <w:right w:val="nil"/>
            </w:tcBorders>
            <w:shd w:val="clear" w:color="auto" w:fill="auto"/>
            <w:tcMar>
              <w:top w:w="40" w:type="dxa"/>
              <w:left w:w="20" w:type="dxa"/>
              <w:bottom w:w="40" w:type="dxa"/>
              <w:right w:w="20" w:type="dxa"/>
            </w:tcMar>
            <w:vAlign w:val="bottom"/>
          </w:tcPr>
          <w:p w14:paraId="59E492C0"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29, 2022</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92C1" w14:textId="77777777" w:rsidR="00D7560A" w:rsidRDefault="00D7560A">
            <w:pPr>
              <w:widowControl/>
              <w:jc w:val="left"/>
              <w:rPr>
                <w:rFonts w:ascii="Times New Roman" w:eastAsia="宋体" w:hAnsi="宋体" w:cs="宋体"/>
                <w:kern w:val="0"/>
                <w:sz w:val="24"/>
              </w:rPr>
            </w:pPr>
          </w:p>
        </w:tc>
        <w:tc>
          <w:tcPr>
            <w:tcW w:w="0" w:type="auto"/>
            <w:gridSpan w:val="15"/>
            <w:tcBorders>
              <w:top w:val="nil"/>
              <w:left w:val="nil"/>
              <w:bottom w:val="nil"/>
              <w:right w:val="nil"/>
            </w:tcBorders>
            <w:shd w:val="clear" w:color="auto" w:fill="auto"/>
            <w:tcMar>
              <w:top w:w="40" w:type="dxa"/>
              <w:left w:w="20" w:type="dxa"/>
              <w:bottom w:w="40" w:type="dxa"/>
              <w:right w:w="20" w:type="dxa"/>
            </w:tcMar>
            <w:vAlign w:val="bottom"/>
          </w:tcPr>
          <w:p w14:paraId="59E492C2"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January 28, 2022</w:t>
            </w:r>
          </w:p>
        </w:tc>
      </w:tr>
      <w:tr w:rsidR="00D7560A" w14:paraId="59E492D0"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92C4"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59E492C5"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Revolving</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59E492C6"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59E492C7"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Fixed-term</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59E492C8"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59E492C9"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Total</w:t>
            </w: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59E492CA"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59E492CB"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Revolving</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59E492CC"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59E492CD"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Fixed-term</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59E492CE"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59E492CF"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Total</w:t>
            </w:r>
          </w:p>
        </w:tc>
      </w:tr>
      <w:tr w:rsidR="00D7560A" w14:paraId="59E492D3"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9E492D1"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gridSpan w:val="3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59E492D2"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(in millions)</w:t>
            </w:r>
          </w:p>
        </w:tc>
      </w:tr>
      <w:tr w:rsidR="00D7560A" w14:paraId="59E492E0"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9E492D4"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i/>
                <w:iCs/>
                <w:color w:val="000000"/>
                <w:kern w:val="0"/>
                <w:sz w:val="20"/>
                <w:szCs w:val="20"/>
                <w:lang w:bidi="ar"/>
              </w:rPr>
              <w:t>Financing receivables, net:</w:t>
            </w: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9E492D5"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2D6"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9E492D7"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2D8"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2D9"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2DA"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2DB"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2DC"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2DD"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2DE"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2DF" w14:textId="77777777" w:rsidR="00D7560A" w:rsidRDefault="00D7560A">
            <w:pPr>
              <w:widowControl/>
              <w:jc w:val="left"/>
              <w:rPr>
                <w:rFonts w:ascii="Times New Roman" w:eastAsia="宋体" w:hAnsi="宋体" w:cs="宋体"/>
                <w:kern w:val="0"/>
                <w:sz w:val="24"/>
              </w:rPr>
            </w:pPr>
          </w:p>
        </w:tc>
      </w:tr>
      <w:tr w:rsidR="00D7560A" w14:paraId="59E492F9"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59E492E1"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Customer receivables, gross (a)</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9E492E2"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9E492E3"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705 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92E4"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92E5"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9E492E6"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9E492E7"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9,638 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92E8"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92E9"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9E492EA"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9E492EB"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10,343 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92EC"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92ED"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9E492EE"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9E492EF"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750 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92F0"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92F1"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9E492F2"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9E492F3"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9,833 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92F4"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92F5"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9E492F6"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9E492F7"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10,583 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92F8" w14:textId="77777777" w:rsidR="00D7560A" w:rsidRDefault="00D7560A">
            <w:pPr>
              <w:widowControl/>
              <w:jc w:val="right"/>
              <w:rPr>
                <w:rFonts w:ascii="Times New Roman" w:eastAsia="宋体" w:hAnsi="宋体" w:cs="宋体"/>
                <w:kern w:val="0"/>
                <w:sz w:val="24"/>
              </w:rPr>
            </w:pPr>
          </w:p>
        </w:tc>
      </w:tr>
      <w:tr w:rsidR="00D7560A" w14:paraId="59E4930C" w14:textId="77777777">
        <w:tc>
          <w:tcPr>
            <w:tcW w:w="0" w:type="auto"/>
            <w:gridSpan w:val="3"/>
            <w:tcBorders>
              <w:top w:val="nil"/>
              <w:left w:val="nil"/>
              <w:bottom w:val="nil"/>
              <w:right w:val="nil"/>
            </w:tcBorders>
            <w:shd w:val="clear" w:color="auto" w:fill="CCEEFF"/>
            <w:tcMar>
              <w:top w:w="40" w:type="dxa"/>
              <w:left w:w="245" w:type="dxa"/>
              <w:bottom w:w="40" w:type="dxa"/>
              <w:right w:w="20" w:type="dxa"/>
            </w:tcMar>
            <w:vAlign w:val="bottom"/>
          </w:tcPr>
          <w:p w14:paraId="59E492FA"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Allowances for losses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92FB"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(91)</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92FC"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2FD"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92FE"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(92)</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92FF"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300"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9301"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(183)</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9302"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303"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9304"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(102)</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9305"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306"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9307"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(87)</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9308"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309"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930A"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(189)</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930B" w14:textId="77777777" w:rsidR="00D7560A" w:rsidRDefault="00D7560A">
            <w:pPr>
              <w:widowControl/>
              <w:jc w:val="right"/>
              <w:rPr>
                <w:rFonts w:ascii="Times New Roman" w:eastAsia="宋体" w:hAnsi="宋体" w:cs="宋体"/>
                <w:kern w:val="0"/>
                <w:sz w:val="24"/>
              </w:rPr>
            </w:pPr>
          </w:p>
        </w:tc>
      </w:tr>
      <w:tr w:rsidR="00D7560A" w14:paraId="59E4931F" w14:textId="77777777">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59E4930D"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Customer receivables, net</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59E4930E"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614 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59E4930F"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9310" w14:textId="77777777" w:rsidR="00D7560A" w:rsidRDefault="00D7560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59E49311"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9,546 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59E49312"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9313" w14:textId="77777777" w:rsidR="00D7560A" w:rsidRDefault="00D7560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59E49314"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10,160 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59E49315"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9316" w14:textId="77777777" w:rsidR="00D7560A" w:rsidRDefault="00D7560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59E49317"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648 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59E49318"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9319" w14:textId="77777777" w:rsidR="00D7560A" w:rsidRDefault="00D7560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59E4931A"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9,746 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59E4931B"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931C" w14:textId="77777777" w:rsidR="00D7560A" w:rsidRDefault="00D7560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59E4931D"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10,394 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59E4931E" w14:textId="77777777" w:rsidR="00D7560A" w:rsidRDefault="00D7560A">
            <w:pPr>
              <w:widowControl/>
              <w:jc w:val="right"/>
              <w:rPr>
                <w:rFonts w:ascii="Times New Roman" w:eastAsia="宋体" w:hAnsi="宋体" w:cs="宋体"/>
                <w:kern w:val="0"/>
                <w:sz w:val="24"/>
              </w:rPr>
            </w:pPr>
          </w:p>
        </w:tc>
      </w:tr>
      <w:tr w:rsidR="00D7560A" w14:paraId="59E49332"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9E49320"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Residual interest</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9321"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9322"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323"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9324"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150 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9325"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326"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9327"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150 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9328"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329"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932A"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932B"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32C"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932D"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217 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932E"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32F"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9330"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217 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9331" w14:textId="77777777" w:rsidR="00D7560A" w:rsidRDefault="00D7560A">
            <w:pPr>
              <w:widowControl/>
              <w:jc w:val="right"/>
              <w:rPr>
                <w:rFonts w:ascii="Times New Roman" w:eastAsia="宋体" w:hAnsi="宋体" w:cs="宋体"/>
                <w:kern w:val="0"/>
                <w:sz w:val="24"/>
              </w:rPr>
            </w:pPr>
          </w:p>
        </w:tc>
      </w:tr>
      <w:tr w:rsidR="00D7560A" w14:paraId="59E4934B" w14:textId="77777777">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59E49333"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Financing receivables, net</w:t>
            </w: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59E49334"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FFFFFF"/>
            <w:tcMar>
              <w:top w:w="40" w:type="dxa"/>
              <w:left w:w="0" w:type="dxa"/>
              <w:bottom w:w="40" w:type="dxa"/>
              <w:right w:w="0" w:type="dxa"/>
            </w:tcMar>
            <w:vAlign w:val="bottom"/>
          </w:tcPr>
          <w:p w14:paraId="59E49335"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614 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59E49336"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9337"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59E49338"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FFFFFF"/>
            <w:tcMar>
              <w:top w:w="40" w:type="dxa"/>
              <w:left w:w="0" w:type="dxa"/>
              <w:bottom w:w="40" w:type="dxa"/>
              <w:right w:w="0" w:type="dxa"/>
            </w:tcMar>
            <w:vAlign w:val="bottom"/>
          </w:tcPr>
          <w:p w14:paraId="59E49339"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9,696 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59E4933A"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933B"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59E4933C"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FFFFFF"/>
            <w:tcMar>
              <w:top w:w="40" w:type="dxa"/>
              <w:left w:w="0" w:type="dxa"/>
              <w:bottom w:w="40" w:type="dxa"/>
              <w:right w:w="0" w:type="dxa"/>
            </w:tcMar>
            <w:vAlign w:val="bottom"/>
          </w:tcPr>
          <w:p w14:paraId="59E4933D"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10,310 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59E4933E"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933F"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59E49340"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FFFFFF"/>
            <w:tcMar>
              <w:top w:w="40" w:type="dxa"/>
              <w:left w:w="0" w:type="dxa"/>
              <w:bottom w:w="40" w:type="dxa"/>
              <w:right w:w="0" w:type="dxa"/>
            </w:tcMar>
            <w:vAlign w:val="bottom"/>
          </w:tcPr>
          <w:p w14:paraId="59E49341"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648 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59E49342"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9343"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59E49344"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FFFFFF"/>
            <w:tcMar>
              <w:top w:w="40" w:type="dxa"/>
              <w:left w:w="0" w:type="dxa"/>
              <w:bottom w:w="40" w:type="dxa"/>
              <w:right w:w="0" w:type="dxa"/>
            </w:tcMar>
            <w:vAlign w:val="bottom"/>
          </w:tcPr>
          <w:p w14:paraId="59E49345"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9,963 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59E49346"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9347"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59E49348"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FFFFFF"/>
            <w:tcMar>
              <w:top w:w="40" w:type="dxa"/>
              <w:left w:w="0" w:type="dxa"/>
              <w:bottom w:w="40" w:type="dxa"/>
              <w:right w:w="0" w:type="dxa"/>
            </w:tcMar>
            <w:vAlign w:val="bottom"/>
          </w:tcPr>
          <w:p w14:paraId="59E49349"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10,611 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59E4934A" w14:textId="77777777" w:rsidR="00D7560A" w:rsidRDefault="00D7560A">
            <w:pPr>
              <w:widowControl/>
              <w:jc w:val="right"/>
              <w:rPr>
                <w:rFonts w:ascii="Times New Roman" w:eastAsia="宋体" w:hAnsi="宋体" w:cs="宋体"/>
                <w:kern w:val="0"/>
                <w:sz w:val="24"/>
              </w:rPr>
            </w:pPr>
          </w:p>
        </w:tc>
      </w:tr>
      <w:tr w:rsidR="00D7560A" w14:paraId="59E49364" w14:textId="77777777">
        <w:tc>
          <w:tcPr>
            <w:tcW w:w="0" w:type="auto"/>
            <w:gridSpan w:val="3"/>
            <w:tcBorders>
              <w:top w:val="nil"/>
              <w:left w:val="nil"/>
              <w:bottom w:val="nil"/>
              <w:right w:val="nil"/>
            </w:tcBorders>
            <w:shd w:val="clear" w:color="auto" w:fill="CCEEFF"/>
            <w:tcMar>
              <w:top w:w="40" w:type="dxa"/>
              <w:left w:w="245" w:type="dxa"/>
              <w:bottom w:w="40" w:type="dxa"/>
              <w:right w:w="20" w:type="dxa"/>
            </w:tcMar>
            <w:vAlign w:val="bottom"/>
          </w:tcPr>
          <w:p w14:paraId="59E4934C"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Short-term</w:t>
            </w:r>
          </w:p>
        </w:tc>
        <w:tc>
          <w:tcPr>
            <w:tcW w:w="0" w:type="auto"/>
            <w:tcBorders>
              <w:top w:val="double" w:sz="2" w:space="0" w:color="000000"/>
              <w:left w:val="nil"/>
              <w:bottom w:val="nil"/>
              <w:right w:val="nil"/>
            </w:tcBorders>
            <w:shd w:val="clear" w:color="auto" w:fill="CCEEFF"/>
            <w:tcMar>
              <w:top w:w="40" w:type="dxa"/>
              <w:left w:w="20" w:type="dxa"/>
              <w:bottom w:w="40" w:type="dxa"/>
              <w:right w:w="0" w:type="dxa"/>
            </w:tcMar>
            <w:vAlign w:val="bottom"/>
          </w:tcPr>
          <w:p w14:paraId="59E4934D"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double" w:sz="2" w:space="0" w:color="000000"/>
              <w:left w:val="nil"/>
              <w:bottom w:val="nil"/>
              <w:right w:val="nil"/>
            </w:tcBorders>
            <w:shd w:val="clear" w:color="auto" w:fill="CCEEFF"/>
            <w:tcMar>
              <w:top w:w="40" w:type="dxa"/>
              <w:left w:w="0" w:type="dxa"/>
              <w:bottom w:w="40" w:type="dxa"/>
              <w:right w:w="0" w:type="dxa"/>
            </w:tcMar>
            <w:vAlign w:val="bottom"/>
          </w:tcPr>
          <w:p w14:paraId="59E4934E"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614 </w:t>
            </w:r>
          </w:p>
        </w:tc>
        <w:tc>
          <w:tcPr>
            <w:tcW w:w="0" w:type="auto"/>
            <w:tcBorders>
              <w:top w:val="double" w:sz="2" w:space="0" w:color="000000"/>
              <w:left w:val="nil"/>
              <w:bottom w:val="nil"/>
              <w:right w:val="nil"/>
            </w:tcBorders>
            <w:shd w:val="clear" w:color="auto" w:fill="CCEEFF"/>
            <w:tcMar>
              <w:top w:w="40" w:type="dxa"/>
              <w:left w:w="0" w:type="dxa"/>
              <w:bottom w:w="40" w:type="dxa"/>
              <w:right w:w="20" w:type="dxa"/>
            </w:tcMar>
            <w:vAlign w:val="bottom"/>
          </w:tcPr>
          <w:p w14:paraId="59E4934F"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350" w14:textId="77777777" w:rsidR="00D7560A" w:rsidRDefault="00D7560A">
            <w:pPr>
              <w:widowControl/>
              <w:jc w:val="left"/>
              <w:rPr>
                <w:rFonts w:ascii="Times New Roman" w:eastAsia="宋体" w:hAnsi="宋体" w:cs="宋体"/>
                <w:kern w:val="0"/>
                <w:sz w:val="24"/>
              </w:rPr>
            </w:pPr>
          </w:p>
        </w:tc>
        <w:tc>
          <w:tcPr>
            <w:tcW w:w="0" w:type="auto"/>
            <w:tcBorders>
              <w:top w:val="double" w:sz="2" w:space="0" w:color="000000"/>
              <w:left w:val="nil"/>
              <w:bottom w:val="nil"/>
              <w:right w:val="nil"/>
            </w:tcBorders>
            <w:shd w:val="clear" w:color="auto" w:fill="CCEEFF"/>
            <w:tcMar>
              <w:top w:w="40" w:type="dxa"/>
              <w:left w:w="20" w:type="dxa"/>
              <w:bottom w:w="40" w:type="dxa"/>
              <w:right w:w="0" w:type="dxa"/>
            </w:tcMar>
            <w:vAlign w:val="bottom"/>
          </w:tcPr>
          <w:p w14:paraId="59E49351"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double" w:sz="2" w:space="0" w:color="000000"/>
              <w:left w:val="nil"/>
              <w:bottom w:val="nil"/>
              <w:right w:val="nil"/>
            </w:tcBorders>
            <w:shd w:val="clear" w:color="auto" w:fill="CCEEFF"/>
            <w:tcMar>
              <w:top w:w="40" w:type="dxa"/>
              <w:left w:w="0" w:type="dxa"/>
              <w:bottom w:w="40" w:type="dxa"/>
              <w:right w:w="0" w:type="dxa"/>
            </w:tcMar>
            <w:vAlign w:val="bottom"/>
          </w:tcPr>
          <w:p w14:paraId="59E49352"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4,246 </w:t>
            </w:r>
          </w:p>
        </w:tc>
        <w:tc>
          <w:tcPr>
            <w:tcW w:w="0" w:type="auto"/>
            <w:tcBorders>
              <w:top w:val="double" w:sz="2" w:space="0" w:color="000000"/>
              <w:left w:val="nil"/>
              <w:bottom w:val="nil"/>
              <w:right w:val="nil"/>
            </w:tcBorders>
            <w:shd w:val="clear" w:color="auto" w:fill="CCEEFF"/>
            <w:tcMar>
              <w:top w:w="40" w:type="dxa"/>
              <w:left w:w="0" w:type="dxa"/>
              <w:bottom w:w="40" w:type="dxa"/>
              <w:right w:w="20" w:type="dxa"/>
            </w:tcMar>
            <w:vAlign w:val="bottom"/>
          </w:tcPr>
          <w:p w14:paraId="59E49353"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354" w14:textId="77777777" w:rsidR="00D7560A" w:rsidRDefault="00D7560A">
            <w:pPr>
              <w:widowControl/>
              <w:jc w:val="left"/>
              <w:rPr>
                <w:rFonts w:ascii="Times New Roman" w:eastAsia="宋体" w:hAnsi="宋体" w:cs="宋体"/>
                <w:kern w:val="0"/>
                <w:sz w:val="24"/>
              </w:rPr>
            </w:pPr>
          </w:p>
        </w:tc>
        <w:tc>
          <w:tcPr>
            <w:tcW w:w="0" w:type="auto"/>
            <w:tcBorders>
              <w:top w:val="double" w:sz="2" w:space="0" w:color="000000"/>
              <w:left w:val="nil"/>
              <w:bottom w:val="nil"/>
              <w:right w:val="nil"/>
            </w:tcBorders>
            <w:shd w:val="clear" w:color="auto" w:fill="CCEEFF"/>
            <w:tcMar>
              <w:top w:w="40" w:type="dxa"/>
              <w:left w:w="20" w:type="dxa"/>
              <w:bottom w:w="40" w:type="dxa"/>
              <w:right w:w="0" w:type="dxa"/>
            </w:tcMar>
            <w:vAlign w:val="bottom"/>
          </w:tcPr>
          <w:p w14:paraId="59E49355"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double" w:sz="2" w:space="0" w:color="000000"/>
              <w:left w:val="nil"/>
              <w:bottom w:val="nil"/>
              <w:right w:val="nil"/>
            </w:tcBorders>
            <w:shd w:val="clear" w:color="auto" w:fill="CCEEFF"/>
            <w:tcMar>
              <w:top w:w="40" w:type="dxa"/>
              <w:left w:w="0" w:type="dxa"/>
              <w:bottom w:w="40" w:type="dxa"/>
              <w:right w:w="0" w:type="dxa"/>
            </w:tcMar>
            <w:vAlign w:val="bottom"/>
          </w:tcPr>
          <w:p w14:paraId="59E49356"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4,860 </w:t>
            </w:r>
          </w:p>
        </w:tc>
        <w:tc>
          <w:tcPr>
            <w:tcW w:w="0" w:type="auto"/>
            <w:tcBorders>
              <w:top w:val="double" w:sz="2" w:space="0" w:color="000000"/>
              <w:left w:val="nil"/>
              <w:bottom w:val="nil"/>
              <w:right w:val="nil"/>
            </w:tcBorders>
            <w:shd w:val="clear" w:color="auto" w:fill="CCEEFF"/>
            <w:tcMar>
              <w:top w:w="40" w:type="dxa"/>
              <w:left w:w="0" w:type="dxa"/>
              <w:bottom w:w="40" w:type="dxa"/>
              <w:right w:w="20" w:type="dxa"/>
            </w:tcMar>
            <w:vAlign w:val="bottom"/>
          </w:tcPr>
          <w:p w14:paraId="59E49357"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358" w14:textId="77777777" w:rsidR="00D7560A" w:rsidRDefault="00D7560A">
            <w:pPr>
              <w:widowControl/>
              <w:jc w:val="left"/>
              <w:rPr>
                <w:rFonts w:ascii="Times New Roman" w:eastAsia="宋体" w:hAnsi="宋体" w:cs="宋体"/>
                <w:kern w:val="0"/>
                <w:sz w:val="24"/>
              </w:rPr>
            </w:pPr>
          </w:p>
        </w:tc>
        <w:tc>
          <w:tcPr>
            <w:tcW w:w="0" w:type="auto"/>
            <w:tcBorders>
              <w:top w:val="double" w:sz="2" w:space="0" w:color="000000"/>
              <w:left w:val="nil"/>
              <w:bottom w:val="nil"/>
              <w:right w:val="nil"/>
            </w:tcBorders>
            <w:shd w:val="clear" w:color="auto" w:fill="CCEEFF"/>
            <w:tcMar>
              <w:top w:w="40" w:type="dxa"/>
              <w:left w:w="20" w:type="dxa"/>
              <w:bottom w:w="40" w:type="dxa"/>
              <w:right w:w="0" w:type="dxa"/>
            </w:tcMar>
            <w:vAlign w:val="bottom"/>
          </w:tcPr>
          <w:p w14:paraId="59E49359"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double" w:sz="2" w:space="0" w:color="000000"/>
              <w:left w:val="nil"/>
              <w:bottom w:val="nil"/>
              <w:right w:val="nil"/>
            </w:tcBorders>
            <w:shd w:val="clear" w:color="auto" w:fill="CCEEFF"/>
            <w:tcMar>
              <w:top w:w="40" w:type="dxa"/>
              <w:left w:w="0" w:type="dxa"/>
              <w:bottom w:w="40" w:type="dxa"/>
              <w:right w:w="0" w:type="dxa"/>
            </w:tcMar>
            <w:vAlign w:val="bottom"/>
          </w:tcPr>
          <w:p w14:paraId="59E4935A"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648 </w:t>
            </w:r>
          </w:p>
        </w:tc>
        <w:tc>
          <w:tcPr>
            <w:tcW w:w="0" w:type="auto"/>
            <w:tcBorders>
              <w:top w:val="double" w:sz="2" w:space="0" w:color="000000"/>
              <w:left w:val="nil"/>
              <w:bottom w:val="nil"/>
              <w:right w:val="nil"/>
            </w:tcBorders>
            <w:shd w:val="clear" w:color="auto" w:fill="CCEEFF"/>
            <w:tcMar>
              <w:top w:w="40" w:type="dxa"/>
              <w:left w:w="0" w:type="dxa"/>
              <w:bottom w:w="40" w:type="dxa"/>
              <w:right w:w="20" w:type="dxa"/>
            </w:tcMar>
            <w:vAlign w:val="bottom"/>
          </w:tcPr>
          <w:p w14:paraId="59E4935B"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35C" w14:textId="77777777" w:rsidR="00D7560A" w:rsidRDefault="00D7560A">
            <w:pPr>
              <w:widowControl/>
              <w:jc w:val="left"/>
              <w:rPr>
                <w:rFonts w:ascii="Times New Roman" w:eastAsia="宋体" w:hAnsi="宋体" w:cs="宋体"/>
                <w:kern w:val="0"/>
                <w:sz w:val="24"/>
              </w:rPr>
            </w:pPr>
          </w:p>
        </w:tc>
        <w:tc>
          <w:tcPr>
            <w:tcW w:w="0" w:type="auto"/>
            <w:tcBorders>
              <w:top w:val="double" w:sz="2" w:space="0" w:color="000000"/>
              <w:left w:val="nil"/>
              <w:bottom w:val="nil"/>
              <w:right w:val="nil"/>
            </w:tcBorders>
            <w:shd w:val="clear" w:color="auto" w:fill="CCEEFF"/>
            <w:tcMar>
              <w:top w:w="40" w:type="dxa"/>
              <w:left w:w="20" w:type="dxa"/>
              <w:bottom w:w="40" w:type="dxa"/>
              <w:right w:w="0" w:type="dxa"/>
            </w:tcMar>
            <w:vAlign w:val="bottom"/>
          </w:tcPr>
          <w:p w14:paraId="59E4935D"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double" w:sz="2" w:space="0" w:color="000000"/>
              <w:left w:val="nil"/>
              <w:bottom w:val="nil"/>
              <w:right w:val="nil"/>
            </w:tcBorders>
            <w:shd w:val="clear" w:color="auto" w:fill="CCEEFF"/>
            <w:tcMar>
              <w:top w:w="40" w:type="dxa"/>
              <w:left w:w="0" w:type="dxa"/>
              <w:bottom w:w="40" w:type="dxa"/>
              <w:right w:w="0" w:type="dxa"/>
            </w:tcMar>
            <w:vAlign w:val="bottom"/>
          </w:tcPr>
          <w:p w14:paraId="59E4935E"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4,441 </w:t>
            </w:r>
          </w:p>
        </w:tc>
        <w:tc>
          <w:tcPr>
            <w:tcW w:w="0" w:type="auto"/>
            <w:tcBorders>
              <w:top w:val="double" w:sz="2" w:space="0" w:color="000000"/>
              <w:left w:val="nil"/>
              <w:bottom w:val="nil"/>
              <w:right w:val="nil"/>
            </w:tcBorders>
            <w:shd w:val="clear" w:color="auto" w:fill="CCEEFF"/>
            <w:tcMar>
              <w:top w:w="40" w:type="dxa"/>
              <w:left w:w="0" w:type="dxa"/>
              <w:bottom w:w="40" w:type="dxa"/>
              <w:right w:w="20" w:type="dxa"/>
            </w:tcMar>
            <w:vAlign w:val="bottom"/>
          </w:tcPr>
          <w:p w14:paraId="59E4935F"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360" w14:textId="77777777" w:rsidR="00D7560A" w:rsidRDefault="00D7560A">
            <w:pPr>
              <w:widowControl/>
              <w:jc w:val="left"/>
              <w:rPr>
                <w:rFonts w:ascii="Times New Roman" w:eastAsia="宋体" w:hAnsi="宋体" w:cs="宋体"/>
                <w:kern w:val="0"/>
                <w:sz w:val="24"/>
              </w:rPr>
            </w:pPr>
          </w:p>
        </w:tc>
        <w:tc>
          <w:tcPr>
            <w:tcW w:w="0" w:type="auto"/>
            <w:tcBorders>
              <w:top w:val="double" w:sz="2" w:space="0" w:color="000000"/>
              <w:left w:val="nil"/>
              <w:bottom w:val="nil"/>
              <w:right w:val="nil"/>
            </w:tcBorders>
            <w:shd w:val="clear" w:color="auto" w:fill="CCEEFF"/>
            <w:tcMar>
              <w:top w:w="40" w:type="dxa"/>
              <w:left w:w="20" w:type="dxa"/>
              <w:bottom w:w="40" w:type="dxa"/>
              <w:right w:w="0" w:type="dxa"/>
            </w:tcMar>
            <w:vAlign w:val="bottom"/>
          </w:tcPr>
          <w:p w14:paraId="59E49361"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double" w:sz="2" w:space="0" w:color="000000"/>
              <w:left w:val="nil"/>
              <w:bottom w:val="nil"/>
              <w:right w:val="nil"/>
            </w:tcBorders>
            <w:shd w:val="clear" w:color="auto" w:fill="CCEEFF"/>
            <w:tcMar>
              <w:top w:w="40" w:type="dxa"/>
              <w:left w:w="0" w:type="dxa"/>
              <w:bottom w:w="40" w:type="dxa"/>
              <w:right w:w="0" w:type="dxa"/>
            </w:tcMar>
            <w:vAlign w:val="bottom"/>
          </w:tcPr>
          <w:p w14:paraId="59E49362"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5,089 </w:t>
            </w:r>
          </w:p>
        </w:tc>
        <w:tc>
          <w:tcPr>
            <w:tcW w:w="0" w:type="auto"/>
            <w:tcBorders>
              <w:top w:val="double" w:sz="2" w:space="0" w:color="000000"/>
              <w:left w:val="nil"/>
              <w:bottom w:val="nil"/>
              <w:right w:val="nil"/>
            </w:tcBorders>
            <w:shd w:val="clear" w:color="auto" w:fill="CCEEFF"/>
            <w:tcMar>
              <w:top w:w="40" w:type="dxa"/>
              <w:left w:w="0" w:type="dxa"/>
              <w:bottom w:w="40" w:type="dxa"/>
              <w:right w:w="20" w:type="dxa"/>
            </w:tcMar>
            <w:vAlign w:val="bottom"/>
          </w:tcPr>
          <w:p w14:paraId="59E49363" w14:textId="77777777" w:rsidR="00D7560A" w:rsidRDefault="00D7560A">
            <w:pPr>
              <w:widowControl/>
              <w:jc w:val="right"/>
              <w:rPr>
                <w:rFonts w:ascii="Times New Roman" w:eastAsia="宋体" w:hAnsi="宋体" w:cs="宋体"/>
                <w:kern w:val="0"/>
                <w:sz w:val="24"/>
              </w:rPr>
            </w:pPr>
          </w:p>
        </w:tc>
      </w:tr>
      <w:tr w:rsidR="00D7560A" w14:paraId="59E4937D" w14:textId="77777777">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59E49365"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Long-term</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9E49366"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9E49367"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9368"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9369"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9E4936A"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9E4936B"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5,450 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936C"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936D"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9E4936E"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9E4936F"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5,450 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9370"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9371"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9E49372"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9E49373"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9374"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9375"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9E49376"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9E49377"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5,522 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9378"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9379"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9E4937A"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9E4937B"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5,522 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937C" w14:textId="77777777" w:rsidR="00D7560A" w:rsidRDefault="00D7560A">
            <w:pPr>
              <w:widowControl/>
              <w:jc w:val="right"/>
              <w:rPr>
                <w:rFonts w:ascii="Times New Roman" w:eastAsia="宋体" w:hAnsi="宋体" w:cs="宋体"/>
                <w:kern w:val="0"/>
                <w:sz w:val="24"/>
              </w:rPr>
            </w:pPr>
          </w:p>
        </w:tc>
      </w:tr>
    </w:tbl>
    <w:p w14:paraId="59E4937E"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____________________</w:t>
      </w:r>
    </w:p>
    <w:p w14:paraId="59E4937F" w14:textId="77777777" w:rsidR="00D7560A" w:rsidRDefault="001E3CAB">
      <w:pPr>
        <w:widowControl/>
        <w:ind w:left="360" w:hanging="36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(a)    Customer receivables, gross include amounts due from customers under revolving loans, fixed-term loans, fixed-term sales-type or direct financing leases, and accrued interest.</w:t>
      </w:r>
    </w:p>
    <w:p w14:paraId="59E49380" w14:textId="77777777" w:rsidR="00D7560A" w:rsidRDefault="001E3CAB">
      <w:pPr>
        <w:widowControl/>
        <w:ind w:left="360" w:hanging="360"/>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9381"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The following table presents the change</w:t>
      </w:r>
      <w:r>
        <w:rPr>
          <w:rFonts w:ascii="Times New Roman" w:eastAsia="宋体" w:hAnsi="Times New Roman" w:cs="Times New Roman"/>
          <w:color w:val="000000"/>
          <w:kern w:val="0"/>
          <w:sz w:val="20"/>
          <w:szCs w:val="20"/>
          <w:lang w:bidi="ar"/>
        </w:rPr>
        <w:t>s in allowance for financing receivable losses for the periods indicated:</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8"/>
        <w:gridCol w:w="2405"/>
        <w:gridCol w:w="37"/>
        <w:gridCol w:w="121"/>
        <w:gridCol w:w="800"/>
        <w:gridCol w:w="36"/>
        <w:gridCol w:w="36"/>
        <w:gridCol w:w="36"/>
        <w:gridCol w:w="36"/>
        <w:gridCol w:w="121"/>
        <w:gridCol w:w="889"/>
        <w:gridCol w:w="36"/>
        <w:gridCol w:w="36"/>
        <w:gridCol w:w="36"/>
        <w:gridCol w:w="36"/>
        <w:gridCol w:w="120"/>
        <w:gridCol w:w="497"/>
        <w:gridCol w:w="36"/>
        <w:gridCol w:w="36"/>
        <w:gridCol w:w="36"/>
        <w:gridCol w:w="36"/>
        <w:gridCol w:w="121"/>
        <w:gridCol w:w="800"/>
        <w:gridCol w:w="36"/>
        <w:gridCol w:w="36"/>
        <w:gridCol w:w="36"/>
        <w:gridCol w:w="36"/>
        <w:gridCol w:w="121"/>
        <w:gridCol w:w="889"/>
        <w:gridCol w:w="36"/>
        <w:gridCol w:w="36"/>
        <w:gridCol w:w="36"/>
        <w:gridCol w:w="36"/>
        <w:gridCol w:w="120"/>
        <w:gridCol w:w="501"/>
        <w:gridCol w:w="36"/>
      </w:tblGrid>
      <w:tr w:rsidR="00D7560A" w14:paraId="59E493A6" w14:textId="77777777">
        <w:tc>
          <w:tcPr>
            <w:tcW w:w="50" w:type="pct"/>
            <w:tcBorders>
              <w:top w:val="nil"/>
              <w:left w:val="nil"/>
              <w:bottom w:val="nil"/>
              <w:right w:val="nil"/>
            </w:tcBorders>
            <w:shd w:val="clear" w:color="auto" w:fill="auto"/>
            <w:vAlign w:val="bottom"/>
          </w:tcPr>
          <w:p w14:paraId="59E49382" w14:textId="77777777" w:rsidR="00D7560A" w:rsidRDefault="00D7560A">
            <w:pPr>
              <w:widowControl/>
              <w:jc w:val="left"/>
              <w:rPr>
                <w:rFonts w:ascii="Times New Roman" w:eastAsia="宋体" w:hAnsi="宋体" w:cs="宋体"/>
                <w:kern w:val="0"/>
                <w:sz w:val="24"/>
              </w:rPr>
            </w:pPr>
          </w:p>
        </w:tc>
        <w:tc>
          <w:tcPr>
            <w:tcW w:w="1728" w:type="pct"/>
            <w:tcBorders>
              <w:top w:val="nil"/>
              <w:left w:val="nil"/>
              <w:bottom w:val="nil"/>
              <w:right w:val="nil"/>
            </w:tcBorders>
            <w:shd w:val="clear" w:color="auto" w:fill="auto"/>
            <w:vAlign w:val="bottom"/>
          </w:tcPr>
          <w:p w14:paraId="59E49383"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384"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9385" w14:textId="77777777" w:rsidR="00D7560A" w:rsidRDefault="00D7560A">
            <w:pPr>
              <w:widowControl/>
              <w:jc w:val="left"/>
              <w:rPr>
                <w:rFonts w:ascii="Times New Roman" w:eastAsia="宋体" w:hAnsi="宋体" w:cs="宋体"/>
                <w:kern w:val="0"/>
                <w:sz w:val="24"/>
              </w:rPr>
            </w:pPr>
          </w:p>
        </w:tc>
        <w:tc>
          <w:tcPr>
            <w:tcW w:w="455" w:type="pct"/>
            <w:tcBorders>
              <w:top w:val="nil"/>
              <w:left w:val="nil"/>
              <w:bottom w:val="nil"/>
              <w:right w:val="nil"/>
            </w:tcBorders>
            <w:shd w:val="clear" w:color="auto" w:fill="auto"/>
            <w:vAlign w:val="bottom"/>
          </w:tcPr>
          <w:p w14:paraId="59E49386"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387"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388" w14:textId="77777777" w:rsidR="00D7560A" w:rsidRDefault="00D7560A">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59E49389"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38A"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938B" w14:textId="77777777" w:rsidR="00D7560A" w:rsidRDefault="00D7560A">
            <w:pPr>
              <w:widowControl/>
              <w:jc w:val="left"/>
              <w:rPr>
                <w:rFonts w:ascii="Times New Roman" w:eastAsia="宋体" w:hAnsi="宋体" w:cs="宋体"/>
                <w:kern w:val="0"/>
                <w:sz w:val="24"/>
              </w:rPr>
            </w:pPr>
          </w:p>
        </w:tc>
        <w:tc>
          <w:tcPr>
            <w:tcW w:w="455" w:type="pct"/>
            <w:tcBorders>
              <w:top w:val="nil"/>
              <w:left w:val="nil"/>
              <w:bottom w:val="nil"/>
              <w:right w:val="nil"/>
            </w:tcBorders>
            <w:shd w:val="clear" w:color="auto" w:fill="auto"/>
            <w:vAlign w:val="bottom"/>
          </w:tcPr>
          <w:p w14:paraId="59E4938C"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38D"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38E" w14:textId="77777777" w:rsidR="00D7560A" w:rsidRDefault="00D7560A">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59E4938F"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390"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9391" w14:textId="77777777" w:rsidR="00D7560A" w:rsidRDefault="00D7560A">
            <w:pPr>
              <w:widowControl/>
              <w:jc w:val="left"/>
              <w:rPr>
                <w:rFonts w:ascii="Times New Roman" w:eastAsia="宋体" w:hAnsi="宋体" w:cs="宋体"/>
                <w:kern w:val="0"/>
                <w:sz w:val="24"/>
              </w:rPr>
            </w:pPr>
          </w:p>
        </w:tc>
        <w:tc>
          <w:tcPr>
            <w:tcW w:w="455" w:type="pct"/>
            <w:tcBorders>
              <w:top w:val="nil"/>
              <w:left w:val="nil"/>
              <w:bottom w:val="nil"/>
              <w:right w:val="nil"/>
            </w:tcBorders>
            <w:shd w:val="clear" w:color="auto" w:fill="auto"/>
            <w:vAlign w:val="bottom"/>
          </w:tcPr>
          <w:p w14:paraId="59E49392"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393"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394" w14:textId="77777777" w:rsidR="00D7560A" w:rsidRDefault="00D7560A">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59E49395"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396"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9397" w14:textId="77777777" w:rsidR="00D7560A" w:rsidRDefault="00D7560A">
            <w:pPr>
              <w:widowControl/>
              <w:jc w:val="left"/>
              <w:rPr>
                <w:rFonts w:ascii="Times New Roman" w:eastAsia="宋体" w:hAnsi="宋体" w:cs="宋体"/>
                <w:kern w:val="0"/>
                <w:sz w:val="24"/>
              </w:rPr>
            </w:pPr>
          </w:p>
        </w:tc>
        <w:tc>
          <w:tcPr>
            <w:tcW w:w="455" w:type="pct"/>
            <w:tcBorders>
              <w:top w:val="nil"/>
              <w:left w:val="nil"/>
              <w:bottom w:val="nil"/>
              <w:right w:val="nil"/>
            </w:tcBorders>
            <w:shd w:val="clear" w:color="auto" w:fill="auto"/>
            <w:vAlign w:val="bottom"/>
          </w:tcPr>
          <w:p w14:paraId="59E49398"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399"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39A" w14:textId="77777777" w:rsidR="00D7560A" w:rsidRDefault="00D7560A">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59E4939B"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39C"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939D" w14:textId="77777777" w:rsidR="00D7560A" w:rsidRDefault="00D7560A">
            <w:pPr>
              <w:widowControl/>
              <w:jc w:val="left"/>
              <w:rPr>
                <w:rFonts w:ascii="Times New Roman" w:eastAsia="宋体" w:hAnsi="宋体" w:cs="宋体"/>
                <w:kern w:val="0"/>
                <w:sz w:val="24"/>
              </w:rPr>
            </w:pPr>
          </w:p>
        </w:tc>
        <w:tc>
          <w:tcPr>
            <w:tcW w:w="455" w:type="pct"/>
            <w:tcBorders>
              <w:top w:val="nil"/>
              <w:left w:val="nil"/>
              <w:bottom w:val="nil"/>
              <w:right w:val="nil"/>
            </w:tcBorders>
            <w:shd w:val="clear" w:color="auto" w:fill="auto"/>
            <w:vAlign w:val="bottom"/>
          </w:tcPr>
          <w:p w14:paraId="59E4939E"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39F"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3A0" w14:textId="77777777" w:rsidR="00D7560A" w:rsidRDefault="00D7560A">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59E493A1"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3A2"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93A3" w14:textId="77777777" w:rsidR="00D7560A" w:rsidRDefault="00D7560A">
            <w:pPr>
              <w:widowControl/>
              <w:jc w:val="left"/>
              <w:rPr>
                <w:rFonts w:ascii="Times New Roman" w:eastAsia="宋体" w:hAnsi="宋体" w:cs="宋体"/>
                <w:kern w:val="0"/>
                <w:sz w:val="24"/>
              </w:rPr>
            </w:pPr>
          </w:p>
        </w:tc>
        <w:tc>
          <w:tcPr>
            <w:tcW w:w="457" w:type="pct"/>
            <w:tcBorders>
              <w:top w:val="nil"/>
              <w:left w:val="nil"/>
              <w:bottom w:val="nil"/>
              <w:right w:val="nil"/>
            </w:tcBorders>
            <w:shd w:val="clear" w:color="auto" w:fill="auto"/>
            <w:vAlign w:val="bottom"/>
          </w:tcPr>
          <w:p w14:paraId="59E493A4"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3A5" w14:textId="77777777" w:rsidR="00D7560A" w:rsidRDefault="00D7560A">
            <w:pPr>
              <w:widowControl/>
              <w:jc w:val="left"/>
              <w:rPr>
                <w:rFonts w:ascii="Times New Roman" w:eastAsia="宋体" w:hAnsi="宋体" w:cs="宋体"/>
                <w:kern w:val="0"/>
                <w:sz w:val="24"/>
              </w:rPr>
            </w:pPr>
          </w:p>
        </w:tc>
      </w:tr>
      <w:tr w:rsidR="00D7560A" w14:paraId="59E493A9"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93A7" w14:textId="77777777" w:rsidR="00D7560A" w:rsidRDefault="00D7560A">
            <w:pPr>
              <w:widowControl/>
              <w:jc w:val="left"/>
              <w:rPr>
                <w:rFonts w:ascii="Times New Roman" w:eastAsia="宋体" w:hAnsi="宋体" w:cs="宋体"/>
                <w:kern w:val="0"/>
                <w:sz w:val="24"/>
              </w:rPr>
            </w:pPr>
          </w:p>
        </w:tc>
        <w:tc>
          <w:tcPr>
            <w:tcW w:w="0" w:type="auto"/>
            <w:gridSpan w:val="33"/>
            <w:tcBorders>
              <w:top w:val="nil"/>
              <w:left w:val="nil"/>
              <w:bottom w:val="single" w:sz="8" w:space="0" w:color="000000"/>
              <w:right w:val="nil"/>
            </w:tcBorders>
            <w:shd w:val="clear" w:color="auto" w:fill="auto"/>
            <w:tcMar>
              <w:top w:w="40" w:type="dxa"/>
              <w:left w:w="20" w:type="dxa"/>
              <w:bottom w:w="40" w:type="dxa"/>
              <w:right w:w="20" w:type="dxa"/>
            </w:tcMar>
            <w:vAlign w:val="center"/>
          </w:tcPr>
          <w:p w14:paraId="59E493A8" w14:textId="77777777" w:rsidR="00D7560A" w:rsidRDefault="001E3CAB">
            <w:pPr>
              <w:widowControl/>
              <w:jc w:val="center"/>
              <w:textAlignment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Three Months Ended</w:t>
            </w:r>
          </w:p>
        </w:tc>
      </w:tr>
      <w:tr w:rsidR="00D7560A" w14:paraId="59E493AE"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93AA" w14:textId="77777777" w:rsidR="00D7560A" w:rsidRDefault="00D7560A">
            <w:pPr>
              <w:widowControl/>
              <w:jc w:val="left"/>
              <w:rPr>
                <w:rFonts w:ascii="Times New Roman" w:eastAsia="宋体" w:hAnsi="宋体" w:cs="宋体"/>
                <w:kern w:val="0"/>
                <w:sz w:val="24"/>
              </w:rPr>
            </w:pPr>
          </w:p>
        </w:tc>
        <w:tc>
          <w:tcPr>
            <w:tcW w:w="0" w:type="auto"/>
            <w:gridSpan w:val="15"/>
            <w:tcBorders>
              <w:top w:val="single" w:sz="8" w:space="0" w:color="000000"/>
              <w:left w:val="nil"/>
              <w:bottom w:val="nil"/>
              <w:right w:val="nil"/>
            </w:tcBorders>
            <w:shd w:val="clear" w:color="auto" w:fill="auto"/>
            <w:tcMar>
              <w:top w:w="40" w:type="dxa"/>
              <w:left w:w="20" w:type="dxa"/>
              <w:bottom w:w="40" w:type="dxa"/>
              <w:right w:w="20" w:type="dxa"/>
            </w:tcMar>
            <w:vAlign w:val="center"/>
          </w:tcPr>
          <w:p w14:paraId="59E493AB" w14:textId="77777777" w:rsidR="00D7560A" w:rsidRDefault="001E3CAB">
            <w:pPr>
              <w:widowControl/>
              <w:jc w:val="center"/>
              <w:textAlignment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29, 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59E493AC" w14:textId="77777777" w:rsidR="00D7560A" w:rsidRDefault="00D7560A">
            <w:pPr>
              <w:widowControl/>
              <w:jc w:val="left"/>
              <w:rPr>
                <w:rFonts w:ascii="Times New Roman" w:eastAsia="宋体" w:hAnsi="宋体" w:cs="宋体"/>
                <w:kern w:val="0"/>
                <w:sz w:val="24"/>
              </w:rPr>
            </w:pPr>
          </w:p>
        </w:tc>
        <w:tc>
          <w:tcPr>
            <w:tcW w:w="0" w:type="auto"/>
            <w:gridSpan w:val="15"/>
            <w:tcBorders>
              <w:top w:val="single" w:sz="8" w:space="0" w:color="000000"/>
              <w:left w:val="nil"/>
              <w:bottom w:val="nil"/>
              <w:right w:val="nil"/>
            </w:tcBorders>
            <w:shd w:val="clear" w:color="auto" w:fill="auto"/>
            <w:tcMar>
              <w:top w:w="40" w:type="dxa"/>
              <w:left w:w="20" w:type="dxa"/>
              <w:bottom w:w="40" w:type="dxa"/>
              <w:right w:w="20" w:type="dxa"/>
            </w:tcMar>
            <w:vAlign w:val="bottom"/>
          </w:tcPr>
          <w:p w14:paraId="59E493AD"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30, 2021</w:t>
            </w:r>
          </w:p>
        </w:tc>
      </w:tr>
      <w:tr w:rsidR="00D7560A" w14:paraId="59E493BB"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93AF"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center"/>
          </w:tcPr>
          <w:p w14:paraId="59E493B0" w14:textId="77777777" w:rsidR="00D7560A" w:rsidRDefault="001E3CAB">
            <w:pPr>
              <w:widowControl/>
              <w:jc w:val="center"/>
              <w:textAlignment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Revolving</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59E493B1"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center"/>
          </w:tcPr>
          <w:p w14:paraId="59E493B2" w14:textId="77777777" w:rsidR="00D7560A" w:rsidRDefault="001E3CAB">
            <w:pPr>
              <w:widowControl/>
              <w:jc w:val="center"/>
              <w:textAlignment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Fixed-term</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59E493B3"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center"/>
          </w:tcPr>
          <w:p w14:paraId="59E493B4" w14:textId="77777777" w:rsidR="00D7560A" w:rsidRDefault="001E3CAB">
            <w:pPr>
              <w:widowControl/>
              <w:jc w:val="center"/>
              <w:textAlignment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Total</w:t>
            </w: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59E493B5"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center"/>
          </w:tcPr>
          <w:p w14:paraId="59E493B6" w14:textId="77777777" w:rsidR="00D7560A" w:rsidRDefault="001E3CAB">
            <w:pPr>
              <w:widowControl/>
              <w:jc w:val="center"/>
              <w:textAlignment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Revolving</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59E493B7"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center"/>
          </w:tcPr>
          <w:p w14:paraId="59E493B8" w14:textId="77777777" w:rsidR="00D7560A" w:rsidRDefault="001E3CAB">
            <w:pPr>
              <w:widowControl/>
              <w:jc w:val="center"/>
              <w:textAlignment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Fixed-term</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59E493B9"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center"/>
          </w:tcPr>
          <w:p w14:paraId="59E493BA" w14:textId="77777777" w:rsidR="00D7560A" w:rsidRDefault="001E3CAB">
            <w:pPr>
              <w:widowControl/>
              <w:jc w:val="center"/>
              <w:textAlignment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Total</w:t>
            </w:r>
          </w:p>
        </w:tc>
      </w:tr>
      <w:tr w:rsidR="00D7560A" w14:paraId="59E493BE"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93BC" w14:textId="77777777" w:rsidR="00D7560A" w:rsidRDefault="00D7560A">
            <w:pPr>
              <w:widowControl/>
              <w:jc w:val="left"/>
              <w:rPr>
                <w:rFonts w:ascii="Times New Roman" w:eastAsia="宋体" w:hAnsi="宋体" w:cs="宋体"/>
                <w:kern w:val="0"/>
                <w:sz w:val="24"/>
              </w:rPr>
            </w:pPr>
          </w:p>
        </w:tc>
        <w:tc>
          <w:tcPr>
            <w:tcW w:w="0" w:type="auto"/>
            <w:gridSpan w:val="3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59E493BD"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(in millions)</w:t>
            </w:r>
          </w:p>
        </w:tc>
      </w:tr>
      <w:tr w:rsidR="00D7560A" w14:paraId="59E493CB"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9E493BF"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i/>
                <w:iCs/>
                <w:color w:val="000000"/>
                <w:kern w:val="0"/>
                <w:sz w:val="20"/>
                <w:szCs w:val="20"/>
                <w:lang w:bidi="ar"/>
              </w:rPr>
              <w:t>Allowance for financing receivable losses:</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3C0"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3C1"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3C2"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3C3"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3C4"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3C5"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3C6"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3C7"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3C8"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3C9"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3CA" w14:textId="77777777" w:rsidR="00D7560A" w:rsidRDefault="00D7560A">
            <w:pPr>
              <w:widowControl/>
              <w:jc w:val="left"/>
              <w:rPr>
                <w:rFonts w:ascii="Times New Roman" w:eastAsia="宋体" w:hAnsi="宋体" w:cs="宋体"/>
                <w:kern w:val="0"/>
                <w:sz w:val="24"/>
              </w:rPr>
            </w:pPr>
          </w:p>
        </w:tc>
      </w:tr>
      <w:tr w:rsidR="00D7560A" w14:paraId="59E493E4"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59E493CC"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Balances at beginning of period</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9E493CD"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9E493CE"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93CF"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93D0"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9E493D1"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9E493D2"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87 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93D3"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93D4"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9E493D5"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9E493D6"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181 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93D7"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93D8"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9E493D9"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9E493DA"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139 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93DB"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93DC"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9E493DD"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9E493DE"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177 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93DF"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93E0"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9E493E1"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9E493E2"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316 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93E3" w14:textId="77777777" w:rsidR="00D7560A" w:rsidRDefault="00D7560A">
            <w:pPr>
              <w:widowControl/>
              <w:jc w:val="right"/>
              <w:rPr>
                <w:rFonts w:ascii="Times New Roman" w:eastAsia="宋体" w:hAnsi="宋体" w:cs="宋体"/>
                <w:kern w:val="0"/>
                <w:sz w:val="24"/>
              </w:rPr>
            </w:pPr>
          </w:p>
        </w:tc>
      </w:tr>
      <w:tr w:rsidR="00D7560A" w14:paraId="59E493F1" w14:textId="77777777">
        <w:trPr>
          <w:hidden/>
        </w:trPr>
        <w:tc>
          <w:tcPr>
            <w:tcW w:w="0" w:type="auto"/>
            <w:gridSpan w:val="3"/>
            <w:tcBorders>
              <w:top w:val="nil"/>
              <w:left w:val="nil"/>
              <w:bottom w:val="nil"/>
              <w:right w:val="nil"/>
            </w:tcBorders>
            <w:shd w:val="clear" w:color="auto" w:fill="auto"/>
            <w:vAlign w:val="bottom"/>
          </w:tcPr>
          <w:p w14:paraId="59E493E5"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93E6"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93E7"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93E8"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93E9"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93EA"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93EB"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93EC"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93ED"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93EE"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93EF"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93F0" w14:textId="77777777" w:rsidR="00D7560A" w:rsidRDefault="00D7560A">
            <w:pPr>
              <w:widowControl/>
              <w:jc w:val="left"/>
              <w:rPr>
                <w:rFonts w:ascii="Times New Roman" w:eastAsia="宋体" w:hAnsi="宋体" w:cs="宋体"/>
                <w:vanish/>
                <w:kern w:val="0"/>
                <w:sz w:val="24"/>
              </w:rPr>
            </w:pPr>
          </w:p>
        </w:tc>
      </w:tr>
      <w:tr w:rsidR="00D7560A" w14:paraId="59E49404" w14:textId="77777777">
        <w:tc>
          <w:tcPr>
            <w:tcW w:w="0" w:type="auto"/>
            <w:gridSpan w:val="3"/>
            <w:tcBorders>
              <w:top w:val="nil"/>
              <w:left w:val="nil"/>
              <w:bottom w:val="nil"/>
              <w:right w:val="nil"/>
            </w:tcBorders>
            <w:shd w:val="clear" w:color="auto" w:fill="CCEEFF"/>
            <w:tcMar>
              <w:top w:w="40" w:type="dxa"/>
              <w:left w:w="155" w:type="dxa"/>
              <w:bottom w:w="40" w:type="dxa"/>
              <w:right w:w="20" w:type="dxa"/>
            </w:tcMar>
            <w:vAlign w:val="bottom"/>
          </w:tcPr>
          <w:p w14:paraId="59E493F2"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Charge-offs, net of recoveries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93F3"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(12)</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93F4"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3F5"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93F6"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93F7"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3F8"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93F9"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(14)</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93FA"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3FB"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93FC"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(10)</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93FD"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3FE"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93FF"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9400"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401"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9402"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(13)</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9403" w14:textId="77777777" w:rsidR="00D7560A" w:rsidRDefault="00D7560A">
            <w:pPr>
              <w:widowControl/>
              <w:jc w:val="right"/>
              <w:rPr>
                <w:rFonts w:ascii="Times New Roman" w:eastAsia="宋体" w:hAnsi="宋体" w:cs="宋体"/>
                <w:kern w:val="0"/>
                <w:sz w:val="24"/>
              </w:rPr>
            </w:pPr>
          </w:p>
        </w:tc>
      </w:tr>
      <w:tr w:rsidR="00D7560A" w14:paraId="59E49417" w14:textId="77777777">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59E49405"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Provision charged to income statement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9406"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9407"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9408"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9409"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940A"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940B"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940C"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940D"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940E"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940F"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9410"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9411"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9412"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9413"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9414"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9415"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(16)</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9416" w14:textId="77777777" w:rsidR="00D7560A" w:rsidRDefault="00D7560A">
            <w:pPr>
              <w:widowControl/>
              <w:jc w:val="right"/>
              <w:rPr>
                <w:rFonts w:ascii="Times New Roman" w:eastAsia="宋体" w:hAnsi="宋体" w:cs="宋体"/>
                <w:kern w:val="0"/>
                <w:sz w:val="24"/>
              </w:rPr>
            </w:pPr>
          </w:p>
        </w:tc>
      </w:tr>
      <w:tr w:rsidR="00D7560A" w14:paraId="59E49430"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9E49418"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Balances at end of period</w:t>
            </w: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59E49419"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59E4941A"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91 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59E4941B"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41C"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59E4941D"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59E4941E"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92 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59E4941F"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420"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59E49421"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59E49422"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183 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59E49423"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424"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59E49425"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59E49426"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126 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59E49427"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428"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59E49429"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59E4942A"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161 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59E4942B"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42C"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59E4942D"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59E4942E"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287 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59E4942F" w14:textId="77777777" w:rsidR="00D7560A" w:rsidRDefault="00D7560A">
            <w:pPr>
              <w:widowControl/>
              <w:jc w:val="right"/>
              <w:rPr>
                <w:rFonts w:ascii="Times New Roman" w:eastAsia="宋体" w:hAnsi="宋体" w:cs="宋体"/>
                <w:kern w:val="0"/>
                <w:sz w:val="24"/>
              </w:rPr>
            </w:pPr>
          </w:p>
        </w:tc>
      </w:tr>
    </w:tbl>
    <w:p w14:paraId="59E49431"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8"/>
        <w:gridCol w:w="2405"/>
        <w:gridCol w:w="37"/>
        <w:gridCol w:w="121"/>
        <w:gridCol w:w="800"/>
        <w:gridCol w:w="36"/>
        <w:gridCol w:w="36"/>
        <w:gridCol w:w="36"/>
        <w:gridCol w:w="36"/>
        <w:gridCol w:w="121"/>
        <w:gridCol w:w="889"/>
        <w:gridCol w:w="36"/>
        <w:gridCol w:w="36"/>
        <w:gridCol w:w="36"/>
        <w:gridCol w:w="36"/>
        <w:gridCol w:w="120"/>
        <w:gridCol w:w="497"/>
        <w:gridCol w:w="36"/>
        <w:gridCol w:w="36"/>
        <w:gridCol w:w="36"/>
        <w:gridCol w:w="36"/>
        <w:gridCol w:w="121"/>
        <w:gridCol w:w="800"/>
        <w:gridCol w:w="36"/>
        <w:gridCol w:w="36"/>
        <w:gridCol w:w="36"/>
        <w:gridCol w:w="36"/>
        <w:gridCol w:w="121"/>
        <w:gridCol w:w="889"/>
        <w:gridCol w:w="36"/>
        <w:gridCol w:w="36"/>
        <w:gridCol w:w="36"/>
        <w:gridCol w:w="36"/>
        <w:gridCol w:w="120"/>
        <w:gridCol w:w="501"/>
        <w:gridCol w:w="36"/>
      </w:tblGrid>
      <w:tr w:rsidR="00D7560A" w14:paraId="59E49456" w14:textId="77777777">
        <w:tc>
          <w:tcPr>
            <w:tcW w:w="50" w:type="pct"/>
            <w:tcBorders>
              <w:top w:val="nil"/>
              <w:left w:val="nil"/>
              <w:bottom w:val="nil"/>
              <w:right w:val="nil"/>
            </w:tcBorders>
            <w:shd w:val="clear" w:color="auto" w:fill="auto"/>
            <w:vAlign w:val="bottom"/>
          </w:tcPr>
          <w:p w14:paraId="59E49432" w14:textId="77777777" w:rsidR="00D7560A" w:rsidRDefault="00D7560A">
            <w:pPr>
              <w:widowControl/>
              <w:jc w:val="left"/>
              <w:rPr>
                <w:rFonts w:ascii="Times New Roman" w:eastAsia="宋体" w:hAnsi="宋体" w:cs="宋体"/>
                <w:kern w:val="0"/>
                <w:sz w:val="24"/>
              </w:rPr>
            </w:pPr>
          </w:p>
        </w:tc>
        <w:tc>
          <w:tcPr>
            <w:tcW w:w="1728" w:type="pct"/>
            <w:tcBorders>
              <w:top w:val="nil"/>
              <w:left w:val="nil"/>
              <w:bottom w:val="nil"/>
              <w:right w:val="nil"/>
            </w:tcBorders>
            <w:shd w:val="clear" w:color="auto" w:fill="auto"/>
            <w:vAlign w:val="bottom"/>
          </w:tcPr>
          <w:p w14:paraId="59E49433"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434"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9435" w14:textId="77777777" w:rsidR="00D7560A" w:rsidRDefault="00D7560A">
            <w:pPr>
              <w:widowControl/>
              <w:jc w:val="left"/>
              <w:rPr>
                <w:rFonts w:ascii="Times New Roman" w:eastAsia="宋体" w:hAnsi="宋体" w:cs="宋体"/>
                <w:kern w:val="0"/>
                <w:sz w:val="24"/>
              </w:rPr>
            </w:pPr>
          </w:p>
        </w:tc>
        <w:tc>
          <w:tcPr>
            <w:tcW w:w="455" w:type="pct"/>
            <w:tcBorders>
              <w:top w:val="nil"/>
              <w:left w:val="nil"/>
              <w:bottom w:val="nil"/>
              <w:right w:val="nil"/>
            </w:tcBorders>
            <w:shd w:val="clear" w:color="auto" w:fill="auto"/>
            <w:vAlign w:val="bottom"/>
          </w:tcPr>
          <w:p w14:paraId="59E49436"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437"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438" w14:textId="77777777" w:rsidR="00D7560A" w:rsidRDefault="00D7560A">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59E49439"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43A"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943B" w14:textId="77777777" w:rsidR="00D7560A" w:rsidRDefault="00D7560A">
            <w:pPr>
              <w:widowControl/>
              <w:jc w:val="left"/>
              <w:rPr>
                <w:rFonts w:ascii="Times New Roman" w:eastAsia="宋体" w:hAnsi="宋体" w:cs="宋体"/>
                <w:kern w:val="0"/>
                <w:sz w:val="24"/>
              </w:rPr>
            </w:pPr>
          </w:p>
        </w:tc>
        <w:tc>
          <w:tcPr>
            <w:tcW w:w="455" w:type="pct"/>
            <w:tcBorders>
              <w:top w:val="nil"/>
              <w:left w:val="nil"/>
              <w:bottom w:val="nil"/>
              <w:right w:val="nil"/>
            </w:tcBorders>
            <w:shd w:val="clear" w:color="auto" w:fill="auto"/>
            <w:vAlign w:val="bottom"/>
          </w:tcPr>
          <w:p w14:paraId="59E4943C"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43D"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43E" w14:textId="77777777" w:rsidR="00D7560A" w:rsidRDefault="00D7560A">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59E4943F"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440"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9441" w14:textId="77777777" w:rsidR="00D7560A" w:rsidRDefault="00D7560A">
            <w:pPr>
              <w:widowControl/>
              <w:jc w:val="left"/>
              <w:rPr>
                <w:rFonts w:ascii="Times New Roman" w:eastAsia="宋体" w:hAnsi="宋体" w:cs="宋体"/>
                <w:kern w:val="0"/>
                <w:sz w:val="24"/>
              </w:rPr>
            </w:pPr>
          </w:p>
        </w:tc>
        <w:tc>
          <w:tcPr>
            <w:tcW w:w="455" w:type="pct"/>
            <w:tcBorders>
              <w:top w:val="nil"/>
              <w:left w:val="nil"/>
              <w:bottom w:val="nil"/>
              <w:right w:val="nil"/>
            </w:tcBorders>
            <w:shd w:val="clear" w:color="auto" w:fill="auto"/>
            <w:vAlign w:val="bottom"/>
          </w:tcPr>
          <w:p w14:paraId="59E49442"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443"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444" w14:textId="77777777" w:rsidR="00D7560A" w:rsidRDefault="00D7560A">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59E49445"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446"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9447" w14:textId="77777777" w:rsidR="00D7560A" w:rsidRDefault="00D7560A">
            <w:pPr>
              <w:widowControl/>
              <w:jc w:val="left"/>
              <w:rPr>
                <w:rFonts w:ascii="Times New Roman" w:eastAsia="宋体" w:hAnsi="宋体" w:cs="宋体"/>
                <w:kern w:val="0"/>
                <w:sz w:val="24"/>
              </w:rPr>
            </w:pPr>
          </w:p>
        </w:tc>
        <w:tc>
          <w:tcPr>
            <w:tcW w:w="455" w:type="pct"/>
            <w:tcBorders>
              <w:top w:val="nil"/>
              <w:left w:val="nil"/>
              <w:bottom w:val="nil"/>
              <w:right w:val="nil"/>
            </w:tcBorders>
            <w:shd w:val="clear" w:color="auto" w:fill="auto"/>
            <w:vAlign w:val="bottom"/>
          </w:tcPr>
          <w:p w14:paraId="59E49448"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449"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44A" w14:textId="77777777" w:rsidR="00D7560A" w:rsidRDefault="00D7560A">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59E4944B"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44C"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944D" w14:textId="77777777" w:rsidR="00D7560A" w:rsidRDefault="00D7560A">
            <w:pPr>
              <w:widowControl/>
              <w:jc w:val="left"/>
              <w:rPr>
                <w:rFonts w:ascii="Times New Roman" w:eastAsia="宋体" w:hAnsi="宋体" w:cs="宋体"/>
                <w:kern w:val="0"/>
                <w:sz w:val="24"/>
              </w:rPr>
            </w:pPr>
          </w:p>
        </w:tc>
        <w:tc>
          <w:tcPr>
            <w:tcW w:w="455" w:type="pct"/>
            <w:tcBorders>
              <w:top w:val="nil"/>
              <w:left w:val="nil"/>
              <w:bottom w:val="nil"/>
              <w:right w:val="nil"/>
            </w:tcBorders>
            <w:shd w:val="clear" w:color="auto" w:fill="auto"/>
            <w:vAlign w:val="bottom"/>
          </w:tcPr>
          <w:p w14:paraId="59E4944E"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44F"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450" w14:textId="77777777" w:rsidR="00D7560A" w:rsidRDefault="00D7560A">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59E49451"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452"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9453" w14:textId="77777777" w:rsidR="00D7560A" w:rsidRDefault="00D7560A">
            <w:pPr>
              <w:widowControl/>
              <w:jc w:val="left"/>
              <w:rPr>
                <w:rFonts w:ascii="Times New Roman" w:eastAsia="宋体" w:hAnsi="宋体" w:cs="宋体"/>
                <w:kern w:val="0"/>
                <w:sz w:val="24"/>
              </w:rPr>
            </w:pPr>
          </w:p>
        </w:tc>
        <w:tc>
          <w:tcPr>
            <w:tcW w:w="457" w:type="pct"/>
            <w:tcBorders>
              <w:top w:val="nil"/>
              <w:left w:val="nil"/>
              <w:bottom w:val="nil"/>
              <w:right w:val="nil"/>
            </w:tcBorders>
            <w:shd w:val="clear" w:color="auto" w:fill="auto"/>
            <w:vAlign w:val="bottom"/>
          </w:tcPr>
          <w:p w14:paraId="59E49454"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455" w14:textId="77777777" w:rsidR="00D7560A" w:rsidRDefault="00D7560A">
            <w:pPr>
              <w:widowControl/>
              <w:jc w:val="left"/>
              <w:rPr>
                <w:rFonts w:ascii="Times New Roman" w:eastAsia="宋体" w:hAnsi="宋体" w:cs="宋体"/>
                <w:kern w:val="0"/>
                <w:sz w:val="24"/>
              </w:rPr>
            </w:pPr>
          </w:p>
        </w:tc>
      </w:tr>
      <w:tr w:rsidR="00D7560A" w14:paraId="59E49459"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9457" w14:textId="77777777" w:rsidR="00D7560A" w:rsidRDefault="00D7560A">
            <w:pPr>
              <w:widowControl/>
              <w:jc w:val="left"/>
              <w:rPr>
                <w:rFonts w:ascii="Times New Roman" w:eastAsia="宋体" w:hAnsi="宋体" w:cs="宋体"/>
                <w:kern w:val="0"/>
                <w:sz w:val="24"/>
              </w:rPr>
            </w:pPr>
          </w:p>
        </w:tc>
        <w:tc>
          <w:tcPr>
            <w:tcW w:w="0" w:type="auto"/>
            <w:gridSpan w:val="33"/>
            <w:tcBorders>
              <w:top w:val="nil"/>
              <w:left w:val="nil"/>
              <w:bottom w:val="single" w:sz="8" w:space="0" w:color="000000"/>
              <w:right w:val="nil"/>
            </w:tcBorders>
            <w:shd w:val="clear" w:color="auto" w:fill="auto"/>
            <w:tcMar>
              <w:top w:w="40" w:type="dxa"/>
              <w:left w:w="20" w:type="dxa"/>
              <w:bottom w:w="40" w:type="dxa"/>
              <w:right w:w="20" w:type="dxa"/>
            </w:tcMar>
            <w:vAlign w:val="center"/>
          </w:tcPr>
          <w:p w14:paraId="59E49458" w14:textId="77777777" w:rsidR="00D7560A" w:rsidRDefault="001E3CAB">
            <w:pPr>
              <w:widowControl/>
              <w:jc w:val="center"/>
              <w:textAlignment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Six Months Ended</w:t>
            </w:r>
          </w:p>
        </w:tc>
      </w:tr>
      <w:tr w:rsidR="00D7560A" w14:paraId="59E4945E"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945A" w14:textId="77777777" w:rsidR="00D7560A" w:rsidRDefault="00D7560A">
            <w:pPr>
              <w:widowControl/>
              <w:jc w:val="left"/>
              <w:rPr>
                <w:rFonts w:ascii="Times New Roman" w:eastAsia="宋体" w:hAnsi="宋体" w:cs="宋体"/>
                <w:kern w:val="0"/>
                <w:sz w:val="24"/>
              </w:rPr>
            </w:pPr>
          </w:p>
        </w:tc>
        <w:tc>
          <w:tcPr>
            <w:tcW w:w="0" w:type="auto"/>
            <w:gridSpan w:val="15"/>
            <w:tcBorders>
              <w:top w:val="single" w:sz="8" w:space="0" w:color="000000"/>
              <w:left w:val="nil"/>
              <w:bottom w:val="nil"/>
              <w:right w:val="nil"/>
            </w:tcBorders>
            <w:shd w:val="clear" w:color="auto" w:fill="auto"/>
            <w:tcMar>
              <w:top w:w="40" w:type="dxa"/>
              <w:left w:w="20" w:type="dxa"/>
              <w:bottom w:w="40" w:type="dxa"/>
              <w:right w:w="20" w:type="dxa"/>
            </w:tcMar>
            <w:vAlign w:val="center"/>
          </w:tcPr>
          <w:p w14:paraId="59E4945B" w14:textId="77777777" w:rsidR="00D7560A" w:rsidRDefault="001E3CAB">
            <w:pPr>
              <w:widowControl/>
              <w:jc w:val="center"/>
              <w:textAlignment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29, 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59E4945C" w14:textId="77777777" w:rsidR="00D7560A" w:rsidRDefault="00D7560A">
            <w:pPr>
              <w:widowControl/>
              <w:jc w:val="left"/>
              <w:rPr>
                <w:rFonts w:ascii="Times New Roman" w:eastAsia="宋体" w:hAnsi="宋体" w:cs="宋体"/>
                <w:kern w:val="0"/>
                <w:sz w:val="24"/>
              </w:rPr>
            </w:pPr>
          </w:p>
        </w:tc>
        <w:tc>
          <w:tcPr>
            <w:tcW w:w="0" w:type="auto"/>
            <w:gridSpan w:val="15"/>
            <w:tcBorders>
              <w:top w:val="single" w:sz="8" w:space="0" w:color="000000"/>
              <w:left w:val="nil"/>
              <w:bottom w:val="nil"/>
              <w:right w:val="nil"/>
            </w:tcBorders>
            <w:shd w:val="clear" w:color="auto" w:fill="auto"/>
            <w:tcMar>
              <w:top w:w="40" w:type="dxa"/>
              <w:left w:w="20" w:type="dxa"/>
              <w:bottom w:w="40" w:type="dxa"/>
              <w:right w:w="20" w:type="dxa"/>
            </w:tcMar>
            <w:vAlign w:val="center"/>
          </w:tcPr>
          <w:p w14:paraId="59E4945D" w14:textId="77777777" w:rsidR="00D7560A" w:rsidRDefault="001E3CAB">
            <w:pPr>
              <w:widowControl/>
              <w:jc w:val="center"/>
              <w:textAlignment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30, 2021</w:t>
            </w:r>
          </w:p>
        </w:tc>
      </w:tr>
      <w:tr w:rsidR="00D7560A" w14:paraId="59E4946B"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945F"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center"/>
          </w:tcPr>
          <w:p w14:paraId="59E49460" w14:textId="77777777" w:rsidR="00D7560A" w:rsidRDefault="001E3CAB">
            <w:pPr>
              <w:widowControl/>
              <w:jc w:val="center"/>
              <w:textAlignment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Revolving</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59E49461"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center"/>
          </w:tcPr>
          <w:p w14:paraId="59E49462" w14:textId="77777777" w:rsidR="00D7560A" w:rsidRDefault="001E3CAB">
            <w:pPr>
              <w:widowControl/>
              <w:jc w:val="center"/>
              <w:textAlignment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Fixed-term</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59E49463"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center"/>
          </w:tcPr>
          <w:p w14:paraId="59E49464" w14:textId="77777777" w:rsidR="00D7560A" w:rsidRDefault="001E3CAB">
            <w:pPr>
              <w:widowControl/>
              <w:jc w:val="center"/>
              <w:textAlignment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Total</w:t>
            </w: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59E49465"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center"/>
          </w:tcPr>
          <w:p w14:paraId="59E49466" w14:textId="77777777" w:rsidR="00D7560A" w:rsidRDefault="001E3CAB">
            <w:pPr>
              <w:widowControl/>
              <w:jc w:val="center"/>
              <w:textAlignment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Revolving</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59E49467"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center"/>
          </w:tcPr>
          <w:p w14:paraId="59E49468" w14:textId="77777777" w:rsidR="00D7560A" w:rsidRDefault="001E3CAB">
            <w:pPr>
              <w:widowControl/>
              <w:jc w:val="center"/>
              <w:textAlignment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Fixed-term</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59E49469"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center"/>
          </w:tcPr>
          <w:p w14:paraId="59E4946A" w14:textId="77777777" w:rsidR="00D7560A" w:rsidRDefault="001E3CAB">
            <w:pPr>
              <w:widowControl/>
              <w:jc w:val="center"/>
              <w:textAlignment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Total</w:t>
            </w:r>
          </w:p>
        </w:tc>
      </w:tr>
      <w:tr w:rsidR="00D7560A" w14:paraId="59E4946E"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946C" w14:textId="77777777" w:rsidR="00D7560A" w:rsidRDefault="00D7560A">
            <w:pPr>
              <w:widowControl/>
              <w:jc w:val="left"/>
              <w:rPr>
                <w:rFonts w:ascii="Times New Roman" w:eastAsia="宋体" w:hAnsi="宋体" w:cs="宋体"/>
                <w:kern w:val="0"/>
                <w:sz w:val="24"/>
              </w:rPr>
            </w:pPr>
          </w:p>
        </w:tc>
        <w:tc>
          <w:tcPr>
            <w:tcW w:w="0" w:type="auto"/>
            <w:gridSpan w:val="3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59E4946D"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(in millions)</w:t>
            </w:r>
          </w:p>
        </w:tc>
      </w:tr>
      <w:tr w:rsidR="00D7560A" w14:paraId="59E4947B"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9E4946F"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i/>
                <w:iCs/>
                <w:color w:val="000000"/>
                <w:kern w:val="0"/>
                <w:sz w:val="20"/>
                <w:szCs w:val="20"/>
                <w:lang w:bidi="ar"/>
              </w:rPr>
              <w:t>Allowance for financing receivable losses:</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470"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471"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472"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473"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474"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475"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476"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477"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478"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479"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47A" w14:textId="77777777" w:rsidR="00D7560A" w:rsidRDefault="00D7560A">
            <w:pPr>
              <w:widowControl/>
              <w:jc w:val="left"/>
              <w:rPr>
                <w:rFonts w:ascii="Times New Roman" w:eastAsia="宋体" w:hAnsi="宋体" w:cs="宋体"/>
                <w:kern w:val="0"/>
                <w:sz w:val="24"/>
              </w:rPr>
            </w:pPr>
          </w:p>
        </w:tc>
      </w:tr>
      <w:tr w:rsidR="00D7560A" w14:paraId="59E49494"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59E4947C"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Balances at beginning of period</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9E4947D"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9E4947E"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102 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947F"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9480"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9E49481"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9E49482"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87 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9483"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9484"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9E49485"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9E49486"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189 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9487"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9488"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9E49489"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9E4948A"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148 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948B"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948C"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9E4948D"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9E4948E"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173 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948F"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9490"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9E49491"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9E49492"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321 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9493" w14:textId="77777777" w:rsidR="00D7560A" w:rsidRDefault="00D7560A">
            <w:pPr>
              <w:widowControl/>
              <w:jc w:val="right"/>
              <w:rPr>
                <w:rFonts w:ascii="Times New Roman" w:eastAsia="宋体" w:hAnsi="宋体" w:cs="宋体"/>
                <w:kern w:val="0"/>
                <w:sz w:val="24"/>
              </w:rPr>
            </w:pPr>
          </w:p>
        </w:tc>
      </w:tr>
      <w:tr w:rsidR="00D7560A" w14:paraId="59E494A1" w14:textId="77777777">
        <w:trPr>
          <w:hidden/>
        </w:trPr>
        <w:tc>
          <w:tcPr>
            <w:tcW w:w="0" w:type="auto"/>
            <w:gridSpan w:val="3"/>
            <w:tcBorders>
              <w:top w:val="nil"/>
              <w:left w:val="nil"/>
              <w:bottom w:val="nil"/>
              <w:right w:val="nil"/>
            </w:tcBorders>
            <w:shd w:val="clear" w:color="auto" w:fill="auto"/>
            <w:vAlign w:val="bottom"/>
          </w:tcPr>
          <w:p w14:paraId="59E49495"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9496"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9497"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9498"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9499"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949A"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949B"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949C"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949D"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949E"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949F"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94A0" w14:textId="77777777" w:rsidR="00D7560A" w:rsidRDefault="00D7560A">
            <w:pPr>
              <w:widowControl/>
              <w:jc w:val="left"/>
              <w:rPr>
                <w:rFonts w:ascii="Times New Roman" w:eastAsia="宋体" w:hAnsi="宋体" w:cs="宋体"/>
                <w:vanish/>
                <w:kern w:val="0"/>
                <w:sz w:val="24"/>
              </w:rPr>
            </w:pPr>
          </w:p>
        </w:tc>
      </w:tr>
      <w:tr w:rsidR="00D7560A" w14:paraId="59E494B4" w14:textId="77777777">
        <w:tc>
          <w:tcPr>
            <w:tcW w:w="0" w:type="auto"/>
            <w:gridSpan w:val="3"/>
            <w:tcBorders>
              <w:top w:val="nil"/>
              <w:left w:val="nil"/>
              <w:bottom w:val="nil"/>
              <w:right w:val="nil"/>
            </w:tcBorders>
            <w:shd w:val="clear" w:color="auto" w:fill="CCEEFF"/>
            <w:tcMar>
              <w:top w:w="40" w:type="dxa"/>
              <w:left w:w="155" w:type="dxa"/>
              <w:bottom w:w="40" w:type="dxa"/>
              <w:right w:w="20" w:type="dxa"/>
            </w:tcMar>
            <w:vAlign w:val="bottom"/>
          </w:tcPr>
          <w:p w14:paraId="59E494A2"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Charge-offs, net of recoveries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94A3"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(25)</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94A4"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4A5"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94A6"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94A7"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4A8"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94A9"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(29)</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94AA"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4AB"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94AC"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(23)</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94AD"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4AE"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94AF"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94B0"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4B1"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94B2"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(28)</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94B3" w14:textId="77777777" w:rsidR="00D7560A" w:rsidRDefault="00D7560A">
            <w:pPr>
              <w:widowControl/>
              <w:jc w:val="right"/>
              <w:rPr>
                <w:rFonts w:ascii="Times New Roman" w:eastAsia="宋体" w:hAnsi="宋体" w:cs="宋体"/>
                <w:kern w:val="0"/>
                <w:sz w:val="24"/>
              </w:rPr>
            </w:pPr>
          </w:p>
        </w:tc>
      </w:tr>
      <w:tr w:rsidR="00D7560A" w14:paraId="59E494C7" w14:textId="77777777">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59E494B5"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Provision charged to income statement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94B6"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94B7"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94B8"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94B9"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94BA"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94BB"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94BC"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94BD"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94BE"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94BF"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94C0"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94C1"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94C2"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94C3"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94C4"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94C5"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94C6" w14:textId="77777777" w:rsidR="00D7560A" w:rsidRDefault="00D7560A">
            <w:pPr>
              <w:widowControl/>
              <w:jc w:val="right"/>
              <w:rPr>
                <w:rFonts w:ascii="Times New Roman" w:eastAsia="宋体" w:hAnsi="宋体" w:cs="宋体"/>
                <w:kern w:val="0"/>
                <w:sz w:val="24"/>
              </w:rPr>
            </w:pPr>
          </w:p>
        </w:tc>
      </w:tr>
      <w:tr w:rsidR="00D7560A" w14:paraId="59E494E0"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9E494C8"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Balances at end of period</w:t>
            </w: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59E494C9"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59E494CA"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91 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59E494CB"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4CC"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59E494CD"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59E494CE"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92 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59E494CF"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4D0"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59E494D1"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59E494D2"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183 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59E494D3"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4D4"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59E494D5"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59E494D6"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126 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59E494D7"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4D8"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59E494D9"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59E494DA"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161 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59E494DB"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4DC"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59E494DD"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59E494DE"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287 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59E494DF" w14:textId="77777777" w:rsidR="00D7560A" w:rsidRDefault="00D7560A">
            <w:pPr>
              <w:widowControl/>
              <w:jc w:val="right"/>
              <w:rPr>
                <w:rFonts w:ascii="Times New Roman" w:eastAsia="宋体" w:hAnsi="宋体" w:cs="宋体"/>
                <w:kern w:val="0"/>
                <w:sz w:val="24"/>
              </w:rPr>
            </w:pPr>
          </w:p>
        </w:tc>
      </w:tr>
    </w:tbl>
    <w:p w14:paraId="59E494E1"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94E2"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21</w:t>
      </w:r>
    </w:p>
    <w:p w14:paraId="59E494E3"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94E4" w14:textId="77777777" w:rsidR="00D7560A" w:rsidRDefault="001E3CAB">
      <w:pPr>
        <w:widowControl/>
        <w:jc w:val="center"/>
      </w:pPr>
      <w:r>
        <w:rPr>
          <w:rFonts w:ascii="宋体" w:eastAsia="宋体" w:hAnsi="宋体" w:cs="宋体"/>
          <w:kern w:val="0"/>
          <w:sz w:val="24"/>
        </w:rPr>
        <w:pict w14:anchorId="59E4C7E0">
          <v:rect id="_x0000_i1045" style="width:6in;height:1.5pt" o:hralign="center" o:hrstd="t" o:hr="t" fillcolor="#a0a0a0" stroked="f"/>
        </w:pict>
      </w:r>
    </w:p>
    <w:p w14:paraId="59E494E5" w14:textId="77777777" w:rsidR="00D7560A" w:rsidRDefault="001E3CAB">
      <w:pPr>
        <w:widowControl/>
        <w:jc w:val="left"/>
        <w:rPr>
          <w:rFonts w:ascii="宋体" w:eastAsia="宋体" w:hAnsi="宋体" w:cs="宋体"/>
          <w:kern w:val="0"/>
          <w:sz w:val="24"/>
        </w:rPr>
      </w:pPr>
      <w:hyperlink w:anchor="if933dd1d5d004d2495dd7029e3ecad00_13" w:history="1">
        <w:r>
          <w:rPr>
            <w:rStyle w:val="a4"/>
            <w:rFonts w:ascii="Times New Roman" w:eastAsia="宋体" w:hAnsi="Times New Roman" w:cs="Times New Roman"/>
            <w:sz w:val="20"/>
            <w:szCs w:val="20"/>
          </w:rPr>
          <w:t>Table of Contents</w:t>
        </w:r>
      </w:hyperlink>
    </w:p>
    <w:p w14:paraId="59E494E6"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DELL TECHNOLOGIES INC.</w:t>
      </w:r>
    </w:p>
    <w:p w14:paraId="59E494E7"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NOTES TO THE CONDENSED CONSOLIDATED FINANCIAL STATEMENTS (Continued)</w:t>
      </w:r>
    </w:p>
    <w:p w14:paraId="59E494E8"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(unaudited)</w:t>
      </w:r>
    </w:p>
    <w:p w14:paraId="59E494E9"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94EA"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94EB"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i/>
          <w:iCs/>
          <w:color w:val="000000"/>
          <w:kern w:val="0"/>
          <w:sz w:val="20"/>
          <w:szCs w:val="20"/>
          <w:u w:val="single"/>
          <w:lang w:bidi="ar"/>
        </w:rPr>
        <w:t>Aging</w:t>
      </w:r>
    </w:p>
    <w:p w14:paraId="59E494EC"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94ED" w14:textId="77777777" w:rsidR="00D7560A" w:rsidRDefault="001E3CAB">
      <w:pPr>
        <w:widowControl/>
        <w:spacing w:after="12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The following table presents the aging of the </w:t>
      </w:r>
      <w:r>
        <w:rPr>
          <w:rFonts w:ascii="Times New Roman" w:eastAsia="宋体" w:hAnsi="Times New Roman" w:cs="Times New Roman"/>
          <w:color w:val="000000"/>
          <w:kern w:val="0"/>
          <w:sz w:val="20"/>
          <w:szCs w:val="20"/>
          <w:lang w:bidi="ar"/>
        </w:rPr>
        <w:t>Company’s customer financing receivables, gross, including accrued interest, segregated by class, as of the dates indicated:</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9"/>
        <w:gridCol w:w="2056"/>
        <w:gridCol w:w="38"/>
        <w:gridCol w:w="121"/>
        <w:gridCol w:w="645"/>
        <w:gridCol w:w="36"/>
        <w:gridCol w:w="36"/>
        <w:gridCol w:w="36"/>
        <w:gridCol w:w="36"/>
        <w:gridCol w:w="120"/>
        <w:gridCol w:w="470"/>
        <w:gridCol w:w="36"/>
        <w:gridCol w:w="36"/>
        <w:gridCol w:w="36"/>
        <w:gridCol w:w="36"/>
        <w:gridCol w:w="121"/>
        <w:gridCol w:w="470"/>
        <w:gridCol w:w="36"/>
        <w:gridCol w:w="36"/>
        <w:gridCol w:w="36"/>
        <w:gridCol w:w="36"/>
        <w:gridCol w:w="120"/>
        <w:gridCol w:w="600"/>
        <w:gridCol w:w="36"/>
        <w:gridCol w:w="36"/>
        <w:gridCol w:w="36"/>
        <w:gridCol w:w="36"/>
        <w:gridCol w:w="120"/>
        <w:gridCol w:w="600"/>
        <w:gridCol w:w="36"/>
        <w:gridCol w:w="36"/>
        <w:gridCol w:w="36"/>
        <w:gridCol w:w="36"/>
        <w:gridCol w:w="120"/>
        <w:gridCol w:w="350"/>
        <w:gridCol w:w="36"/>
        <w:gridCol w:w="36"/>
        <w:gridCol w:w="36"/>
        <w:gridCol w:w="36"/>
        <w:gridCol w:w="121"/>
        <w:gridCol w:w="461"/>
        <w:gridCol w:w="36"/>
        <w:gridCol w:w="36"/>
        <w:gridCol w:w="36"/>
        <w:gridCol w:w="36"/>
        <w:gridCol w:w="120"/>
        <w:gridCol w:w="600"/>
        <w:gridCol w:w="36"/>
      </w:tblGrid>
      <w:tr w:rsidR="00D7560A" w14:paraId="59E4951E" w14:textId="77777777">
        <w:tc>
          <w:tcPr>
            <w:tcW w:w="50" w:type="pct"/>
            <w:tcBorders>
              <w:top w:val="nil"/>
              <w:left w:val="nil"/>
              <w:bottom w:val="nil"/>
              <w:right w:val="nil"/>
            </w:tcBorders>
            <w:shd w:val="clear" w:color="auto" w:fill="auto"/>
            <w:vAlign w:val="bottom"/>
          </w:tcPr>
          <w:p w14:paraId="59E494EE" w14:textId="77777777" w:rsidR="00D7560A" w:rsidRDefault="00D7560A">
            <w:pPr>
              <w:widowControl/>
              <w:jc w:val="left"/>
              <w:rPr>
                <w:rFonts w:ascii="Times New Roman" w:eastAsia="宋体" w:hAnsi="宋体" w:cs="宋体"/>
                <w:kern w:val="0"/>
                <w:sz w:val="24"/>
              </w:rPr>
            </w:pPr>
          </w:p>
        </w:tc>
        <w:tc>
          <w:tcPr>
            <w:tcW w:w="1392" w:type="pct"/>
            <w:tcBorders>
              <w:top w:val="nil"/>
              <w:left w:val="nil"/>
              <w:bottom w:val="nil"/>
              <w:right w:val="nil"/>
            </w:tcBorders>
            <w:shd w:val="clear" w:color="auto" w:fill="auto"/>
            <w:vAlign w:val="bottom"/>
          </w:tcPr>
          <w:p w14:paraId="59E494EF"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4F0"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94F1" w14:textId="77777777" w:rsidR="00D7560A" w:rsidRDefault="00D7560A">
            <w:pPr>
              <w:widowControl/>
              <w:jc w:val="left"/>
              <w:rPr>
                <w:rFonts w:ascii="Times New Roman" w:eastAsia="宋体" w:hAnsi="宋体" w:cs="宋体"/>
                <w:kern w:val="0"/>
                <w:sz w:val="24"/>
              </w:rPr>
            </w:pPr>
          </w:p>
        </w:tc>
        <w:tc>
          <w:tcPr>
            <w:tcW w:w="375" w:type="pct"/>
            <w:tcBorders>
              <w:top w:val="nil"/>
              <w:left w:val="nil"/>
              <w:bottom w:val="nil"/>
              <w:right w:val="nil"/>
            </w:tcBorders>
            <w:shd w:val="clear" w:color="auto" w:fill="auto"/>
            <w:vAlign w:val="bottom"/>
          </w:tcPr>
          <w:p w14:paraId="59E494F2"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4F3"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4F4" w14:textId="77777777" w:rsidR="00D7560A" w:rsidRDefault="00D7560A">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59E494F5"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4F6"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94F7" w14:textId="77777777" w:rsidR="00D7560A" w:rsidRDefault="00D7560A">
            <w:pPr>
              <w:widowControl/>
              <w:jc w:val="left"/>
              <w:rPr>
                <w:rFonts w:ascii="Times New Roman" w:eastAsia="宋体" w:hAnsi="宋体" w:cs="宋体"/>
                <w:kern w:val="0"/>
                <w:sz w:val="24"/>
              </w:rPr>
            </w:pPr>
          </w:p>
        </w:tc>
        <w:tc>
          <w:tcPr>
            <w:tcW w:w="375" w:type="pct"/>
            <w:tcBorders>
              <w:top w:val="nil"/>
              <w:left w:val="nil"/>
              <w:bottom w:val="nil"/>
              <w:right w:val="nil"/>
            </w:tcBorders>
            <w:shd w:val="clear" w:color="auto" w:fill="auto"/>
            <w:vAlign w:val="bottom"/>
          </w:tcPr>
          <w:p w14:paraId="59E494F8"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4F9"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4FA" w14:textId="77777777" w:rsidR="00D7560A" w:rsidRDefault="00D7560A">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59E494FB"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4FC"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94FD" w14:textId="77777777" w:rsidR="00D7560A" w:rsidRDefault="00D7560A">
            <w:pPr>
              <w:widowControl/>
              <w:jc w:val="left"/>
              <w:rPr>
                <w:rFonts w:ascii="Times New Roman" w:eastAsia="宋体" w:hAnsi="宋体" w:cs="宋体"/>
                <w:kern w:val="0"/>
                <w:sz w:val="24"/>
              </w:rPr>
            </w:pPr>
          </w:p>
        </w:tc>
        <w:tc>
          <w:tcPr>
            <w:tcW w:w="375" w:type="pct"/>
            <w:tcBorders>
              <w:top w:val="nil"/>
              <w:left w:val="nil"/>
              <w:bottom w:val="nil"/>
              <w:right w:val="nil"/>
            </w:tcBorders>
            <w:shd w:val="clear" w:color="auto" w:fill="auto"/>
            <w:vAlign w:val="bottom"/>
          </w:tcPr>
          <w:p w14:paraId="59E494FE"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4FF"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500" w14:textId="77777777" w:rsidR="00D7560A" w:rsidRDefault="00D7560A">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59E49501"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502"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9503" w14:textId="77777777" w:rsidR="00D7560A" w:rsidRDefault="00D7560A">
            <w:pPr>
              <w:widowControl/>
              <w:jc w:val="left"/>
              <w:rPr>
                <w:rFonts w:ascii="Times New Roman" w:eastAsia="宋体" w:hAnsi="宋体" w:cs="宋体"/>
                <w:kern w:val="0"/>
                <w:sz w:val="24"/>
              </w:rPr>
            </w:pPr>
          </w:p>
        </w:tc>
        <w:tc>
          <w:tcPr>
            <w:tcW w:w="325" w:type="pct"/>
            <w:tcBorders>
              <w:top w:val="nil"/>
              <w:left w:val="nil"/>
              <w:bottom w:val="nil"/>
              <w:right w:val="nil"/>
            </w:tcBorders>
            <w:shd w:val="clear" w:color="auto" w:fill="auto"/>
            <w:vAlign w:val="bottom"/>
          </w:tcPr>
          <w:p w14:paraId="59E49504"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505"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506" w14:textId="77777777" w:rsidR="00D7560A" w:rsidRDefault="00D7560A">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59E49507"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508"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9509" w14:textId="77777777" w:rsidR="00D7560A" w:rsidRDefault="00D7560A">
            <w:pPr>
              <w:widowControl/>
              <w:jc w:val="left"/>
              <w:rPr>
                <w:rFonts w:ascii="Times New Roman" w:eastAsia="宋体" w:hAnsi="宋体" w:cs="宋体"/>
                <w:kern w:val="0"/>
                <w:sz w:val="24"/>
              </w:rPr>
            </w:pPr>
          </w:p>
        </w:tc>
        <w:tc>
          <w:tcPr>
            <w:tcW w:w="375" w:type="pct"/>
            <w:tcBorders>
              <w:top w:val="nil"/>
              <w:left w:val="nil"/>
              <w:bottom w:val="nil"/>
              <w:right w:val="nil"/>
            </w:tcBorders>
            <w:shd w:val="clear" w:color="auto" w:fill="auto"/>
            <w:vAlign w:val="bottom"/>
          </w:tcPr>
          <w:p w14:paraId="59E4950A"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50B"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50C" w14:textId="77777777" w:rsidR="00D7560A" w:rsidRDefault="00D7560A">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59E4950D"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50E"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950F" w14:textId="77777777" w:rsidR="00D7560A" w:rsidRDefault="00D7560A">
            <w:pPr>
              <w:widowControl/>
              <w:jc w:val="left"/>
              <w:rPr>
                <w:rFonts w:ascii="Times New Roman" w:eastAsia="宋体" w:hAnsi="宋体" w:cs="宋体"/>
                <w:kern w:val="0"/>
                <w:sz w:val="24"/>
              </w:rPr>
            </w:pPr>
          </w:p>
        </w:tc>
        <w:tc>
          <w:tcPr>
            <w:tcW w:w="375" w:type="pct"/>
            <w:tcBorders>
              <w:top w:val="nil"/>
              <w:left w:val="nil"/>
              <w:bottom w:val="nil"/>
              <w:right w:val="nil"/>
            </w:tcBorders>
            <w:shd w:val="clear" w:color="auto" w:fill="auto"/>
            <w:vAlign w:val="bottom"/>
          </w:tcPr>
          <w:p w14:paraId="59E49510"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511"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512" w14:textId="77777777" w:rsidR="00D7560A" w:rsidRDefault="00D7560A">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59E49513"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514"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9515" w14:textId="77777777" w:rsidR="00D7560A" w:rsidRDefault="00D7560A">
            <w:pPr>
              <w:widowControl/>
              <w:jc w:val="left"/>
              <w:rPr>
                <w:rFonts w:ascii="Times New Roman" w:eastAsia="宋体" w:hAnsi="宋体" w:cs="宋体"/>
                <w:kern w:val="0"/>
                <w:sz w:val="24"/>
              </w:rPr>
            </w:pPr>
          </w:p>
        </w:tc>
        <w:tc>
          <w:tcPr>
            <w:tcW w:w="375" w:type="pct"/>
            <w:tcBorders>
              <w:top w:val="nil"/>
              <w:left w:val="nil"/>
              <w:bottom w:val="nil"/>
              <w:right w:val="nil"/>
            </w:tcBorders>
            <w:shd w:val="clear" w:color="auto" w:fill="auto"/>
            <w:vAlign w:val="bottom"/>
          </w:tcPr>
          <w:p w14:paraId="59E49516"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517"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518" w14:textId="77777777" w:rsidR="00D7560A" w:rsidRDefault="00D7560A">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59E49519"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51A"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951B" w14:textId="77777777" w:rsidR="00D7560A" w:rsidRDefault="00D7560A">
            <w:pPr>
              <w:widowControl/>
              <w:jc w:val="left"/>
              <w:rPr>
                <w:rFonts w:ascii="Times New Roman" w:eastAsia="宋体" w:hAnsi="宋体" w:cs="宋体"/>
                <w:kern w:val="0"/>
                <w:sz w:val="24"/>
              </w:rPr>
            </w:pPr>
          </w:p>
        </w:tc>
        <w:tc>
          <w:tcPr>
            <w:tcW w:w="325" w:type="pct"/>
            <w:tcBorders>
              <w:top w:val="nil"/>
              <w:left w:val="nil"/>
              <w:bottom w:val="nil"/>
              <w:right w:val="nil"/>
            </w:tcBorders>
            <w:shd w:val="clear" w:color="auto" w:fill="auto"/>
            <w:vAlign w:val="bottom"/>
          </w:tcPr>
          <w:p w14:paraId="59E4951C"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51D" w14:textId="77777777" w:rsidR="00D7560A" w:rsidRDefault="00D7560A">
            <w:pPr>
              <w:widowControl/>
              <w:jc w:val="left"/>
              <w:rPr>
                <w:rFonts w:ascii="Times New Roman" w:eastAsia="宋体" w:hAnsi="宋体" w:cs="宋体"/>
                <w:kern w:val="0"/>
                <w:sz w:val="24"/>
              </w:rPr>
            </w:pPr>
          </w:p>
        </w:tc>
      </w:tr>
      <w:tr w:rsidR="00D7560A" w14:paraId="59E49523"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951F" w14:textId="77777777" w:rsidR="00D7560A" w:rsidRDefault="00D7560A">
            <w:pPr>
              <w:widowControl/>
              <w:jc w:val="left"/>
              <w:rPr>
                <w:rFonts w:ascii="Times New Roman" w:eastAsia="宋体" w:hAnsi="宋体" w:cs="宋体"/>
                <w:kern w:val="0"/>
                <w:sz w:val="24"/>
              </w:rPr>
            </w:pPr>
          </w:p>
        </w:tc>
        <w:tc>
          <w:tcPr>
            <w:tcW w:w="0" w:type="auto"/>
            <w:gridSpan w:val="21"/>
            <w:tcBorders>
              <w:top w:val="nil"/>
              <w:left w:val="nil"/>
              <w:bottom w:val="nil"/>
              <w:right w:val="nil"/>
            </w:tcBorders>
            <w:shd w:val="clear" w:color="auto" w:fill="auto"/>
            <w:tcMar>
              <w:top w:w="40" w:type="dxa"/>
              <w:left w:w="20" w:type="dxa"/>
              <w:bottom w:w="40" w:type="dxa"/>
              <w:right w:w="20" w:type="dxa"/>
            </w:tcMar>
            <w:vAlign w:val="bottom"/>
          </w:tcPr>
          <w:p w14:paraId="59E49520"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29, 2022</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9521" w14:textId="77777777" w:rsidR="00D7560A" w:rsidRDefault="00D7560A">
            <w:pPr>
              <w:widowControl/>
              <w:jc w:val="left"/>
              <w:rPr>
                <w:rFonts w:ascii="Times New Roman" w:eastAsia="宋体" w:hAnsi="宋体" w:cs="宋体"/>
                <w:kern w:val="0"/>
                <w:sz w:val="24"/>
              </w:rPr>
            </w:pPr>
          </w:p>
        </w:tc>
        <w:tc>
          <w:tcPr>
            <w:tcW w:w="0" w:type="auto"/>
            <w:gridSpan w:val="21"/>
            <w:tcBorders>
              <w:top w:val="nil"/>
              <w:left w:val="nil"/>
              <w:bottom w:val="nil"/>
              <w:right w:val="nil"/>
            </w:tcBorders>
            <w:shd w:val="clear" w:color="auto" w:fill="auto"/>
            <w:tcMar>
              <w:top w:w="40" w:type="dxa"/>
              <w:left w:w="20" w:type="dxa"/>
              <w:bottom w:w="40" w:type="dxa"/>
              <w:right w:w="20" w:type="dxa"/>
            </w:tcMar>
            <w:vAlign w:val="bottom"/>
          </w:tcPr>
          <w:p w14:paraId="59E49522"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January 28, 2022</w:t>
            </w:r>
          </w:p>
        </w:tc>
      </w:tr>
      <w:tr w:rsidR="00D7560A" w14:paraId="59E49534"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9524"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59E49525"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Current</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59E49526"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59E49527"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Past Due</w:t>
            </w:r>
            <w:r>
              <w:rPr>
                <w:rFonts w:ascii="Times New Roman" w:eastAsia="宋体" w:hAnsi="Times New Roman" w:cs="Times New Roman"/>
                <w:b/>
                <w:bCs/>
                <w:color w:val="000000"/>
                <w:kern w:val="0"/>
                <w:sz w:val="20"/>
                <w:szCs w:val="20"/>
                <w:lang w:bidi="ar"/>
              </w:rPr>
              <w:br/>
              <w:t>1 — 90 Days</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59E49528"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59E49529"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Past Due</w:t>
            </w:r>
            <w:r>
              <w:rPr>
                <w:rFonts w:ascii="Times New Roman" w:eastAsia="宋体" w:hAnsi="Times New Roman" w:cs="Times New Roman"/>
                <w:b/>
                <w:bCs/>
                <w:color w:val="000000"/>
                <w:kern w:val="0"/>
                <w:sz w:val="20"/>
                <w:szCs w:val="20"/>
                <w:lang w:bidi="ar"/>
              </w:rPr>
              <w:br/>
              <w:t>&gt;90 Days</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59E4952A"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59E4952B"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Total</w:t>
            </w: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59E4952C"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59E4952D"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Current</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59E4952E"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59E4952F"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Past Due</w:t>
            </w:r>
            <w:r>
              <w:rPr>
                <w:rFonts w:ascii="Times New Roman" w:eastAsia="宋体" w:hAnsi="Times New Roman" w:cs="Times New Roman"/>
                <w:b/>
                <w:bCs/>
                <w:color w:val="000000"/>
                <w:kern w:val="0"/>
                <w:sz w:val="20"/>
                <w:szCs w:val="20"/>
                <w:lang w:bidi="ar"/>
              </w:rPr>
              <w:br/>
              <w:t>1 — 90 Days</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59E49530"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59E49531"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Past Due</w:t>
            </w:r>
            <w:r>
              <w:rPr>
                <w:rFonts w:ascii="Times New Roman" w:eastAsia="宋体" w:hAnsi="Times New Roman" w:cs="Times New Roman"/>
                <w:b/>
                <w:bCs/>
                <w:color w:val="000000"/>
                <w:kern w:val="0"/>
                <w:sz w:val="20"/>
                <w:szCs w:val="20"/>
                <w:lang w:bidi="ar"/>
              </w:rPr>
              <w:br/>
              <w:t>&gt;90 Days</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59E49532"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59E49533"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Total</w:t>
            </w:r>
          </w:p>
        </w:tc>
      </w:tr>
      <w:tr w:rsidR="00D7560A" w14:paraId="59E49537"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9535" w14:textId="77777777" w:rsidR="00D7560A" w:rsidRDefault="00D7560A">
            <w:pPr>
              <w:widowControl/>
              <w:jc w:val="left"/>
              <w:rPr>
                <w:rFonts w:ascii="Times New Roman" w:eastAsia="宋体" w:hAnsi="宋体" w:cs="宋体"/>
                <w:kern w:val="0"/>
                <w:sz w:val="24"/>
              </w:rPr>
            </w:pPr>
          </w:p>
        </w:tc>
        <w:tc>
          <w:tcPr>
            <w:tcW w:w="0" w:type="auto"/>
            <w:gridSpan w:val="45"/>
            <w:tcBorders>
              <w:top w:val="single" w:sz="8" w:space="0" w:color="000000"/>
              <w:left w:val="nil"/>
              <w:bottom w:val="nil"/>
              <w:right w:val="nil"/>
            </w:tcBorders>
            <w:shd w:val="clear" w:color="auto" w:fill="auto"/>
            <w:tcMar>
              <w:top w:w="40" w:type="dxa"/>
              <w:left w:w="20" w:type="dxa"/>
              <w:bottom w:w="40" w:type="dxa"/>
              <w:right w:w="20" w:type="dxa"/>
            </w:tcMar>
            <w:vAlign w:val="bottom"/>
          </w:tcPr>
          <w:p w14:paraId="59E49536"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(in millions)</w:t>
            </w:r>
          </w:p>
        </w:tc>
      </w:tr>
      <w:tr w:rsidR="00D7560A" w14:paraId="59E49558"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9E49538"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Revolving — DPA</w:t>
            </w: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9E49539"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9E4953A"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472 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953B"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53C"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9E4953D"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9E4953E"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953F"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540"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9E49541"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9E49542"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9543"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544"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9E49545"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9E49546"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522 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9547"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548"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9E49549"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9E4954A"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520 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954B"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54C"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9E4954D"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9E4954E"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954F"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550"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9E49551"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9E49552"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9553"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554"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9E49555"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9E49556"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571 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9557" w14:textId="77777777" w:rsidR="00D7560A" w:rsidRDefault="00D7560A">
            <w:pPr>
              <w:widowControl/>
              <w:jc w:val="right"/>
              <w:rPr>
                <w:rFonts w:ascii="Times New Roman" w:eastAsia="宋体" w:hAnsi="宋体" w:cs="宋体"/>
                <w:kern w:val="0"/>
                <w:sz w:val="24"/>
              </w:rPr>
            </w:pPr>
          </w:p>
        </w:tc>
      </w:tr>
      <w:tr w:rsidR="00D7560A" w14:paraId="59E49571"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59E49559"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Revolving — DBC</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955A"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164 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955B"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955C"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955D"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955E"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955F"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9560"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9561"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9562"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9563"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183 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9564"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9565"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9566"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158 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9567"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9568"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9569"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956A"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956B"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956C"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956D"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956E"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956F"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179 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9570" w14:textId="77777777" w:rsidR="00D7560A" w:rsidRDefault="00D7560A">
            <w:pPr>
              <w:widowControl/>
              <w:jc w:val="right"/>
              <w:rPr>
                <w:rFonts w:ascii="Times New Roman" w:eastAsia="宋体" w:hAnsi="宋体" w:cs="宋体"/>
                <w:kern w:val="0"/>
                <w:sz w:val="24"/>
              </w:rPr>
            </w:pPr>
          </w:p>
        </w:tc>
      </w:tr>
      <w:tr w:rsidR="00D7560A" w14:paraId="59E4958A"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9E49572"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Fixed-term — Consumer and Commercial</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9573"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9,343 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9574"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575"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9576"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271 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9577"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578"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9579"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957A"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57B"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957C"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9,638 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957D"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57E"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957F"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9,444 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9580"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581"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9582"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345 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9583"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584"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9585"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9586"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587"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9588"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9,833 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9589" w14:textId="77777777" w:rsidR="00D7560A" w:rsidRDefault="00D7560A">
            <w:pPr>
              <w:widowControl/>
              <w:jc w:val="right"/>
              <w:rPr>
                <w:rFonts w:ascii="Times New Roman" w:eastAsia="宋体" w:hAnsi="宋体" w:cs="宋体"/>
                <w:kern w:val="0"/>
                <w:sz w:val="24"/>
              </w:rPr>
            </w:pPr>
          </w:p>
        </w:tc>
      </w:tr>
      <w:tr w:rsidR="00D7560A" w14:paraId="59E495AB" w14:textId="77777777">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59E4958B"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Total customer receivables, gross</w:t>
            </w: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59E4958C"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59E4958D"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9,979 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59E4958E"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958F"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59E49590"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59E49591"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324 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59E49592"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9593"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59E49594"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59E49595"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40 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59E49596"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9597"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auto"/>
            <w:tcMar>
              <w:top w:w="40" w:type="dxa"/>
              <w:left w:w="20" w:type="dxa"/>
              <w:bottom w:w="40" w:type="dxa"/>
              <w:right w:w="0" w:type="dxa"/>
            </w:tcMar>
            <w:vAlign w:val="bottom"/>
          </w:tcPr>
          <w:p w14:paraId="59E49598"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auto"/>
            <w:tcMar>
              <w:top w:w="40" w:type="dxa"/>
              <w:left w:w="0" w:type="dxa"/>
              <w:bottom w:w="40" w:type="dxa"/>
              <w:right w:w="0" w:type="dxa"/>
            </w:tcMar>
            <w:vAlign w:val="bottom"/>
          </w:tcPr>
          <w:p w14:paraId="59E49599"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10,343 </w:t>
            </w:r>
          </w:p>
        </w:tc>
        <w:tc>
          <w:tcPr>
            <w:tcW w:w="0" w:type="auto"/>
            <w:tcBorders>
              <w:top w:val="single" w:sz="8" w:space="0" w:color="000000"/>
              <w:left w:val="nil"/>
              <w:bottom w:val="double" w:sz="2" w:space="0" w:color="000000"/>
              <w:right w:val="nil"/>
            </w:tcBorders>
            <w:shd w:val="clear" w:color="auto" w:fill="auto"/>
            <w:tcMar>
              <w:top w:w="40" w:type="dxa"/>
              <w:left w:w="0" w:type="dxa"/>
              <w:bottom w:w="40" w:type="dxa"/>
              <w:right w:w="20" w:type="dxa"/>
            </w:tcMar>
            <w:vAlign w:val="bottom"/>
          </w:tcPr>
          <w:p w14:paraId="59E4959A"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959B"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59E4959C"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59E4959D"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10,122 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59E4959E"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959F"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59E495A0"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59E495A1"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403 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59E495A2"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95A3"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59E495A4"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59E495A5"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58 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59E495A6"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95A7"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59E495A8"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59E495A9"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10,583 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59E495AA" w14:textId="77777777" w:rsidR="00D7560A" w:rsidRDefault="00D7560A">
            <w:pPr>
              <w:widowControl/>
              <w:jc w:val="right"/>
              <w:rPr>
                <w:rFonts w:ascii="Times New Roman" w:eastAsia="宋体" w:hAnsi="宋体" w:cs="宋体"/>
                <w:kern w:val="0"/>
                <w:sz w:val="24"/>
              </w:rPr>
            </w:pPr>
          </w:p>
        </w:tc>
      </w:tr>
    </w:tbl>
    <w:p w14:paraId="59E495AC"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95AD"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Aging is likely to fluctuate as a result of the variability in volume of large transact</w:t>
      </w:r>
      <w:r>
        <w:rPr>
          <w:rFonts w:ascii="Times New Roman" w:eastAsia="宋体" w:hAnsi="Times New Roman" w:cs="Times New Roman"/>
          <w:color w:val="000000"/>
          <w:kern w:val="0"/>
          <w:sz w:val="20"/>
          <w:szCs w:val="20"/>
          <w:lang w:bidi="ar"/>
        </w:rPr>
        <w:t>ions entered into over the period, and the administrative processes that accompany those transactions. Aging is also impacted by the timing of the Dell Technologies fiscal period end date relative to calendar month-end customer payment due dates.  As a res</w:t>
      </w:r>
      <w:r>
        <w:rPr>
          <w:rFonts w:ascii="Times New Roman" w:eastAsia="宋体" w:hAnsi="Times New Roman" w:cs="Times New Roman"/>
          <w:color w:val="000000"/>
          <w:kern w:val="0"/>
          <w:sz w:val="20"/>
          <w:szCs w:val="20"/>
          <w:lang w:bidi="ar"/>
        </w:rPr>
        <w:t>ult of these factors, fluctuations in aging from period to period do not necessarily indicate a material change in the collectibility of the portfolio.</w:t>
      </w:r>
    </w:p>
    <w:p w14:paraId="59E495AE"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95AF"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Fixed-term consumer and commercial customer receivables are placed on non-accrual status if principal </w:t>
      </w:r>
      <w:r>
        <w:rPr>
          <w:rFonts w:ascii="Times New Roman" w:eastAsia="宋体" w:hAnsi="Times New Roman" w:cs="Times New Roman"/>
          <w:color w:val="000000"/>
          <w:kern w:val="0"/>
          <w:sz w:val="20"/>
          <w:szCs w:val="20"/>
          <w:lang w:bidi="ar"/>
        </w:rPr>
        <w:t>or interest is past due and considered delinquent, or if there is concern about collectibility of a specific customer receivable. The receivables identified as doubtful for collectibility may be classified as current for aging purposes. Aged revolving port</w:t>
      </w:r>
      <w:r>
        <w:rPr>
          <w:rFonts w:ascii="Times New Roman" w:eastAsia="宋体" w:hAnsi="Times New Roman" w:cs="Times New Roman"/>
          <w:color w:val="000000"/>
          <w:kern w:val="0"/>
          <w:sz w:val="20"/>
          <w:szCs w:val="20"/>
          <w:lang w:bidi="ar"/>
        </w:rPr>
        <w:t>folio customer receivables identified as delinquent are charged off.</w:t>
      </w:r>
    </w:p>
    <w:p w14:paraId="59E495B0"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95B1"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22</w:t>
      </w:r>
    </w:p>
    <w:p w14:paraId="59E495B2"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95B3" w14:textId="77777777" w:rsidR="00D7560A" w:rsidRDefault="001E3CAB">
      <w:pPr>
        <w:widowControl/>
        <w:jc w:val="center"/>
      </w:pPr>
      <w:r>
        <w:rPr>
          <w:rFonts w:ascii="宋体" w:eastAsia="宋体" w:hAnsi="宋体" w:cs="宋体"/>
          <w:kern w:val="0"/>
          <w:sz w:val="24"/>
        </w:rPr>
        <w:pict w14:anchorId="59E4C7E1">
          <v:rect id="_x0000_i1046" style="width:6in;height:1.5pt" o:hralign="center" o:hrstd="t" o:hr="t" fillcolor="#a0a0a0" stroked="f"/>
        </w:pict>
      </w:r>
    </w:p>
    <w:p w14:paraId="59E495B4" w14:textId="77777777" w:rsidR="00D7560A" w:rsidRDefault="001E3CAB">
      <w:pPr>
        <w:widowControl/>
        <w:jc w:val="left"/>
        <w:rPr>
          <w:rFonts w:ascii="宋体" w:eastAsia="宋体" w:hAnsi="宋体" w:cs="宋体"/>
          <w:kern w:val="0"/>
          <w:sz w:val="24"/>
        </w:rPr>
      </w:pPr>
      <w:hyperlink w:anchor="if933dd1d5d004d2495dd7029e3ecad00_13" w:history="1">
        <w:r>
          <w:rPr>
            <w:rStyle w:val="a4"/>
            <w:rFonts w:ascii="Times New Roman" w:eastAsia="宋体" w:hAnsi="Times New Roman" w:cs="Times New Roman"/>
            <w:sz w:val="20"/>
            <w:szCs w:val="20"/>
          </w:rPr>
          <w:t>Table of Contents</w:t>
        </w:r>
      </w:hyperlink>
    </w:p>
    <w:p w14:paraId="59E495B5"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DELL TECHNOLOGIES INC.</w:t>
      </w:r>
    </w:p>
    <w:p w14:paraId="59E495B6"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 xml:space="preserve">NOTES TO THE CONDENSED CONSOLIDATED FINANCIAL STATEMENTS </w:t>
      </w:r>
      <w:r>
        <w:rPr>
          <w:rFonts w:ascii="Times New Roman" w:eastAsia="宋体" w:hAnsi="Times New Roman" w:cs="Times New Roman"/>
          <w:b/>
          <w:bCs/>
          <w:color w:val="000000"/>
          <w:kern w:val="0"/>
          <w:sz w:val="20"/>
          <w:szCs w:val="20"/>
          <w:lang w:bidi="ar"/>
        </w:rPr>
        <w:t>(Continued)</w:t>
      </w:r>
    </w:p>
    <w:p w14:paraId="59E495B7"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(unaudited)</w:t>
      </w:r>
    </w:p>
    <w:p w14:paraId="59E495B8"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95B9" w14:textId="77777777" w:rsidR="00D7560A" w:rsidRDefault="001E3CAB">
      <w:pPr>
        <w:widowControl/>
        <w:spacing w:before="120"/>
        <w:jc w:val="left"/>
        <w:rPr>
          <w:rFonts w:ascii="宋体" w:eastAsia="宋体" w:hAnsi="宋体" w:cs="宋体"/>
          <w:kern w:val="0"/>
          <w:sz w:val="24"/>
        </w:rPr>
      </w:pPr>
      <w:r>
        <w:rPr>
          <w:rFonts w:ascii="Times New Roman" w:eastAsia="宋体" w:hAnsi="Times New Roman" w:cs="Times New Roman"/>
          <w:i/>
          <w:iCs/>
          <w:color w:val="000000"/>
          <w:kern w:val="0"/>
          <w:sz w:val="20"/>
          <w:szCs w:val="20"/>
          <w:u w:val="single"/>
          <w:lang w:bidi="ar"/>
        </w:rPr>
        <w:t>Credit Quality</w:t>
      </w:r>
    </w:p>
    <w:p w14:paraId="59E495BA"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95BB" w14:textId="77777777" w:rsidR="00D7560A" w:rsidRDefault="001E3CAB">
      <w:pPr>
        <w:widowControl/>
        <w:spacing w:after="12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The following tables present customer receivables, gross, including accrued interest, by credit quality indicator segregated by class, as of the dates indicated: </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46"/>
        <w:gridCol w:w="834"/>
        <w:gridCol w:w="36"/>
        <w:gridCol w:w="120"/>
        <w:gridCol w:w="500"/>
        <w:gridCol w:w="36"/>
        <w:gridCol w:w="36"/>
        <w:gridCol w:w="36"/>
        <w:gridCol w:w="36"/>
        <w:gridCol w:w="120"/>
        <w:gridCol w:w="500"/>
        <w:gridCol w:w="36"/>
        <w:gridCol w:w="36"/>
        <w:gridCol w:w="36"/>
        <w:gridCol w:w="36"/>
        <w:gridCol w:w="120"/>
        <w:gridCol w:w="500"/>
        <w:gridCol w:w="36"/>
        <w:gridCol w:w="36"/>
        <w:gridCol w:w="36"/>
        <w:gridCol w:w="36"/>
        <w:gridCol w:w="120"/>
        <w:gridCol w:w="457"/>
        <w:gridCol w:w="36"/>
        <w:gridCol w:w="36"/>
        <w:gridCol w:w="36"/>
        <w:gridCol w:w="36"/>
        <w:gridCol w:w="120"/>
        <w:gridCol w:w="481"/>
        <w:gridCol w:w="36"/>
        <w:gridCol w:w="36"/>
        <w:gridCol w:w="36"/>
        <w:gridCol w:w="36"/>
        <w:gridCol w:w="121"/>
        <w:gridCol w:w="481"/>
        <w:gridCol w:w="36"/>
        <w:gridCol w:w="36"/>
        <w:gridCol w:w="36"/>
        <w:gridCol w:w="36"/>
        <w:gridCol w:w="121"/>
        <w:gridCol w:w="815"/>
        <w:gridCol w:w="36"/>
        <w:gridCol w:w="36"/>
        <w:gridCol w:w="36"/>
        <w:gridCol w:w="36"/>
        <w:gridCol w:w="121"/>
        <w:gridCol w:w="815"/>
        <w:gridCol w:w="36"/>
        <w:gridCol w:w="36"/>
        <w:gridCol w:w="36"/>
        <w:gridCol w:w="36"/>
        <w:gridCol w:w="120"/>
        <w:gridCol w:w="600"/>
        <w:gridCol w:w="36"/>
      </w:tblGrid>
      <w:tr w:rsidR="00D7560A" w14:paraId="59E495F2" w14:textId="77777777">
        <w:tc>
          <w:tcPr>
            <w:tcW w:w="50" w:type="pct"/>
            <w:tcBorders>
              <w:top w:val="nil"/>
              <w:left w:val="nil"/>
              <w:bottom w:val="nil"/>
              <w:right w:val="nil"/>
            </w:tcBorders>
            <w:shd w:val="clear" w:color="auto" w:fill="auto"/>
            <w:vAlign w:val="bottom"/>
          </w:tcPr>
          <w:p w14:paraId="59E495BC" w14:textId="77777777" w:rsidR="00D7560A" w:rsidRDefault="00D7560A">
            <w:pPr>
              <w:widowControl/>
              <w:jc w:val="left"/>
              <w:rPr>
                <w:rFonts w:ascii="Times New Roman" w:eastAsia="宋体" w:hAnsi="宋体" w:cs="宋体"/>
                <w:kern w:val="0"/>
                <w:sz w:val="24"/>
              </w:rPr>
            </w:pPr>
          </w:p>
        </w:tc>
        <w:tc>
          <w:tcPr>
            <w:tcW w:w="602" w:type="pct"/>
            <w:tcBorders>
              <w:top w:val="nil"/>
              <w:left w:val="nil"/>
              <w:bottom w:val="nil"/>
              <w:right w:val="nil"/>
            </w:tcBorders>
            <w:shd w:val="clear" w:color="auto" w:fill="auto"/>
            <w:vAlign w:val="bottom"/>
          </w:tcPr>
          <w:p w14:paraId="59E495BD"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5BE"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95BF" w14:textId="77777777" w:rsidR="00D7560A" w:rsidRDefault="00D7560A">
            <w:pPr>
              <w:widowControl/>
              <w:jc w:val="left"/>
              <w:rPr>
                <w:rFonts w:ascii="Times New Roman" w:eastAsia="宋体" w:hAnsi="宋体" w:cs="宋体"/>
                <w:kern w:val="0"/>
                <w:sz w:val="24"/>
              </w:rPr>
            </w:pPr>
          </w:p>
        </w:tc>
        <w:tc>
          <w:tcPr>
            <w:tcW w:w="354" w:type="pct"/>
            <w:tcBorders>
              <w:top w:val="nil"/>
              <w:left w:val="nil"/>
              <w:bottom w:val="nil"/>
              <w:right w:val="nil"/>
            </w:tcBorders>
            <w:shd w:val="clear" w:color="auto" w:fill="auto"/>
            <w:vAlign w:val="bottom"/>
          </w:tcPr>
          <w:p w14:paraId="59E495C0"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5C1"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5C2" w14:textId="77777777" w:rsidR="00D7560A" w:rsidRDefault="00D7560A">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59E495C3"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5C4"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95C5" w14:textId="77777777" w:rsidR="00D7560A" w:rsidRDefault="00D7560A">
            <w:pPr>
              <w:widowControl/>
              <w:jc w:val="left"/>
              <w:rPr>
                <w:rFonts w:ascii="Times New Roman" w:eastAsia="宋体" w:hAnsi="宋体" w:cs="宋体"/>
                <w:kern w:val="0"/>
                <w:sz w:val="24"/>
              </w:rPr>
            </w:pPr>
          </w:p>
        </w:tc>
        <w:tc>
          <w:tcPr>
            <w:tcW w:w="354" w:type="pct"/>
            <w:tcBorders>
              <w:top w:val="nil"/>
              <w:left w:val="nil"/>
              <w:bottom w:val="nil"/>
              <w:right w:val="nil"/>
            </w:tcBorders>
            <w:shd w:val="clear" w:color="auto" w:fill="auto"/>
            <w:vAlign w:val="bottom"/>
          </w:tcPr>
          <w:p w14:paraId="59E495C6"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5C7"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5C8" w14:textId="77777777" w:rsidR="00D7560A" w:rsidRDefault="00D7560A">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59E495C9"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5CA"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95CB" w14:textId="77777777" w:rsidR="00D7560A" w:rsidRDefault="00D7560A">
            <w:pPr>
              <w:widowControl/>
              <w:jc w:val="left"/>
              <w:rPr>
                <w:rFonts w:ascii="Times New Roman" w:eastAsia="宋体" w:hAnsi="宋体" w:cs="宋体"/>
                <w:kern w:val="0"/>
                <w:sz w:val="24"/>
              </w:rPr>
            </w:pPr>
          </w:p>
        </w:tc>
        <w:tc>
          <w:tcPr>
            <w:tcW w:w="354" w:type="pct"/>
            <w:tcBorders>
              <w:top w:val="nil"/>
              <w:left w:val="nil"/>
              <w:bottom w:val="nil"/>
              <w:right w:val="nil"/>
            </w:tcBorders>
            <w:shd w:val="clear" w:color="auto" w:fill="auto"/>
            <w:vAlign w:val="bottom"/>
          </w:tcPr>
          <w:p w14:paraId="59E495CC"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5CD"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5CE" w14:textId="77777777" w:rsidR="00D7560A" w:rsidRDefault="00D7560A">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59E495CF"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5D0"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95D1" w14:textId="77777777" w:rsidR="00D7560A" w:rsidRDefault="00D7560A">
            <w:pPr>
              <w:widowControl/>
              <w:jc w:val="left"/>
              <w:rPr>
                <w:rFonts w:ascii="Times New Roman" w:eastAsia="宋体" w:hAnsi="宋体" w:cs="宋体"/>
                <w:kern w:val="0"/>
                <w:sz w:val="24"/>
              </w:rPr>
            </w:pPr>
          </w:p>
        </w:tc>
        <w:tc>
          <w:tcPr>
            <w:tcW w:w="354" w:type="pct"/>
            <w:tcBorders>
              <w:top w:val="nil"/>
              <w:left w:val="nil"/>
              <w:bottom w:val="nil"/>
              <w:right w:val="nil"/>
            </w:tcBorders>
            <w:shd w:val="clear" w:color="auto" w:fill="auto"/>
            <w:vAlign w:val="bottom"/>
          </w:tcPr>
          <w:p w14:paraId="59E495D2"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5D3"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5D4" w14:textId="77777777" w:rsidR="00D7560A" w:rsidRDefault="00D7560A">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59E495D5"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5D6"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95D7" w14:textId="77777777" w:rsidR="00D7560A" w:rsidRDefault="00D7560A">
            <w:pPr>
              <w:widowControl/>
              <w:jc w:val="left"/>
              <w:rPr>
                <w:rFonts w:ascii="Times New Roman" w:eastAsia="宋体" w:hAnsi="宋体" w:cs="宋体"/>
                <w:kern w:val="0"/>
                <w:sz w:val="24"/>
              </w:rPr>
            </w:pPr>
          </w:p>
        </w:tc>
        <w:tc>
          <w:tcPr>
            <w:tcW w:w="354" w:type="pct"/>
            <w:tcBorders>
              <w:top w:val="nil"/>
              <w:left w:val="nil"/>
              <w:bottom w:val="nil"/>
              <w:right w:val="nil"/>
            </w:tcBorders>
            <w:shd w:val="clear" w:color="auto" w:fill="auto"/>
            <w:vAlign w:val="bottom"/>
          </w:tcPr>
          <w:p w14:paraId="59E495D8"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5D9"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5DA" w14:textId="77777777" w:rsidR="00D7560A" w:rsidRDefault="00D7560A">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59E495DB"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5DC"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95DD" w14:textId="77777777" w:rsidR="00D7560A" w:rsidRDefault="00D7560A">
            <w:pPr>
              <w:widowControl/>
              <w:jc w:val="left"/>
              <w:rPr>
                <w:rFonts w:ascii="Times New Roman" w:eastAsia="宋体" w:hAnsi="宋体" w:cs="宋体"/>
                <w:kern w:val="0"/>
                <w:sz w:val="24"/>
              </w:rPr>
            </w:pPr>
          </w:p>
        </w:tc>
        <w:tc>
          <w:tcPr>
            <w:tcW w:w="354" w:type="pct"/>
            <w:tcBorders>
              <w:top w:val="nil"/>
              <w:left w:val="nil"/>
              <w:bottom w:val="nil"/>
              <w:right w:val="nil"/>
            </w:tcBorders>
            <w:shd w:val="clear" w:color="auto" w:fill="auto"/>
            <w:vAlign w:val="bottom"/>
          </w:tcPr>
          <w:p w14:paraId="59E495DE"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5DF"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5E0" w14:textId="77777777" w:rsidR="00D7560A" w:rsidRDefault="00D7560A">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59E495E1"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5E2"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95E3" w14:textId="77777777" w:rsidR="00D7560A" w:rsidRDefault="00D7560A">
            <w:pPr>
              <w:widowControl/>
              <w:jc w:val="left"/>
              <w:rPr>
                <w:rFonts w:ascii="Times New Roman" w:eastAsia="宋体" w:hAnsi="宋体" w:cs="宋体"/>
                <w:kern w:val="0"/>
                <w:sz w:val="24"/>
              </w:rPr>
            </w:pPr>
          </w:p>
        </w:tc>
        <w:tc>
          <w:tcPr>
            <w:tcW w:w="551" w:type="pct"/>
            <w:tcBorders>
              <w:top w:val="nil"/>
              <w:left w:val="nil"/>
              <w:bottom w:val="nil"/>
              <w:right w:val="nil"/>
            </w:tcBorders>
            <w:shd w:val="clear" w:color="auto" w:fill="auto"/>
            <w:vAlign w:val="bottom"/>
          </w:tcPr>
          <w:p w14:paraId="59E495E4"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5E5"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5E6" w14:textId="77777777" w:rsidR="00D7560A" w:rsidRDefault="00D7560A">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59E495E7"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5E8"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95E9" w14:textId="77777777" w:rsidR="00D7560A" w:rsidRDefault="00D7560A">
            <w:pPr>
              <w:widowControl/>
              <w:jc w:val="left"/>
              <w:rPr>
                <w:rFonts w:ascii="Times New Roman" w:eastAsia="宋体" w:hAnsi="宋体" w:cs="宋体"/>
                <w:kern w:val="0"/>
                <w:sz w:val="24"/>
              </w:rPr>
            </w:pPr>
          </w:p>
        </w:tc>
        <w:tc>
          <w:tcPr>
            <w:tcW w:w="551" w:type="pct"/>
            <w:tcBorders>
              <w:top w:val="nil"/>
              <w:left w:val="nil"/>
              <w:bottom w:val="nil"/>
              <w:right w:val="nil"/>
            </w:tcBorders>
            <w:shd w:val="clear" w:color="auto" w:fill="auto"/>
            <w:vAlign w:val="bottom"/>
          </w:tcPr>
          <w:p w14:paraId="59E495EA"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5EB"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5EC" w14:textId="77777777" w:rsidR="00D7560A" w:rsidRDefault="00D7560A">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59E495ED"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5EE"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95EF" w14:textId="77777777" w:rsidR="00D7560A" w:rsidRDefault="00D7560A">
            <w:pPr>
              <w:widowControl/>
              <w:jc w:val="left"/>
              <w:rPr>
                <w:rFonts w:ascii="Times New Roman" w:eastAsia="宋体" w:hAnsi="宋体" w:cs="宋体"/>
                <w:kern w:val="0"/>
                <w:sz w:val="24"/>
              </w:rPr>
            </w:pPr>
          </w:p>
        </w:tc>
        <w:tc>
          <w:tcPr>
            <w:tcW w:w="383" w:type="pct"/>
            <w:tcBorders>
              <w:top w:val="nil"/>
              <w:left w:val="nil"/>
              <w:bottom w:val="nil"/>
              <w:right w:val="nil"/>
            </w:tcBorders>
            <w:shd w:val="clear" w:color="auto" w:fill="auto"/>
            <w:vAlign w:val="bottom"/>
          </w:tcPr>
          <w:p w14:paraId="59E495F0"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5F1" w14:textId="77777777" w:rsidR="00D7560A" w:rsidRDefault="00D7560A">
            <w:pPr>
              <w:widowControl/>
              <w:jc w:val="left"/>
              <w:rPr>
                <w:rFonts w:ascii="Times New Roman" w:eastAsia="宋体" w:hAnsi="宋体" w:cs="宋体"/>
                <w:kern w:val="0"/>
                <w:sz w:val="24"/>
              </w:rPr>
            </w:pPr>
          </w:p>
        </w:tc>
      </w:tr>
      <w:tr w:rsidR="00D7560A" w14:paraId="59E495F5"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95F3" w14:textId="77777777" w:rsidR="00D7560A" w:rsidRDefault="00D7560A">
            <w:pPr>
              <w:widowControl/>
              <w:jc w:val="left"/>
              <w:rPr>
                <w:rFonts w:ascii="Times New Roman" w:eastAsia="宋体" w:hAnsi="宋体" w:cs="宋体"/>
                <w:kern w:val="0"/>
                <w:sz w:val="24"/>
              </w:rPr>
            </w:pPr>
          </w:p>
        </w:tc>
        <w:tc>
          <w:tcPr>
            <w:tcW w:w="0" w:type="auto"/>
            <w:gridSpan w:val="51"/>
            <w:tcBorders>
              <w:top w:val="nil"/>
              <w:left w:val="nil"/>
              <w:bottom w:val="nil"/>
              <w:right w:val="nil"/>
            </w:tcBorders>
            <w:shd w:val="clear" w:color="auto" w:fill="auto"/>
            <w:tcMar>
              <w:top w:w="40" w:type="dxa"/>
              <w:left w:w="20" w:type="dxa"/>
              <w:bottom w:w="40" w:type="dxa"/>
              <w:right w:w="20" w:type="dxa"/>
            </w:tcMar>
            <w:vAlign w:val="bottom"/>
          </w:tcPr>
          <w:p w14:paraId="59E495F4"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29, 2022</w:t>
            </w:r>
          </w:p>
        </w:tc>
      </w:tr>
      <w:tr w:rsidR="00D7560A" w14:paraId="59E495FE"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95F6" w14:textId="77777777" w:rsidR="00D7560A" w:rsidRDefault="00D7560A">
            <w:pPr>
              <w:widowControl/>
              <w:jc w:val="left"/>
              <w:rPr>
                <w:rFonts w:ascii="Times New Roman" w:eastAsia="宋体" w:hAnsi="宋体" w:cs="宋体"/>
                <w:kern w:val="0"/>
                <w:sz w:val="24"/>
              </w:rPr>
            </w:pPr>
          </w:p>
        </w:tc>
        <w:tc>
          <w:tcPr>
            <w:tcW w:w="0" w:type="auto"/>
            <w:gridSpan w:val="3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59E495F7"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Fixed-term — Consumer and Commercial</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59E495F8"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59E495F9"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59E495FA"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59E495FB"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59E495FC"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59E495FD" w14:textId="77777777" w:rsidR="00D7560A" w:rsidRDefault="00D7560A">
            <w:pPr>
              <w:widowControl/>
              <w:jc w:val="left"/>
              <w:rPr>
                <w:rFonts w:ascii="Times New Roman" w:eastAsia="宋体" w:hAnsi="宋体" w:cs="宋体"/>
                <w:kern w:val="0"/>
                <w:sz w:val="24"/>
              </w:rPr>
            </w:pPr>
          </w:p>
        </w:tc>
      </w:tr>
      <w:tr w:rsidR="00D7560A" w14:paraId="59E49607"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95FF" w14:textId="77777777" w:rsidR="00D7560A" w:rsidRDefault="00D7560A">
            <w:pPr>
              <w:widowControl/>
              <w:jc w:val="left"/>
              <w:rPr>
                <w:rFonts w:ascii="Times New Roman" w:eastAsia="宋体" w:hAnsi="宋体" w:cs="宋体"/>
                <w:kern w:val="0"/>
                <w:sz w:val="24"/>
              </w:rPr>
            </w:pPr>
          </w:p>
        </w:tc>
        <w:tc>
          <w:tcPr>
            <w:tcW w:w="0" w:type="auto"/>
            <w:gridSpan w:val="33"/>
            <w:tcBorders>
              <w:top w:val="nil"/>
              <w:left w:val="nil"/>
              <w:bottom w:val="nil"/>
              <w:right w:val="nil"/>
            </w:tcBorders>
            <w:shd w:val="clear" w:color="auto" w:fill="auto"/>
            <w:tcMar>
              <w:top w:w="40" w:type="dxa"/>
              <w:left w:w="20" w:type="dxa"/>
              <w:bottom w:w="40" w:type="dxa"/>
              <w:right w:w="20" w:type="dxa"/>
            </w:tcMar>
            <w:vAlign w:val="bottom"/>
          </w:tcPr>
          <w:p w14:paraId="59E49600"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Fiscal Year of Origination</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9601"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9602"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9603"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9604"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9605"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9606" w14:textId="77777777" w:rsidR="00D7560A" w:rsidRDefault="00D7560A">
            <w:pPr>
              <w:widowControl/>
              <w:jc w:val="left"/>
              <w:rPr>
                <w:rFonts w:ascii="Times New Roman" w:eastAsia="宋体" w:hAnsi="宋体" w:cs="宋体"/>
                <w:kern w:val="0"/>
                <w:sz w:val="24"/>
              </w:rPr>
            </w:pPr>
          </w:p>
        </w:tc>
      </w:tr>
      <w:tr w:rsidR="00D7560A" w14:paraId="59E4961A"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9608"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59E49609"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2023</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59E4960A"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59E4960B"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2022</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59E4960C"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59E4960D"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2021</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59E4960E"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59E4960F"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2020</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59E49610"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59E49611"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2019</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59E49612"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59E49613"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Years Prior</w:t>
            </w: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59E49614"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auto"/>
            <w:tcMar>
              <w:top w:w="40" w:type="dxa"/>
              <w:left w:w="20" w:type="dxa"/>
              <w:bottom w:w="40" w:type="dxa"/>
              <w:right w:w="20" w:type="dxa"/>
            </w:tcMar>
            <w:vAlign w:val="bottom"/>
          </w:tcPr>
          <w:p w14:paraId="59E49615"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Revolving — DPA</w:t>
            </w: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59E49616"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auto"/>
            <w:tcMar>
              <w:top w:w="40" w:type="dxa"/>
              <w:left w:w="20" w:type="dxa"/>
              <w:bottom w:w="40" w:type="dxa"/>
              <w:right w:w="20" w:type="dxa"/>
            </w:tcMar>
            <w:vAlign w:val="bottom"/>
          </w:tcPr>
          <w:p w14:paraId="59E49617"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Revolving — DBC</w:t>
            </w: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59E49618"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auto"/>
            <w:tcMar>
              <w:top w:w="40" w:type="dxa"/>
              <w:left w:w="20" w:type="dxa"/>
              <w:bottom w:w="40" w:type="dxa"/>
              <w:right w:w="20" w:type="dxa"/>
            </w:tcMar>
            <w:vAlign w:val="bottom"/>
          </w:tcPr>
          <w:p w14:paraId="59E49619"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Total</w:t>
            </w:r>
          </w:p>
        </w:tc>
      </w:tr>
      <w:tr w:rsidR="00D7560A" w14:paraId="59E4961D"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961B" w14:textId="77777777" w:rsidR="00D7560A" w:rsidRDefault="00D7560A">
            <w:pPr>
              <w:widowControl/>
              <w:jc w:val="left"/>
              <w:rPr>
                <w:rFonts w:ascii="Times New Roman" w:eastAsia="宋体" w:hAnsi="宋体" w:cs="宋体"/>
                <w:kern w:val="0"/>
                <w:sz w:val="24"/>
              </w:rPr>
            </w:pPr>
          </w:p>
        </w:tc>
        <w:tc>
          <w:tcPr>
            <w:tcW w:w="0" w:type="auto"/>
            <w:gridSpan w:val="51"/>
            <w:tcBorders>
              <w:top w:val="single" w:sz="8" w:space="0" w:color="000000"/>
              <w:left w:val="nil"/>
              <w:bottom w:val="nil"/>
              <w:right w:val="nil"/>
            </w:tcBorders>
            <w:shd w:val="clear" w:color="auto" w:fill="auto"/>
            <w:tcMar>
              <w:top w:w="40" w:type="dxa"/>
              <w:left w:w="20" w:type="dxa"/>
              <w:bottom w:w="40" w:type="dxa"/>
              <w:right w:w="20" w:type="dxa"/>
            </w:tcMar>
            <w:vAlign w:val="center"/>
          </w:tcPr>
          <w:p w14:paraId="59E4961C" w14:textId="77777777" w:rsidR="00D7560A" w:rsidRDefault="001E3CAB">
            <w:pPr>
              <w:widowControl/>
              <w:jc w:val="center"/>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(in millions)</w:t>
            </w:r>
          </w:p>
        </w:tc>
      </w:tr>
      <w:tr w:rsidR="001E3CAB" w14:paraId="59E49642"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center"/>
          </w:tcPr>
          <w:p w14:paraId="59E4961E" w14:textId="77777777" w:rsidR="00D7560A" w:rsidRDefault="001E3CAB">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Higher</w:t>
            </w:r>
          </w:p>
        </w:tc>
        <w:tc>
          <w:tcPr>
            <w:tcW w:w="0" w:type="auto"/>
            <w:tcBorders>
              <w:top w:val="nil"/>
              <w:left w:val="nil"/>
              <w:bottom w:val="nil"/>
              <w:right w:val="nil"/>
            </w:tcBorders>
            <w:shd w:val="clear" w:color="auto" w:fill="CCEEFF"/>
            <w:tcMar>
              <w:top w:w="40" w:type="dxa"/>
              <w:left w:w="20" w:type="dxa"/>
              <w:bottom w:w="40" w:type="dxa"/>
              <w:right w:w="0" w:type="dxa"/>
            </w:tcMar>
            <w:vAlign w:val="center"/>
          </w:tcPr>
          <w:p w14:paraId="59E4961F" w14:textId="77777777" w:rsidR="00D7560A" w:rsidRDefault="001E3CAB">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center"/>
          </w:tcPr>
          <w:p w14:paraId="59E49620" w14:textId="77777777" w:rsidR="00D7560A" w:rsidRDefault="001E3CAB">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1,785 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59E49621"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622"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center"/>
          </w:tcPr>
          <w:p w14:paraId="59E49623" w14:textId="77777777" w:rsidR="00D7560A" w:rsidRDefault="001E3CAB">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center"/>
          </w:tcPr>
          <w:p w14:paraId="59E49624" w14:textId="77777777" w:rsidR="00D7560A" w:rsidRDefault="001E3CAB">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2,347 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59E49625"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626"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center"/>
          </w:tcPr>
          <w:p w14:paraId="59E49627" w14:textId="77777777" w:rsidR="00D7560A" w:rsidRDefault="001E3CAB">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center"/>
          </w:tcPr>
          <w:p w14:paraId="59E49628" w14:textId="77777777" w:rsidR="00D7560A" w:rsidRDefault="001E3CAB">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1,291 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59E49629"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62A"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center"/>
          </w:tcPr>
          <w:p w14:paraId="59E4962B" w14:textId="77777777" w:rsidR="00D7560A" w:rsidRDefault="001E3CAB">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center"/>
          </w:tcPr>
          <w:p w14:paraId="59E4962C" w14:textId="77777777" w:rsidR="00D7560A" w:rsidRDefault="001E3CAB">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578 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59E4962D"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62E"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center"/>
          </w:tcPr>
          <w:p w14:paraId="59E4962F" w14:textId="77777777" w:rsidR="00D7560A" w:rsidRDefault="001E3CAB">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center"/>
          </w:tcPr>
          <w:p w14:paraId="59E49630" w14:textId="77777777" w:rsidR="00D7560A" w:rsidRDefault="001E3CAB">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109 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59E49631"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632"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center"/>
          </w:tcPr>
          <w:p w14:paraId="59E49633" w14:textId="77777777" w:rsidR="00D7560A" w:rsidRDefault="001E3CAB">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center"/>
          </w:tcPr>
          <w:p w14:paraId="59E49634" w14:textId="77777777" w:rsidR="00D7560A" w:rsidRDefault="001E3CAB">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7 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59E49635"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636"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center"/>
          </w:tcPr>
          <w:p w14:paraId="59E49637" w14:textId="77777777" w:rsidR="00D7560A" w:rsidRDefault="001E3CAB">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center"/>
          </w:tcPr>
          <w:p w14:paraId="59E49638" w14:textId="77777777" w:rsidR="00D7560A" w:rsidRDefault="001E3CAB">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126 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59E49639"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63A"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center"/>
          </w:tcPr>
          <w:p w14:paraId="59E4963B" w14:textId="77777777" w:rsidR="00D7560A" w:rsidRDefault="001E3CAB">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center"/>
          </w:tcPr>
          <w:p w14:paraId="59E4963C" w14:textId="77777777" w:rsidR="00D7560A" w:rsidRDefault="001E3CAB">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46 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59E4963D"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63E"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center"/>
          </w:tcPr>
          <w:p w14:paraId="59E4963F" w14:textId="77777777" w:rsidR="00D7560A" w:rsidRDefault="001E3CAB">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center"/>
          </w:tcPr>
          <w:p w14:paraId="59E49640" w14:textId="77777777" w:rsidR="00D7560A" w:rsidRDefault="001E3CAB">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6,289 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59E49641" w14:textId="77777777" w:rsidR="00D7560A" w:rsidRDefault="00D7560A">
            <w:pPr>
              <w:widowControl/>
              <w:jc w:val="right"/>
              <w:rPr>
                <w:rFonts w:ascii="Times New Roman" w:eastAsia="宋体" w:hAnsi="宋体" w:cs="宋体"/>
                <w:kern w:val="0"/>
                <w:sz w:val="24"/>
              </w:rPr>
            </w:pPr>
          </w:p>
        </w:tc>
      </w:tr>
      <w:tr w:rsidR="00D7560A" w14:paraId="59E4965E"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center"/>
          </w:tcPr>
          <w:p w14:paraId="59E49643" w14:textId="77777777" w:rsidR="00D7560A" w:rsidRDefault="001E3CAB">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Mid</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59E49644" w14:textId="77777777" w:rsidR="00D7560A" w:rsidRDefault="001E3CAB">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690 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59E49645"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9646"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59E49647" w14:textId="77777777" w:rsidR="00D7560A" w:rsidRDefault="001E3CAB">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773 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59E49648"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9649"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59E4964A" w14:textId="77777777" w:rsidR="00D7560A" w:rsidRDefault="001E3CAB">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540 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59E4964B"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964C"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59E4964D" w14:textId="77777777" w:rsidR="00D7560A" w:rsidRDefault="001E3CAB">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194 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59E4964E"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964F"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59E49650" w14:textId="77777777" w:rsidR="00D7560A" w:rsidRDefault="001E3CAB">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47 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59E49651"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9652"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59E49653" w14:textId="77777777" w:rsidR="00D7560A" w:rsidRDefault="001E3CAB">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4 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59E49654"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9655"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59E49656" w14:textId="77777777" w:rsidR="00D7560A" w:rsidRDefault="001E3CAB">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149 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59E49657"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9658"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59E49659" w14:textId="77777777" w:rsidR="00D7560A" w:rsidRDefault="001E3CAB">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57 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59E4965A"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965B"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59E4965C" w14:textId="77777777" w:rsidR="00D7560A" w:rsidRDefault="001E3CAB">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2,454 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59E4965D" w14:textId="77777777" w:rsidR="00D7560A" w:rsidRDefault="00D7560A">
            <w:pPr>
              <w:widowControl/>
              <w:jc w:val="right"/>
              <w:rPr>
                <w:rFonts w:ascii="Times New Roman" w:eastAsia="宋体" w:hAnsi="宋体" w:cs="宋体"/>
                <w:kern w:val="0"/>
                <w:sz w:val="24"/>
              </w:rPr>
            </w:pPr>
          </w:p>
        </w:tc>
      </w:tr>
      <w:tr w:rsidR="00D7560A" w14:paraId="59E4967A"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center"/>
          </w:tcPr>
          <w:p w14:paraId="59E4965F" w14:textId="77777777" w:rsidR="00D7560A" w:rsidRDefault="001E3CAB">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Lower</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59E49660" w14:textId="77777777" w:rsidR="00D7560A" w:rsidRDefault="001E3CAB">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392 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59E49661"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662"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59E49663" w14:textId="77777777" w:rsidR="00D7560A" w:rsidRDefault="001E3CAB">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458 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59E49664"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665"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59E49666" w14:textId="77777777" w:rsidR="00D7560A" w:rsidRDefault="001E3CAB">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297 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59E49667"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668"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59E49669" w14:textId="77777777" w:rsidR="00D7560A" w:rsidRDefault="001E3CAB">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104 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59E4966A"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66B"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59E4966C" w14:textId="77777777" w:rsidR="00D7560A" w:rsidRDefault="001E3CAB">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19 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59E4966D"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66E"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59E4966F" w14:textId="77777777" w:rsidR="00D7560A" w:rsidRDefault="001E3CAB">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3 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59E49670"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671"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59E49672" w14:textId="77777777" w:rsidR="00D7560A" w:rsidRDefault="001E3CAB">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247 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59E49673"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674"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59E49675" w14:textId="77777777" w:rsidR="00D7560A" w:rsidRDefault="001E3CAB">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80 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59E49676"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677"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59E49678" w14:textId="77777777" w:rsidR="00D7560A" w:rsidRDefault="001E3CAB">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1,600 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59E49679" w14:textId="77777777" w:rsidR="00D7560A" w:rsidRDefault="00D7560A">
            <w:pPr>
              <w:widowControl/>
              <w:jc w:val="right"/>
              <w:rPr>
                <w:rFonts w:ascii="Times New Roman" w:eastAsia="宋体" w:hAnsi="宋体" w:cs="宋体"/>
                <w:kern w:val="0"/>
                <w:sz w:val="24"/>
              </w:rPr>
            </w:pPr>
          </w:p>
        </w:tc>
      </w:tr>
      <w:tr w:rsidR="001E3CAB" w14:paraId="59E4969F" w14:textId="77777777">
        <w:tc>
          <w:tcPr>
            <w:tcW w:w="0" w:type="auto"/>
            <w:gridSpan w:val="3"/>
            <w:tcBorders>
              <w:top w:val="nil"/>
              <w:left w:val="nil"/>
              <w:bottom w:val="nil"/>
              <w:right w:val="nil"/>
            </w:tcBorders>
            <w:shd w:val="clear" w:color="auto" w:fill="FFFFFF"/>
            <w:tcMar>
              <w:top w:w="40" w:type="dxa"/>
              <w:left w:w="155" w:type="dxa"/>
              <w:bottom w:w="40" w:type="dxa"/>
              <w:right w:w="20" w:type="dxa"/>
            </w:tcMar>
            <w:vAlign w:val="center"/>
          </w:tcPr>
          <w:p w14:paraId="59E4967B" w14:textId="77777777" w:rsidR="00D7560A" w:rsidRDefault="001E3CAB">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Total</w:t>
            </w: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center"/>
          </w:tcPr>
          <w:p w14:paraId="59E4967C" w14:textId="77777777" w:rsidR="00D7560A" w:rsidRDefault="001E3CAB">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center"/>
          </w:tcPr>
          <w:p w14:paraId="59E4967D" w14:textId="77777777" w:rsidR="00D7560A" w:rsidRDefault="001E3CAB">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2,867 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center"/>
          </w:tcPr>
          <w:p w14:paraId="59E4967E"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967F"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center"/>
          </w:tcPr>
          <w:p w14:paraId="59E49680" w14:textId="77777777" w:rsidR="00D7560A" w:rsidRDefault="001E3CAB">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center"/>
          </w:tcPr>
          <w:p w14:paraId="59E49681" w14:textId="77777777" w:rsidR="00D7560A" w:rsidRDefault="001E3CAB">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3,578 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center"/>
          </w:tcPr>
          <w:p w14:paraId="59E49682"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9683"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center"/>
          </w:tcPr>
          <w:p w14:paraId="59E49684" w14:textId="77777777" w:rsidR="00D7560A" w:rsidRDefault="001E3CAB">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center"/>
          </w:tcPr>
          <w:p w14:paraId="59E49685" w14:textId="77777777" w:rsidR="00D7560A" w:rsidRDefault="001E3CAB">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2,128 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center"/>
          </w:tcPr>
          <w:p w14:paraId="59E49686"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9687"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center"/>
          </w:tcPr>
          <w:p w14:paraId="59E49688" w14:textId="77777777" w:rsidR="00D7560A" w:rsidRDefault="001E3CAB">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center"/>
          </w:tcPr>
          <w:p w14:paraId="59E49689" w14:textId="77777777" w:rsidR="00D7560A" w:rsidRDefault="001E3CAB">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876 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center"/>
          </w:tcPr>
          <w:p w14:paraId="59E4968A"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968B"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center"/>
          </w:tcPr>
          <w:p w14:paraId="59E4968C" w14:textId="77777777" w:rsidR="00D7560A" w:rsidRDefault="001E3CAB">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center"/>
          </w:tcPr>
          <w:p w14:paraId="59E4968D" w14:textId="77777777" w:rsidR="00D7560A" w:rsidRDefault="001E3CAB">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175 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center"/>
          </w:tcPr>
          <w:p w14:paraId="59E4968E"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968F"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center"/>
          </w:tcPr>
          <w:p w14:paraId="59E49690" w14:textId="77777777" w:rsidR="00D7560A" w:rsidRDefault="001E3CAB">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center"/>
          </w:tcPr>
          <w:p w14:paraId="59E49691" w14:textId="77777777" w:rsidR="00D7560A" w:rsidRDefault="001E3CAB">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14 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center"/>
          </w:tcPr>
          <w:p w14:paraId="59E49692"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9693"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center"/>
          </w:tcPr>
          <w:p w14:paraId="59E49694" w14:textId="77777777" w:rsidR="00D7560A" w:rsidRDefault="001E3CAB">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center"/>
          </w:tcPr>
          <w:p w14:paraId="59E49695" w14:textId="77777777" w:rsidR="00D7560A" w:rsidRDefault="001E3CAB">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522 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center"/>
          </w:tcPr>
          <w:p w14:paraId="59E49696"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9697"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center"/>
          </w:tcPr>
          <w:p w14:paraId="59E49698" w14:textId="77777777" w:rsidR="00D7560A" w:rsidRDefault="001E3CAB">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center"/>
          </w:tcPr>
          <w:p w14:paraId="59E49699" w14:textId="77777777" w:rsidR="00D7560A" w:rsidRDefault="001E3CAB">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183 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center"/>
          </w:tcPr>
          <w:p w14:paraId="59E4969A"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969B"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center"/>
          </w:tcPr>
          <w:p w14:paraId="59E4969C" w14:textId="77777777" w:rsidR="00D7560A" w:rsidRDefault="001E3CAB">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center"/>
          </w:tcPr>
          <w:p w14:paraId="59E4969D" w14:textId="77777777" w:rsidR="00D7560A" w:rsidRDefault="001E3CAB">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10,343 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center"/>
          </w:tcPr>
          <w:p w14:paraId="59E4969E" w14:textId="77777777" w:rsidR="00D7560A" w:rsidRDefault="00D7560A">
            <w:pPr>
              <w:widowControl/>
              <w:jc w:val="right"/>
              <w:rPr>
                <w:rFonts w:ascii="Times New Roman" w:eastAsia="宋体" w:hAnsi="宋体" w:cs="宋体"/>
                <w:kern w:val="0"/>
                <w:sz w:val="24"/>
              </w:rPr>
            </w:pPr>
          </w:p>
        </w:tc>
      </w:tr>
    </w:tbl>
    <w:p w14:paraId="59E496A0"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46"/>
        <w:gridCol w:w="833"/>
        <w:gridCol w:w="36"/>
        <w:gridCol w:w="120"/>
        <w:gridCol w:w="500"/>
        <w:gridCol w:w="36"/>
        <w:gridCol w:w="36"/>
        <w:gridCol w:w="36"/>
        <w:gridCol w:w="36"/>
        <w:gridCol w:w="120"/>
        <w:gridCol w:w="500"/>
        <w:gridCol w:w="36"/>
        <w:gridCol w:w="36"/>
        <w:gridCol w:w="36"/>
        <w:gridCol w:w="36"/>
        <w:gridCol w:w="120"/>
        <w:gridCol w:w="500"/>
        <w:gridCol w:w="36"/>
        <w:gridCol w:w="36"/>
        <w:gridCol w:w="36"/>
        <w:gridCol w:w="36"/>
        <w:gridCol w:w="120"/>
        <w:gridCol w:w="457"/>
        <w:gridCol w:w="36"/>
        <w:gridCol w:w="36"/>
        <w:gridCol w:w="36"/>
        <w:gridCol w:w="36"/>
        <w:gridCol w:w="121"/>
        <w:gridCol w:w="481"/>
        <w:gridCol w:w="36"/>
        <w:gridCol w:w="36"/>
        <w:gridCol w:w="36"/>
        <w:gridCol w:w="36"/>
        <w:gridCol w:w="121"/>
        <w:gridCol w:w="481"/>
        <w:gridCol w:w="36"/>
        <w:gridCol w:w="36"/>
        <w:gridCol w:w="36"/>
        <w:gridCol w:w="36"/>
        <w:gridCol w:w="121"/>
        <w:gridCol w:w="815"/>
        <w:gridCol w:w="36"/>
        <w:gridCol w:w="36"/>
        <w:gridCol w:w="36"/>
        <w:gridCol w:w="36"/>
        <w:gridCol w:w="121"/>
        <w:gridCol w:w="815"/>
        <w:gridCol w:w="36"/>
        <w:gridCol w:w="36"/>
        <w:gridCol w:w="36"/>
        <w:gridCol w:w="36"/>
        <w:gridCol w:w="120"/>
        <w:gridCol w:w="600"/>
        <w:gridCol w:w="36"/>
      </w:tblGrid>
      <w:tr w:rsidR="00D7560A" w14:paraId="59E496D7" w14:textId="77777777">
        <w:tc>
          <w:tcPr>
            <w:tcW w:w="50" w:type="pct"/>
            <w:tcBorders>
              <w:top w:val="nil"/>
              <w:left w:val="nil"/>
              <w:bottom w:val="nil"/>
              <w:right w:val="nil"/>
            </w:tcBorders>
            <w:shd w:val="clear" w:color="auto" w:fill="auto"/>
            <w:vAlign w:val="bottom"/>
          </w:tcPr>
          <w:p w14:paraId="59E496A1" w14:textId="77777777" w:rsidR="00D7560A" w:rsidRDefault="00D7560A">
            <w:pPr>
              <w:widowControl/>
              <w:jc w:val="left"/>
              <w:rPr>
                <w:rFonts w:ascii="Times New Roman" w:eastAsia="宋体" w:hAnsi="宋体" w:cs="宋体"/>
                <w:kern w:val="0"/>
                <w:sz w:val="24"/>
              </w:rPr>
            </w:pPr>
          </w:p>
        </w:tc>
        <w:tc>
          <w:tcPr>
            <w:tcW w:w="602" w:type="pct"/>
            <w:tcBorders>
              <w:top w:val="nil"/>
              <w:left w:val="nil"/>
              <w:bottom w:val="nil"/>
              <w:right w:val="nil"/>
            </w:tcBorders>
            <w:shd w:val="clear" w:color="auto" w:fill="auto"/>
            <w:vAlign w:val="bottom"/>
          </w:tcPr>
          <w:p w14:paraId="59E496A2"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6A3"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96A4" w14:textId="77777777" w:rsidR="00D7560A" w:rsidRDefault="00D7560A">
            <w:pPr>
              <w:widowControl/>
              <w:jc w:val="left"/>
              <w:rPr>
                <w:rFonts w:ascii="Times New Roman" w:eastAsia="宋体" w:hAnsi="宋体" w:cs="宋体"/>
                <w:kern w:val="0"/>
                <w:sz w:val="24"/>
              </w:rPr>
            </w:pPr>
          </w:p>
        </w:tc>
        <w:tc>
          <w:tcPr>
            <w:tcW w:w="354" w:type="pct"/>
            <w:tcBorders>
              <w:top w:val="nil"/>
              <w:left w:val="nil"/>
              <w:bottom w:val="nil"/>
              <w:right w:val="nil"/>
            </w:tcBorders>
            <w:shd w:val="clear" w:color="auto" w:fill="auto"/>
            <w:vAlign w:val="bottom"/>
          </w:tcPr>
          <w:p w14:paraId="59E496A5"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6A6"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6A7" w14:textId="77777777" w:rsidR="00D7560A" w:rsidRDefault="00D7560A">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59E496A8"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6A9"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96AA" w14:textId="77777777" w:rsidR="00D7560A" w:rsidRDefault="00D7560A">
            <w:pPr>
              <w:widowControl/>
              <w:jc w:val="left"/>
              <w:rPr>
                <w:rFonts w:ascii="Times New Roman" w:eastAsia="宋体" w:hAnsi="宋体" w:cs="宋体"/>
                <w:kern w:val="0"/>
                <w:sz w:val="24"/>
              </w:rPr>
            </w:pPr>
          </w:p>
        </w:tc>
        <w:tc>
          <w:tcPr>
            <w:tcW w:w="354" w:type="pct"/>
            <w:tcBorders>
              <w:top w:val="nil"/>
              <w:left w:val="nil"/>
              <w:bottom w:val="nil"/>
              <w:right w:val="nil"/>
            </w:tcBorders>
            <w:shd w:val="clear" w:color="auto" w:fill="auto"/>
            <w:vAlign w:val="bottom"/>
          </w:tcPr>
          <w:p w14:paraId="59E496AB"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6AC"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6AD" w14:textId="77777777" w:rsidR="00D7560A" w:rsidRDefault="00D7560A">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59E496AE"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6AF"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96B0" w14:textId="77777777" w:rsidR="00D7560A" w:rsidRDefault="00D7560A">
            <w:pPr>
              <w:widowControl/>
              <w:jc w:val="left"/>
              <w:rPr>
                <w:rFonts w:ascii="Times New Roman" w:eastAsia="宋体" w:hAnsi="宋体" w:cs="宋体"/>
                <w:kern w:val="0"/>
                <w:sz w:val="24"/>
              </w:rPr>
            </w:pPr>
          </w:p>
        </w:tc>
        <w:tc>
          <w:tcPr>
            <w:tcW w:w="354" w:type="pct"/>
            <w:tcBorders>
              <w:top w:val="nil"/>
              <w:left w:val="nil"/>
              <w:bottom w:val="nil"/>
              <w:right w:val="nil"/>
            </w:tcBorders>
            <w:shd w:val="clear" w:color="auto" w:fill="auto"/>
            <w:vAlign w:val="bottom"/>
          </w:tcPr>
          <w:p w14:paraId="59E496B1"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6B2"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6B3" w14:textId="77777777" w:rsidR="00D7560A" w:rsidRDefault="00D7560A">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59E496B4"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6B5"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96B6" w14:textId="77777777" w:rsidR="00D7560A" w:rsidRDefault="00D7560A">
            <w:pPr>
              <w:widowControl/>
              <w:jc w:val="left"/>
              <w:rPr>
                <w:rFonts w:ascii="Times New Roman" w:eastAsia="宋体" w:hAnsi="宋体" w:cs="宋体"/>
                <w:kern w:val="0"/>
                <w:sz w:val="24"/>
              </w:rPr>
            </w:pPr>
          </w:p>
        </w:tc>
        <w:tc>
          <w:tcPr>
            <w:tcW w:w="354" w:type="pct"/>
            <w:tcBorders>
              <w:top w:val="nil"/>
              <w:left w:val="nil"/>
              <w:bottom w:val="nil"/>
              <w:right w:val="nil"/>
            </w:tcBorders>
            <w:shd w:val="clear" w:color="auto" w:fill="auto"/>
            <w:vAlign w:val="bottom"/>
          </w:tcPr>
          <w:p w14:paraId="59E496B7"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6B8"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6B9" w14:textId="77777777" w:rsidR="00D7560A" w:rsidRDefault="00D7560A">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59E496BA"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6BB"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96BC" w14:textId="77777777" w:rsidR="00D7560A" w:rsidRDefault="00D7560A">
            <w:pPr>
              <w:widowControl/>
              <w:jc w:val="left"/>
              <w:rPr>
                <w:rFonts w:ascii="Times New Roman" w:eastAsia="宋体" w:hAnsi="宋体" w:cs="宋体"/>
                <w:kern w:val="0"/>
                <w:sz w:val="24"/>
              </w:rPr>
            </w:pPr>
          </w:p>
        </w:tc>
        <w:tc>
          <w:tcPr>
            <w:tcW w:w="354" w:type="pct"/>
            <w:tcBorders>
              <w:top w:val="nil"/>
              <w:left w:val="nil"/>
              <w:bottom w:val="nil"/>
              <w:right w:val="nil"/>
            </w:tcBorders>
            <w:shd w:val="clear" w:color="auto" w:fill="auto"/>
            <w:vAlign w:val="bottom"/>
          </w:tcPr>
          <w:p w14:paraId="59E496BD"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6BE"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6BF" w14:textId="77777777" w:rsidR="00D7560A" w:rsidRDefault="00D7560A">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59E496C0"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6C1"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96C2" w14:textId="77777777" w:rsidR="00D7560A" w:rsidRDefault="00D7560A">
            <w:pPr>
              <w:widowControl/>
              <w:jc w:val="left"/>
              <w:rPr>
                <w:rFonts w:ascii="Times New Roman" w:eastAsia="宋体" w:hAnsi="宋体" w:cs="宋体"/>
                <w:kern w:val="0"/>
                <w:sz w:val="24"/>
              </w:rPr>
            </w:pPr>
          </w:p>
        </w:tc>
        <w:tc>
          <w:tcPr>
            <w:tcW w:w="354" w:type="pct"/>
            <w:tcBorders>
              <w:top w:val="nil"/>
              <w:left w:val="nil"/>
              <w:bottom w:val="nil"/>
              <w:right w:val="nil"/>
            </w:tcBorders>
            <w:shd w:val="clear" w:color="auto" w:fill="auto"/>
            <w:vAlign w:val="bottom"/>
          </w:tcPr>
          <w:p w14:paraId="59E496C3"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6C4"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6C5" w14:textId="77777777" w:rsidR="00D7560A" w:rsidRDefault="00D7560A">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59E496C6"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6C7"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96C8" w14:textId="77777777" w:rsidR="00D7560A" w:rsidRDefault="00D7560A">
            <w:pPr>
              <w:widowControl/>
              <w:jc w:val="left"/>
              <w:rPr>
                <w:rFonts w:ascii="Times New Roman" w:eastAsia="宋体" w:hAnsi="宋体" w:cs="宋体"/>
                <w:kern w:val="0"/>
                <w:sz w:val="24"/>
              </w:rPr>
            </w:pPr>
          </w:p>
        </w:tc>
        <w:tc>
          <w:tcPr>
            <w:tcW w:w="551" w:type="pct"/>
            <w:tcBorders>
              <w:top w:val="nil"/>
              <w:left w:val="nil"/>
              <w:bottom w:val="nil"/>
              <w:right w:val="nil"/>
            </w:tcBorders>
            <w:shd w:val="clear" w:color="auto" w:fill="auto"/>
            <w:vAlign w:val="bottom"/>
          </w:tcPr>
          <w:p w14:paraId="59E496C9"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6CA"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6CB" w14:textId="77777777" w:rsidR="00D7560A" w:rsidRDefault="00D7560A">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59E496CC"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6CD"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96CE" w14:textId="77777777" w:rsidR="00D7560A" w:rsidRDefault="00D7560A">
            <w:pPr>
              <w:widowControl/>
              <w:jc w:val="left"/>
              <w:rPr>
                <w:rFonts w:ascii="Times New Roman" w:eastAsia="宋体" w:hAnsi="宋体" w:cs="宋体"/>
                <w:kern w:val="0"/>
                <w:sz w:val="24"/>
              </w:rPr>
            </w:pPr>
          </w:p>
        </w:tc>
        <w:tc>
          <w:tcPr>
            <w:tcW w:w="551" w:type="pct"/>
            <w:tcBorders>
              <w:top w:val="nil"/>
              <w:left w:val="nil"/>
              <w:bottom w:val="nil"/>
              <w:right w:val="nil"/>
            </w:tcBorders>
            <w:shd w:val="clear" w:color="auto" w:fill="auto"/>
            <w:vAlign w:val="bottom"/>
          </w:tcPr>
          <w:p w14:paraId="59E496CF"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6D0"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6D1" w14:textId="77777777" w:rsidR="00D7560A" w:rsidRDefault="00D7560A">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59E496D2"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6D3"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96D4" w14:textId="77777777" w:rsidR="00D7560A" w:rsidRDefault="00D7560A">
            <w:pPr>
              <w:widowControl/>
              <w:jc w:val="left"/>
              <w:rPr>
                <w:rFonts w:ascii="Times New Roman" w:eastAsia="宋体" w:hAnsi="宋体" w:cs="宋体"/>
                <w:kern w:val="0"/>
                <w:sz w:val="24"/>
              </w:rPr>
            </w:pPr>
          </w:p>
        </w:tc>
        <w:tc>
          <w:tcPr>
            <w:tcW w:w="383" w:type="pct"/>
            <w:tcBorders>
              <w:top w:val="nil"/>
              <w:left w:val="nil"/>
              <w:bottom w:val="nil"/>
              <w:right w:val="nil"/>
            </w:tcBorders>
            <w:shd w:val="clear" w:color="auto" w:fill="auto"/>
            <w:vAlign w:val="bottom"/>
          </w:tcPr>
          <w:p w14:paraId="59E496D5"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6D6" w14:textId="77777777" w:rsidR="00D7560A" w:rsidRDefault="00D7560A">
            <w:pPr>
              <w:widowControl/>
              <w:jc w:val="left"/>
              <w:rPr>
                <w:rFonts w:ascii="Times New Roman" w:eastAsia="宋体" w:hAnsi="宋体" w:cs="宋体"/>
                <w:kern w:val="0"/>
                <w:sz w:val="24"/>
              </w:rPr>
            </w:pPr>
          </w:p>
        </w:tc>
      </w:tr>
      <w:tr w:rsidR="00D7560A" w14:paraId="59E496DA"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96D8" w14:textId="77777777" w:rsidR="00D7560A" w:rsidRDefault="00D7560A">
            <w:pPr>
              <w:widowControl/>
              <w:jc w:val="left"/>
              <w:rPr>
                <w:rFonts w:ascii="Times New Roman" w:eastAsia="宋体" w:hAnsi="宋体" w:cs="宋体"/>
                <w:kern w:val="0"/>
                <w:sz w:val="24"/>
              </w:rPr>
            </w:pPr>
          </w:p>
        </w:tc>
        <w:tc>
          <w:tcPr>
            <w:tcW w:w="0" w:type="auto"/>
            <w:gridSpan w:val="51"/>
            <w:tcBorders>
              <w:top w:val="nil"/>
              <w:left w:val="nil"/>
              <w:bottom w:val="nil"/>
              <w:right w:val="nil"/>
            </w:tcBorders>
            <w:shd w:val="clear" w:color="auto" w:fill="auto"/>
            <w:tcMar>
              <w:top w:w="40" w:type="dxa"/>
              <w:left w:w="20" w:type="dxa"/>
              <w:bottom w:w="40" w:type="dxa"/>
              <w:right w:w="20" w:type="dxa"/>
            </w:tcMar>
            <w:vAlign w:val="bottom"/>
          </w:tcPr>
          <w:p w14:paraId="59E496D9"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January 28, 2022</w:t>
            </w:r>
          </w:p>
        </w:tc>
      </w:tr>
      <w:tr w:rsidR="00D7560A" w14:paraId="59E496E3"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96DB" w14:textId="77777777" w:rsidR="00D7560A" w:rsidRDefault="00D7560A">
            <w:pPr>
              <w:widowControl/>
              <w:jc w:val="left"/>
              <w:rPr>
                <w:rFonts w:ascii="Times New Roman" w:eastAsia="宋体" w:hAnsi="宋体" w:cs="宋体"/>
                <w:kern w:val="0"/>
                <w:sz w:val="24"/>
              </w:rPr>
            </w:pPr>
          </w:p>
        </w:tc>
        <w:tc>
          <w:tcPr>
            <w:tcW w:w="0" w:type="auto"/>
            <w:gridSpan w:val="3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59E496DC"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Fixed-term — Consumer and Commercial</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59E496DD"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59E496DE"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59E496DF"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59E496E0"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59E496E1"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59E496E2" w14:textId="77777777" w:rsidR="00D7560A" w:rsidRDefault="00D7560A">
            <w:pPr>
              <w:widowControl/>
              <w:jc w:val="left"/>
              <w:rPr>
                <w:rFonts w:ascii="Times New Roman" w:eastAsia="宋体" w:hAnsi="宋体" w:cs="宋体"/>
                <w:kern w:val="0"/>
                <w:sz w:val="24"/>
              </w:rPr>
            </w:pPr>
          </w:p>
        </w:tc>
      </w:tr>
      <w:tr w:rsidR="00D7560A" w14:paraId="59E496EC"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96E4" w14:textId="77777777" w:rsidR="00D7560A" w:rsidRDefault="00D7560A">
            <w:pPr>
              <w:widowControl/>
              <w:jc w:val="left"/>
              <w:rPr>
                <w:rFonts w:ascii="Times New Roman" w:eastAsia="宋体" w:hAnsi="宋体" w:cs="宋体"/>
                <w:kern w:val="0"/>
                <w:sz w:val="24"/>
              </w:rPr>
            </w:pPr>
          </w:p>
        </w:tc>
        <w:tc>
          <w:tcPr>
            <w:tcW w:w="0" w:type="auto"/>
            <w:gridSpan w:val="33"/>
            <w:tcBorders>
              <w:top w:val="nil"/>
              <w:left w:val="nil"/>
              <w:bottom w:val="nil"/>
              <w:right w:val="nil"/>
            </w:tcBorders>
            <w:shd w:val="clear" w:color="auto" w:fill="auto"/>
            <w:tcMar>
              <w:top w:w="40" w:type="dxa"/>
              <w:left w:w="20" w:type="dxa"/>
              <w:bottom w:w="40" w:type="dxa"/>
              <w:right w:w="20" w:type="dxa"/>
            </w:tcMar>
            <w:vAlign w:val="bottom"/>
          </w:tcPr>
          <w:p w14:paraId="59E496E5"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Fiscal Year of Origination</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96E6"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96E7"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96E8"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96E9"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96EA"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96EB" w14:textId="77777777" w:rsidR="00D7560A" w:rsidRDefault="00D7560A">
            <w:pPr>
              <w:widowControl/>
              <w:jc w:val="left"/>
              <w:rPr>
                <w:rFonts w:ascii="Times New Roman" w:eastAsia="宋体" w:hAnsi="宋体" w:cs="宋体"/>
                <w:kern w:val="0"/>
                <w:sz w:val="24"/>
              </w:rPr>
            </w:pPr>
          </w:p>
        </w:tc>
      </w:tr>
      <w:tr w:rsidR="00D7560A" w14:paraId="59E496FF"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96ED"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59E496EE"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2022</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59E496EF"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59E496F0"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2021</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59E496F1"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59E496F2"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2020</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59E496F3"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59E496F4"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2019</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59E496F5"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59E496F6"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2018</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59E496F7"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59E496F8"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Years Prior</w:t>
            </w: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59E496F9"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auto"/>
            <w:tcMar>
              <w:top w:w="40" w:type="dxa"/>
              <w:left w:w="20" w:type="dxa"/>
              <w:bottom w:w="40" w:type="dxa"/>
              <w:right w:w="20" w:type="dxa"/>
            </w:tcMar>
            <w:vAlign w:val="bottom"/>
          </w:tcPr>
          <w:p w14:paraId="59E496FA"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Revolving — DPA</w:t>
            </w: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59E496FB"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auto"/>
            <w:tcMar>
              <w:top w:w="40" w:type="dxa"/>
              <w:left w:w="20" w:type="dxa"/>
              <w:bottom w:w="40" w:type="dxa"/>
              <w:right w:w="20" w:type="dxa"/>
            </w:tcMar>
            <w:vAlign w:val="bottom"/>
          </w:tcPr>
          <w:p w14:paraId="59E496FC"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Revolving — DBC</w:t>
            </w: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59E496FD"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auto"/>
            <w:tcMar>
              <w:top w:w="40" w:type="dxa"/>
              <w:left w:w="20" w:type="dxa"/>
              <w:bottom w:w="40" w:type="dxa"/>
              <w:right w:w="20" w:type="dxa"/>
            </w:tcMar>
            <w:vAlign w:val="bottom"/>
          </w:tcPr>
          <w:p w14:paraId="59E496FE"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Total</w:t>
            </w:r>
          </w:p>
        </w:tc>
      </w:tr>
      <w:tr w:rsidR="00D7560A" w14:paraId="59E49702"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9700" w14:textId="77777777" w:rsidR="00D7560A" w:rsidRDefault="00D7560A">
            <w:pPr>
              <w:widowControl/>
              <w:jc w:val="left"/>
              <w:rPr>
                <w:rFonts w:ascii="Times New Roman" w:eastAsia="宋体" w:hAnsi="宋体" w:cs="宋体"/>
                <w:kern w:val="0"/>
                <w:sz w:val="24"/>
              </w:rPr>
            </w:pPr>
          </w:p>
        </w:tc>
        <w:tc>
          <w:tcPr>
            <w:tcW w:w="0" w:type="auto"/>
            <w:gridSpan w:val="51"/>
            <w:tcBorders>
              <w:top w:val="single" w:sz="8" w:space="0" w:color="000000"/>
              <w:left w:val="nil"/>
              <w:bottom w:val="nil"/>
              <w:right w:val="nil"/>
            </w:tcBorders>
            <w:shd w:val="clear" w:color="auto" w:fill="auto"/>
            <w:tcMar>
              <w:top w:w="40" w:type="dxa"/>
              <w:left w:w="20" w:type="dxa"/>
              <w:bottom w:w="40" w:type="dxa"/>
              <w:right w:w="20" w:type="dxa"/>
            </w:tcMar>
            <w:vAlign w:val="center"/>
          </w:tcPr>
          <w:p w14:paraId="59E49701" w14:textId="77777777" w:rsidR="00D7560A" w:rsidRDefault="001E3CAB">
            <w:pPr>
              <w:widowControl/>
              <w:jc w:val="center"/>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(in millions)</w:t>
            </w:r>
          </w:p>
        </w:tc>
      </w:tr>
      <w:tr w:rsidR="001E3CAB" w14:paraId="59E49727"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center"/>
          </w:tcPr>
          <w:p w14:paraId="59E49703" w14:textId="77777777" w:rsidR="00D7560A" w:rsidRDefault="001E3CAB">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Higher</w:t>
            </w:r>
          </w:p>
        </w:tc>
        <w:tc>
          <w:tcPr>
            <w:tcW w:w="0" w:type="auto"/>
            <w:tcBorders>
              <w:top w:val="nil"/>
              <w:left w:val="nil"/>
              <w:bottom w:val="nil"/>
              <w:right w:val="nil"/>
            </w:tcBorders>
            <w:shd w:val="clear" w:color="auto" w:fill="CCEEFF"/>
            <w:tcMar>
              <w:top w:w="40" w:type="dxa"/>
              <w:left w:w="20" w:type="dxa"/>
              <w:bottom w:w="40" w:type="dxa"/>
              <w:right w:w="0" w:type="dxa"/>
            </w:tcMar>
            <w:vAlign w:val="center"/>
          </w:tcPr>
          <w:p w14:paraId="59E49704" w14:textId="77777777" w:rsidR="00D7560A" w:rsidRDefault="001E3CAB">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center"/>
          </w:tcPr>
          <w:p w14:paraId="59E49705" w14:textId="77777777" w:rsidR="00D7560A" w:rsidRDefault="001E3CAB">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3,279 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59E49706"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707"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center"/>
          </w:tcPr>
          <w:p w14:paraId="59E49708" w14:textId="77777777" w:rsidR="00D7560A" w:rsidRDefault="001E3CAB">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center"/>
          </w:tcPr>
          <w:p w14:paraId="59E49709" w14:textId="77777777" w:rsidR="00D7560A" w:rsidRDefault="001E3CAB">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1,824 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59E4970A"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70B"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center"/>
          </w:tcPr>
          <w:p w14:paraId="59E4970C" w14:textId="77777777" w:rsidR="00D7560A" w:rsidRDefault="001E3CAB">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center"/>
          </w:tcPr>
          <w:p w14:paraId="59E4970D" w14:textId="77777777" w:rsidR="00D7560A" w:rsidRDefault="001E3CAB">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914 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59E4970E"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70F"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center"/>
          </w:tcPr>
          <w:p w14:paraId="59E49710" w14:textId="77777777" w:rsidR="00D7560A" w:rsidRDefault="001E3CAB">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center"/>
          </w:tcPr>
          <w:p w14:paraId="59E49711" w14:textId="77777777" w:rsidR="00D7560A" w:rsidRDefault="001E3CAB">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221 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59E49712"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713"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center"/>
          </w:tcPr>
          <w:p w14:paraId="59E49714" w14:textId="77777777" w:rsidR="00D7560A" w:rsidRDefault="001E3CAB">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center"/>
          </w:tcPr>
          <w:p w14:paraId="59E49715" w14:textId="77777777" w:rsidR="00D7560A" w:rsidRDefault="001E3CAB">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25 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59E49716"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717"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center"/>
          </w:tcPr>
          <w:p w14:paraId="59E49718" w14:textId="77777777" w:rsidR="00D7560A" w:rsidRDefault="001E3CAB">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center"/>
          </w:tcPr>
          <w:p w14:paraId="59E49719" w14:textId="77777777" w:rsidR="00D7560A" w:rsidRDefault="001E3CAB">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3 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59E4971A"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71B"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center"/>
          </w:tcPr>
          <w:p w14:paraId="59E4971C" w14:textId="77777777" w:rsidR="00D7560A" w:rsidRDefault="001E3CAB">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center"/>
          </w:tcPr>
          <w:p w14:paraId="59E4971D" w14:textId="77777777" w:rsidR="00D7560A" w:rsidRDefault="001E3CAB">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150 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59E4971E"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71F"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center"/>
          </w:tcPr>
          <w:p w14:paraId="59E49720" w14:textId="77777777" w:rsidR="00D7560A" w:rsidRDefault="001E3CAB">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center"/>
          </w:tcPr>
          <w:p w14:paraId="59E49721" w14:textId="77777777" w:rsidR="00D7560A" w:rsidRDefault="001E3CAB">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46 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59E49722"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723"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center"/>
          </w:tcPr>
          <w:p w14:paraId="59E49724" w14:textId="77777777" w:rsidR="00D7560A" w:rsidRDefault="001E3CAB">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center"/>
          </w:tcPr>
          <w:p w14:paraId="59E49725" w14:textId="77777777" w:rsidR="00D7560A" w:rsidRDefault="001E3CAB">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6,462 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59E49726" w14:textId="77777777" w:rsidR="00D7560A" w:rsidRDefault="00D7560A">
            <w:pPr>
              <w:widowControl/>
              <w:jc w:val="right"/>
              <w:rPr>
                <w:rFonts w:ascii="Times New Roman" w:eastAsia="宋体" w:hAnsi="宋体" w:cs="宋体"/>
                <w:kern w:val="0"/>
                <w:sz w:val="24"/>
              </w:rPr>
            </w:pPr>
          </w:p>
        </w:tc>
      </w:tr>
      <w:tr w:rsidR="00D7560A" w14:paraId="59E49743"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center"/>
          </w:tcPr>
          <w:p w14:paraId="59E49728" w14:textId="77777777" w:rsidR="00D7560A" w:rsidRDefault="001E3CAB">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Mid</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59E49729" w14:textId="77777777" w:rsidR="00D7560A" w:rsidRDefault="001E3CAB">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1,071 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59E4972A"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972B"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59E4972C" w14:textId="77777777" w:rsidR="00D7560A" w:rsidRDefault="001E3CAB">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751 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59E4972D"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972E"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59E4972F" w14:textId="77777777" w:rsidR="00D7560A" w:rsidRDefault="001E3CAB">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329 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59E49730"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9731"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59E49732" w14:textId="77777777" w:rsidR="00D7560A" w:rsidRDefault="001E3CAB">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94 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59E49733"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9734"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59E49735" w14:textId="77777777" w:rsidR="00D7560A" w:rsidRDefault="001E3CAB">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17 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59E49736"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9737"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59E49738" w14:textId="77777777" w:rsidR="00D7560A" w:rsidRDefault="001E3CAB">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59E49739"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973A"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59E4973B" w14:textId="77777777" w:rsidR="00D7560A" w:rsidRDefault="001E3CAB">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166 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59E4973C"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973D"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59E4973E" w14:textId="77777777" w:rsidR="00D7560A" w:rsidRDefault="001E3CAB">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57 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59E4973F"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9740"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59E49741" w14:textId="77777777" w:rsidR="00D7560A" w:rsidRDefault="001E3CAB">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2,485 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59E49742" w14:textId="77777777" w:rsidR="00D7560A" w:rsidRDefault="00D7560A">
            <w:pPr>
              <w:widowControl/>
              <w:jc w:val="right"/>
              <w:rPr>
                <w:rFonts w:ascii="Times New Roman" w:eastAsia="宋体" w:hAnsi="宋体" w:cs="宋体"/>
                <w:kern w:val="0"/>
                <w:sz w:val="24"/>
              </w:rPr>
            </w:pPr>
          </w:p>
        </w:tc>
      </w:tr>
      <w:tr w:rsidR="00D7560A" w14:paraId="59E4975F"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center"/>
          </w:tcPr>
          <w:p w14:paraId="59E49744" w14:textId="77777777" w:rsidR="00D7560A" w:rsidRDefault="001E3CAB">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Lower</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59E49745" w14:textId="77777777" w:rsidR="00D7560A" w:rsidRDefault="001E3CAB">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599 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59E49746"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747"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59E49748" w14:textId="77777777" w:rsidR="00D7560A" w:rsidRDefault="001E3CAB">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450 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59E49749"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74A"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59E4974B" w14:textId="77777777" w:rsidR="00D7560A" w:rsidRDefault="001E3CAB">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208 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59E4974C"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74D"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59E4974E" w14:textId="77777777" w:rsidR="00D7560A" w:rsidRDefault="001E3CAB">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42 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59E4974F"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750"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59E49751" w14:textId="77777777" w:rsidR="00D7560A" w:rsidRDefault="001E3CAB">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6 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59E49752"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753"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59E49754" w14:textId="77777777" w:rsidR="00D7560A" w:rsidRDefault="001E3CAB">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59E49755"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756"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59E49757" w14:textId="77777777" w:rsidR="00D7560A" w:rsidRDefault="001E3CAB">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255 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59E49758"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759"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59E4975A" w14:textId="77777777" w:rsidR="00D7560A" w:rsidRDefault="001E3CAB">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76 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59E4975B"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75C"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59E4975D" w14:textId="77777777" w:rsidR="00D7560A" w:rsidRDefault="001E3CAB">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1,636 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59E4975E" w14:textId="77777777" w:rsidR="00D7560A" w:rsidRDefault="00D7560A">
            <w:pPr>
              <w:widowControl/>
              <w:jc w:val="right"/>
              <w:rPr>
                <w:rFonts w:ascii="Times New Roman" w:eastAsia="宋体" w:hAnsi="宋体" w:cs="宋体"/>
                <w:kern w:val="0"/>
                <w:sz w:val="24"/>
              </w:rPr>
            </w:pPr>
          </w:p>
        </w:tc>
      </w:tr>
      <w:tr w:rsidR="001E3CAB" w14:paraId="59E49784" w14:textId="77777777">
        <w:tc>
          <w:tcPr>
            <w:tcW w:w="0" w:type="auto"/>
            <w:gridSpan w:val="3"/>
            <w:tcBorders>
              <w:top w:val="nil"/>
              <w:left w:val="nil"/>
              <w:bottom w:val="nil"/>
              <w:right w:val="nil"/>
            </w:tcBorders>
            <w:shd w:val="clear" w:color="auto" w:fill="FFFFFF"/>
            <w:tcMar>
              <w:top w:w="40" w:type="dxa"/>
              <w:left w:w="155" w:type="dxa"/>
              <w:bottom w:w="40" w:type="dxa"/>
              <w:right w:w="20" w:type="dxa"/>
            </w:tcMar>
            <w:vAlign w:val="center"/>
          </w:tcPr>
          <w:p w14:paraId="59E49760" w14:textId="77777777" w:rsidR="00D7560A" w:rsidRDefault="001E3CAB">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Total</w:t>
            </w: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center"/>
          </w:tcPr>
          <w:p w14:paraId="59E49761" w14:textId="77777777" w:rsidR="00D7560A" w:rsidRDefault="001E3CAB">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center"/>
          </w:tcPr>
          <w:p w14:paraId="59E49762" w14:textId="77777777" w:rsidR="00D7560A" w:rsidRDefault="001E3CAB">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4,949 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center"/>
          </w:tcPr>
          <w:p w14:paraId="59E49763"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9764"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center"/>
          </w:tcPr>
          <w:p w14:paraId="59E49765" w14:textId="77777777" w:rsidR="00D7560A" w:rsidRDefault="001E3CAB">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center"/>
          </w:tcPr>
          <w:p w14:paraId="59E49766" w14:textId="77777777" w:rsidR="00D7560A" w:rsidRDefault="001E3CAB">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3,025 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center"/>
          </w:tcPr>
          <w:p w14:paraId="59E49767"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9768"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center"/>
          </w:tcPr>
          <w:p w14:paraId="59E49769" w14:textId="77777777" w:rsidR="00D7560A" w:rsidRDefault="001E3CAB">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center"/>
          </w:tcPr>
          <w:p w14:paraId="59E4976A" w14:textId="77777777" w:rsidR="00D7560A" w:rsidRDefault="001E3CAB">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1,451 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center"/>
          </w:tcPr>
          <w:p w14:paraId="59E4976B"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976C"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center"/>
          </w:tcPr>
          <w:p w14:paraId="59E4976D" w14:textId="77777777" w:rsidR="00D7560A" w:rsidRDefault="001E3CAB">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center"/>
          </w:tcPr>
          <w:p w14:paraId="59E4976E" w14:textId="77777777" w:rsidR="00D7560A" w:rsidRDefault="001E3CAB">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357 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center"/>
          </w:tcPr>
          <w:p w14:paraId="59E4976F"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9770"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center"/>
          </w:tcPr>
          <w:p w14:paraId="59E49771" w14:textId="77777777" w:rsidR="00D7560A" w:rsidRDefault="001E3CAB">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center"/>
          </w:tcPr>
          <w:p w14:paraId="59E49772" w14:textId="77777777" w:rsidR="00D7560A" w:rsidRDefault="001E3CAB">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48 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center"/>
          </w:tcPr>
          <w:p w14:paraId="59E49773"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9774"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center"/>
          </w:tcPr>
          <w:p w14:paraId="59E49775" w14:textId="77777777" w:rsidR="00D7560A" w:rsidRDefault="001E3CAB">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center"/>
          </w:tcPr>
          <w:p w14:paraId="59E49776" w14:textId="77777777" w:rsidR="00D7560A" w:rsidRDefault="001E3CAB">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3 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center"/>
          </w:tcPr>
          <w:p w14:paraId="59E49777"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9778"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center"/>
          </w:tcPr>
          <w:p w14:paraId="59E49779" w14:textId="77777777" w:rsidR="00D7560A" w:rsidRDefault="001E3CAB">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center"/>
          </w:tcPr>
          <w:p w14:paraId="59E4977A" w14:textId="77777777" w:rsidR="00D7560A" w:rsidRDefault="001E3CAB">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571 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center"/>
          </w:tcPr>
          <w:p w14:paraId="59E4977B"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977C"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center"/>
          </w:tcPr>
          <w:p w14:paraId="59E4977D" w14:textId="77777777" w:rsidR="00D7560A" w:rsidRDefault="001E3CAB">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center"/>
          </w:tcPr>
          <w:p w14:paraId="59E4977E" w14:textId="77777777" w:rsidR="00D7560A" w:rsidRDefault="001E3CAB">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179 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center"/>
          </w:tcPr>
          <w:p w14:paraId="59E4977F"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9780"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center"/>
          </w:tcPr>
          <w:p w14:paraId="59E49781" w14:textId="77777777" w:rsidR="00D7560A" w:rsidRDefault="001E3CAB">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center"/>
          </w:tcPr>
          <w:p w14:paraId="59E49782" w14:textId="77777777" w:rsidR="00D7560A" w:rsidRDefault="001E3CAB">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10,583 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center"/>
          </w:tcPr>
          <w:p w14:paraId="59E49783" w14:textId="77777777" w:rsidR="00D7560A" w:rsidRDefault="00D7560A">
            <w:pPr>
              <w:widowControl/>
              <w:jc w:val="right"/>
              <w:rPr>
                <w:rFonts w:ascii="Times New Roman" w:eastAsia="宋体" w:hAnsi="宋体" w:cs="宋体"/>
                <w:kern w:val="0"/>
                <w:sz w:val="24"/>
              </w:rPr>
            </w:pPr>
          </w:p>
        </w:tc>
      </w:tr>
    </w:tbl>
    <w:p w14:paraId="59E49785"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9786"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The categories shown in the tables above segregate customer receivables based on the relative degrees of credit risk. The credit quality indicators for DPA revolving accounts are meas</w:t>
      </w:r>
      <w:r>
        <w:rPr>
          <w:rFonts w:ascii="Times New Roman" w:eastAsia="宋体" w:hAnsi="Times New Roman" w:cs="Times New Roman"/>
          <w:color w:val="000000"/>
          <w:kern w:val="0"/>
          <w:sz w:val="20"/>
          <w:szCs w:val="20"/>
          <w:lang w:bidi="ar"/>
        </w:rPr>
        <w:t>ured primarily as of each quarter-end date, while all other indicators are generally updated on a periodic basis.</w:t>
      </w:r>
    </w:p>
    <w:p w14:paraId="59E49787"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9788"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For DPA revolving receivables shown in the table above, the Company makes credit decisions based on proprietary scorecards, which include th</w:t>
      </w:r>
      <w:r>
        <w:rPr>
          <w:rFonts w:ascii="Times New Roman" w:eastAsia="宋体" w:hAnsi="Times New Roman" w:cs="Times New Roman"/>
          <w:color w:val="000000"/>
          <w:kern w:val="0"/>
          <w:sz w:val="20"/>
          <w:szCs w:val="20"/>
          <w:lang w:bidi="ar"/>
        </w:rPr>
        <w:t>e customer’s credit history, payment history, credit usage, and other credit agency-related elements. The higher quality category includes prime accounts generally of a higher credit quality that are comparable to U.S. customer FICO scores of 720 or above.</w:t>
      </w:r>
      <w:r>
        <w:rPr>
          <w:rFonts w:ascii="Times New Roman" w:eastAsia="宋体" w:hAnsi="Times New Roman" w:cs="Times New Roman"/>
          <w:color w:val="000000"/>
          <w:kern w:val="0"/>
          <w:sz w:val="20"/>
          <w:szCs w:val="20"/>
          <w:lang w:bidi="ar"/>
        </w:rPr>
        <w:t xml:space="preserve"> The mid-category represents the mid-tier accounts that are comparable to U.S. customer FICO scores from 660 to 719. The lower category is generally sub-prime and represents lower credit quality accounts that are comparable to U.S. customer FICO scores bel</w:t>
      </w:r>
      <w:r>
        <w:rPr>
          <w:rFonts w:ascii="Times New Roman" w:eastAsia="宋体" w:hAnsi="Times New Roman" w:cs="Times New Roman"/>
          <w:color w:val="000000"/>
          <w:kern w:val="0"/>
          <w:sz w:val="20"/>
          <w:szCs w:val="20"/>
          <w:lang w:bidi="ar"/>
        </w:rPr>
        <w:t>ow 660. For the DBC revolving receivables and fixed-term commercial receivables shown in the table above, an internal grading system is utilized that assigns a credit level score based on a number of considerations, including liquidity, operating performan</w:t>
      </w:r>
      <w:r>
        <w:rPr>
          <w:rFonts w:ascii="Times New Roman" w:eastAsia="宋体" w:hAnsi="Times New Roman" w:cs="Times New Roman"/>
          <w:color w:val="000000"/>
          <w:kern w:val="0"/>
          <w:sz w:val="20"/>
          <w:szCs w:val="20"/>
          <w:lang w:bidi="ar"/>
        </w:rPr>
        <w:t>ce, and industry outlook. The grading criteria and classifications for the fixed-term products differ from those for the revolving products as loss experience varies between these product and customer groups. The credit quality categories cannot be compare</w:t>
      </w:r>
      <w:r>
        <w:rPr>
          <w:rFonts w:ascii="Times New Roman" w:eastAsia="宋体" w:hAnsi="Times New Roman" w:cs="Times New Roman"/>
          <w:color w:val="000000"/>
          <w:kern w:val="0"/>
          <w:sz w:val="20"/>
          <w:szCs w:val="20"/>
          <w:lang w:bidi="ar"/>
        </w:rPr>
        <w:t>d between the different classes as loss experience varies substantially between the classes.</w:t>
      </w:r>
    </w:p>
    <w:p w14:paraId="59E49789" w14:textId="77777777" w:rsidR="00D7560A" w:rsidRDefault="001E3CAB">
      <w:pPr>
        <w:widowControl/>
        <w:ind w:left="360" w:hanging="360"/>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978A"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978B"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23</w:t>
      </w:r>
    </w:p>
    <w:p w14:paraId="59E4978C"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978D" w14:textId="77777777" w:rsidR="00D7560A" w:rsidRDefault="001E3CAB">
      <w:pPr>
        <w:widowControl/>
        <w:jc w:val="center"/>
      </w:pPr>
      <w:r>
        <w:rPr>
          <w:rFonts w:ascii="宋体" w:eastAsia="宋体" w:hAnsi="宋体" w:cs="宋体"/>
          <w:kern w:val="0"/>
          <w:sz w:val="24"/>
        </w:rPr>
        <w:pict w14:anchorId="59E4C7E2">
          <v:rect id="_x0000_i1047" style="width:6in;height:1.5pt" o:hralign="center" o:hrstd="t" o:hr="t" fillcolor="#a0a0a0" stroked="f"/>
        </w:pict>
      </w:r>
    </w:p>
    <w:p w14:paraId="59E4978E" w14:textId="77777777" w:rsidR="00D7560A" w:rsidRDefault="001E3CAB">
      <w:pPr>
        <w:widowControl/>
        <w:jc w:val="left"/>
        <w:rPr>
          <w:rFonts w:ascii="宋体" w:eastAsia="宋体" w:hAnsi="宋体" w:cs="宋体"/>
          <w:kern w:val="0"/>
          <w:sz w:val="24"/>
        </w:rPr>
      </w:pPr>
      <w:hyperlink w:anchor="if933dd1d5d004d2495dd7029e3ecad00_13" w:history="1">
        <w:r>
          <w:rPr>
            <w:rStyle w:val="a4"/>
            <w:rFonts w:ascii="Times New Roman" w:eastAsia="宋体" w:hAnsi="Times New Roman" w:cs="Times New Roman"/>
            <w:sz w:val="20"/>
            <w:szCs w:val="20"/>
          </w:rPr>
          <w:t>Table of Contents</w:t>
        </w:r>
      </w:hyperlink>
    </w:p>
    <w:p w14:paraId="59E4978F"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DELL TECHNOLOGIES INC.</w:t>
      </w:r>
    </w:p>
    <w:p w14:paraId="59E49790"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 xml:space="preserve">NOTES TO THE CONDENSED CONSOLIDATED </w:t>
      </w:r>
      <w:r>
        <w:rPr>
          <w:rFonts w:ascii="Times New Roman" w:eastAsia="宋体" w:hAnsi="Times New Roman" w:cs="Times New Roman"/>
          <w:b/>
          <w:bCs/>
          <w:color w:val="000000"/>
          <w:kern w:val="0"/>
          <w:sz w:val="20"/>
          <w:szCs w:val="20"/>
          <w:lang w:bidi="ar"/>
        </w:rPr>
        <w:t>FINANCIAL STATEMENTS (Continued)</w:t>
      </w:r>
    </w:p>
    <w:p w14:paraId="59E49791"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(unaudited)</w:t>
      </w:r>
    </w:p>
    <w:p w14:paraId="59E49792"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9793"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i/>
          <w:iCs/>
          <w:color w:val="000000"/>
          <w:kern w:val="0"/>
          <w:sz w:val="20"/>
          <w:szCs w:val="20"/>
          <w:u w:val="single"/>
          <w:lang w:bidi="ar"/>
        </w:rPr>
        <w:t>Leases</w:t>
      </w:r>
    </w:p>
    <w:p w14:paraId="59E49794"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9795"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The following table presents the net revenue, cost of net revenue, and gross margin recognized at the commencement date of sales-type leases for the periods indicated:</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7"/>
        <w:gridCol w:w="2187"/>
        <w:gridCol w:w="36"/>
        <w:gridCol w:w="120"/>
        <w:gridCol w:w="1281"/>
        <w:gridCol w:w="36"/>
        <w:gridCol w:w="36"/>
        <w:gridCol w:w="36"/>
        <w:gridCol w:w="36"/>
        <w:gridCol w:w="120"/>
        <w:gridCol w:w="1282"/>
        <w:gridCol w:w="36"/>
        <w:gridCol w:w="36"/>
        <w:gridCol w:w="36"/>
        <w:gridCol w:w="36"/>
        <w:gridCol w:w="120"/>
        <w:gridCol w:w="1282"/>
        <w:gridCol w:w="36"/>
        <w:gridCol w:w="36"/>
        <w:gridCol w:w="36"/>
        <w:gridCol w:w="36"/>
        <w:gridCol w:w="120"/>
        <w:gridCol w:w="1283"/>
        <w:gridCol w:w="36"/>
      </w:tblGrid>
      <w:tr w:rsidR="00D7560A" w14:paraId="59E497AE" w14:textId="77777777">
        <w:tc>
          <w:tcPr>
            <w:tcW w:w="50" w:type="pct"/>
            <w:tcBorders>
              <w:top w:val="nil"/>
              <w:left w:val="nil"/>
              <w:bottom w:val="nil"/>
              <w:right w:val="nil"/>
            </w:tcBorders>
            <w:shd w:val="clear" w:color="auto" w:fill="auto"/>
            <w:vAlign w:val="bottom"/>
          </w:tcPr>
          <w:p w14:paraId="59E49796" w14:textId="77777777" w:rsidR="00D7560A" w:rsidRDefault="00D7560A">
            <w:pPr>
              <w:widowControl/>
              <w:jc w:val="left"/>
              <w:rPr>
                <w:rFonts w:ascii="Times New Roman" w:eastAsia="宋体" w:hAnsi="宋体" w:cs="宋体"/>
                <w:kern w:val="0"/>
                <w:sz w:val="24"/>
              </w:rPr>
            </w:pPr>
          </w:p>
        </w:tc>
        <w:tc>
          <w:tcPr>
            <w:tcW w:w="1377" w:type="pct"/>
            <w:tcBorders>
              <w:top w:val="nil"/>
              <w:left w:val="nil"/>
              <w:bottom w:val="nil"/>
              <w:right w:val="nil"/>
            </w:tcBorders>
            <w:shd w:val="clear" w:color="auto" w:fill="auto"/>
            <w:vAlign w:val="bottom"/>
          </w:tcPr>
          <w:p w14:paraId="59E49797"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798"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9799" w14:textId="77777777" w:rsidR="00D7560A" w:rsidRDefault="00D7560A">
            <w:pPr>
              <w:widowControl/>
              <w:jc w:val="left"/>
              <w:rPr>
                <w:rFonts w:ascii="Times New Roman" w:eastAsia="宋体" w:hAnsi="宋体" w:cs="宋体"/>
                <w:kern w:val="0"/>
                <w:sz w:val="24"/>
              </w:rPr>
            </w:pPr>
          </w:p>
        </w:tc>
        <w:tc>
          <w:tcPr>
            <w:tcW w:w="814" w:type="pct"/>
            <w:tcBorders>
              <w:top w:val="nil"/>
              <w:left w:val="nil"/>
              <w:bottom w:val="nil"/>
              <w:right w:val="nil"/>
            </w:tcBorders>
            <w:shd w:val="clear" w:color="auto" w:fill="auto"/>
            <w:vAlign w:val="bottom"/>
          </w:tcPr>
          <w:p w14:paraId="59E4979A"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79B"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79C" w14:textId="77777777" w:rsidR="00D7560A" w:rsidRDefault="00D7560A">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59E4979D"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79E"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979F" w14:textId="77777777" w:rsidR="00D7560A" w:rsidRDefault="00D7560A">
            <w:pPr>
              <w:widowControl/>
              <w:jc w:val="left"/>
              <w:rPr>
                <w:rFonts w:ascii="Times New Roman" w:eastAsia="宋体" w:hAnsi="宋体" w:cs="宋体"/>
                <w:kern w:val="0"/>
                <w:sz w:val="24"/>
              </w:rPr>
            </w:pPr>
          </w:p>
        </w:tc>
        <w:tc>
          <w:tcPr>
            <w:tcW w:w="814" w:type="pct"/>
            <w:tcBorders>
              <w:top w:val="nil"/>
              <w:left w:val="nil"/>
              <w:bottom w:val="nil"/>
              <w:right w:val="nil"/>
            </w:tcBorders>
            <w:shd w:val="clear" w:color="auto" w:fill="auto"/>
            <w:vAlign w:val="bottom"/>
          </w:tcPr>
          <w:p w14:paraId="59E497A0"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7A1"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7A2" w14:textId="77777777" w:rsidR="00D7560A" w:rsidRDefault="00D7560A">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59E497A3"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7A4"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97A5" w14:textId="77777777" w:rsidR="00D7560A" w:rsidRDefault="00D7560A">
            <w:pPr>
              <w:widowControl/>
              <w:jc w:val="left"/>
              <w:rPr>
                <w:rFonts w:ascii="Times New Roman" w:eastAsia="宋体" w:hAnsi="宋体" w:cs="宋体"/>
                <w:kern w:val="0"/>
                <w:sz w:val="24"/>
              </w:rPr>
            </w:pPr>
          </w:p>
        </w:tc>
        <w:tc>
          <w:tcPr>
            <w:tcW w:w="814" w:type="pct"/>
            <w:tcBorders>
              <w:top w:val="nil"/>
              <w:left w:val="nil"/>
              <w:bottom w:val="nil"/>
              <w:right w:val="nil"/>
            </w:tcBorders>
            <w:shd w:val="clear" w:color="auto" w:fill="auto"/>
            <w:vAlign w:val="bottom"/>
          </w:tcPr>
          <w:p w14:paraId="59E497A6"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7A7"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7A8" w14:textId="77777777" w:rsidR="00D7560A" w:rsidRDefault="00D7560A">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59E497A9"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7AA"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97AB" w14:textId="77777777" w:rsidR="00D7560A" w:rsidRDefault="00D7560A">
            <w:pPr>
              <w:widowControl/>
              <w:jc w:val="left"/>
              <w:rPr>
                <w:rFonts w:ascii="Times New Roman" w:eastAsia="宋体" w:hAnsi="宋体" w:cs="宋体"/>
                <w:kern w:val="0"/>
                <w:sz w:val="24"/>
              </w:rPr>
            </w:pPr>
          </w:p>
        </w:tc>
        <w:tc>
          <w:tcPr>
            <w:tcW w:w="815" w:type="pct"/>
            <w:tcBorders>
              <w:top w:val="nil"/>
              <w:left w:val="nil"/>
              <w:bottom w:val="nil"/>
              <w:right w:val="nil"/>
            </w:tcBorders>
            <w:shd w:val="clear" w:color="auto" w:fill="auto"/>
            <w:vAlign w:val="bottom"/>
          </w:tcPr>
          <w:p w14:paraId="59E497AC"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7AD" w14:textId="77777777" w:rsidR="00D7560A" w:rsidRDefault="00D7560A">
            <w:pPr>
              <w:widowControl/>
              <w:jc w:val="left"/>
              <w:rPr>
                <w:rFonts w:ascii="Times New Roman" w:eastAsia="宋体" w:hAnsi="宋体" w:cs="宋体"/>
                <w:kern w:val="0"/>
                <w:sz w:val="24"/>
              </w:rPr>
            </w:pPr>
          </w:p>
        </w:tc>
      </w:tr>
      <w:tr w:rsidR="00D7560A" w14:paraId="59E497B3"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97AF" w14:textId="77777777" w:rsidR="00D7560A" w:rsidRDefault="00D7560A">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59E497B0"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Three Months Ended</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97B1" w14:textId="77777777" w:rsidR="00D7560A" w:rsidRDefault="00D7560A">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59E497B2"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Six Months Ended</w:t>
            </w:r>
          </w:p>
        </w:tc>
      </w:tr>
      <w:tr w:rsidR="00D7560A" w14:paraId="59E497BC"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97B4"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59E497B5"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29, 2022</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59E497B6"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59E497B7"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30, 2021</w:t>
            </w: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59E497B8"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59E497B9"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29, 2022</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59E497BA"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59E497BB"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30, 2021</w:t>
            </w:r>
          </w:p>
        </w:tc>
      </w:tr>
      <w:tr w:rsidR="00D7560A" w14:paraId="59E497BF"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97BD" w14:textId="77777777" w:rsidR="00D7560A" w:rsidRDefault="00D7560A">
            <w:pPr>
              <w:widowControl/>
              <w:jc w:val="left"/>
              <w:rPr>
                <w:rFonts w:ascii="Times New Roman" w:eastAsia="宋体" w:hAnsi="宋体" w:cs="宋体"/>
                <w:kern w:val="0"/>
                <w:sz w:val="24"/>
              </w:rPr>
            </w:pPr>
          </w:p>
        </w:tc>
        <w:tc>
          <w:tcPr>
            <w:tcW w:w="0" w:type="auto"/>
            <w:gridSpan w:val="21"/>
            <w:tcBorders>
              <w:top w:val="single" w:sz="8" w:space="0" w:color="000000"/>
              <w:left w:val="nil"/>
              <w:bottom w:val="nil"/>
              <w:right w:val="nil"/>
            </w:tcBorders>
            <w:shd w:val="clear" w:color="auto" w:fill="auto"/>
            <w:tcMar>
              <w:top w:w="40" w:type="dxa"/>
              <w:left w:w="20" w:type="dxa"/>
              <w:bottom w:w="40" w:type="dxa"/>
              <w:right w:w="20" w:type="dxa"/>
            </w:tcMar>
            <w:vAlign w:val="bottom"/>
          </w:tcPr>
          <w:p w14:paraId="59E497BE"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(in </w:t>
            </w:r>
            <w:r>
              <w:rPr>
                <w:rFonts w:ascii="Times New Roman" w:eastAsia="宋体" w:hAnsi="Times New Roman" w:cs="Times New Roman"/>
                <w:color w:val="000000"/>
                <w:kern w:val="0"/>
                <w:sz w:val="20"/>
                <w:szCs w:val="20"/>
                <w:lang w:bidi="ar"/>
              </w:rPr>
              <w:t>millions)</w:t>
            </w:r>
          </w:p>
        </w:tc>
      </w:tr>
      <w:tr w:rsidR="00D7560A" w14:paraId="59E497D0"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9E497C0"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Net revenue </w:t>
            </w:r>
            <w:r>
              <w:rPr>
                <w:rFonts w:ascii="Times New Roman" w:eastAsia="宋体" w:hAnsi="Times New Roman" w:cs="Times New Roman"/>
                <w:i/>
                <w:iCs/>
                <w:color w:val="000000"/>
                <w:kern w:val="0"/>
                <w:sz w:val="20"/>
                <w:szCs w:val="20"/>
                <w:lang w:bidi="ar"/>
              </w:rPr>
              <w:t>—</w:t>
            </w:r>
            <w:r>
              <w:rPr>
                <w:rFonts w:ascii="Times New Roman" w:eastAsia="宋体" w:hAnsi="Times New Roman" w:cs="Times New Roman"/>
                <w:color w:val="000000"/>
                <w:kern w:val="0"/>
                <w:sz w:val="20"/>
                <w:szCs w:val="20"/>
                <w:lang w:bidi="ar"/>
              </w:rPr>
              <w:t xml:space="preserve"> products</w:t>
            </w: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9E497C1"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9E497C2"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219 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97C3"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7C4"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9E497C5"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9E497C6"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194 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97C7"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7C8"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9E497C9"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9E497CA"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439 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97CB"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7CC"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9E497CD"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9E497CE"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424 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97CF" w14:textId="77777777" w:rsidR="00D7560A" w:rsidRDefault="00D7560A">
            <w:pPr>
              <w:widowControl/>
              <w:jc w:val="right"/>
              <w:rPr>
                <w:rFonts w:ascii="Times New Roman" w:eastAsia="宋体" w:hAnsi="宋体" w:cs="宋体"/>
                <w:kern w:val="0"/>
                <w:sz w:val="24"/>
              </w:rPr>
            </w:pPr>
          </w:p>
        </w:tc>
      </w:tr>
      <w:tr w:rsidR="00D7560A" w14:paraId="59E497DD"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59E497D1"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Cost of net revenue </w:t>
            </w:r>
            <w:r>
              <w:rPr>
                <w:rFonts w:ascii="Times New Roman" w:eastAsia="宋体" w:hAnsi="Times New Roman" w:cs="Times New Roman"/>
                <w:i/>
                <w:iCs/>
                <w:color w:val="000000"/>
                <w:kern w:val="0"/>
                <w:sz w:val="20"/>
                <w:szCs w:val="20"/>
                <w:lang w:bidi="ar"/>
              </w:rPr>
              <w:t>—</w:t>
            </w:r>
            <w:r>
              <w:rPr>
                <w:rFonts w:ascii="Times New Roman" w:eastAsia="宋体" w:hAnsi="Times New Roman" w:cs="Times New Roman"/>
                <w:color w:val="000000"/>
                <w:kern w:val="0"/>
                <w:sz w:val="20"/>
                <w:szCs w:val="20"/>
                <w:lang w:bidi="ar"/>
              </w:rPr>
              <w:t xml:space="preserve"> products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97D2"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164 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97D3"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97D4"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97D5"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142 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97D6"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97D7"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97D8"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368 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97D9"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97DA"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97DB"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305 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97DC" w14:textId="77777777" w:rsidR="00D7560A" w:rsidRDefault="00D7560A">
            <w:pPr>
              <w:widowControl/>
              <w:jc w:val="right"/>
              <w:rPr>
                <w:rFonts w:ascii="Times New Roman" w:eastAsia="宋体" w:hAnsi="宋体" w:cs="宋体"/>
                <w:kern w:val="0"/>
                <w:sz w:val="24"/>
              </w:rPr>
            </w:pPr>
          </w:p>
        </w:tc>
      </w:tr>
      <w:tr w:rsidR="00D7560A" w14:paraId="59E497EE"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9E497DE"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Gross margin </w:t>
            </w:r>
            <w:r>
              <w:rPr>
                <w:rFonts w:ascii="Times New Roman" w:eastAsia="宋体" w:hAnsi="Times New Roman" w:cs="Times New Roman"/>
                <w:i/>
                <w:iCs/>
                <w:color w:val="000000"/>
                <w:kern w:val="0"/>
                <w:sz w:val="20"/>
                <w:szCs w:val="20"/>
                <w:lang w:bidi="ar"/>
              </w:rPr>
              <w:t>—</w:t>
            </w:r>
            <w:r>
              <w:rPr>
                <w:rFonts w:ascii="Times New Roman" w:eastAsia="宋体" w:hAnsi="Times New Roman" w:cs="Times New Roman"/>
                <w:color w:val="000000"/>
                <w:kern w:val="0"/>
                <w:sz w:val="20"/>
                <w:szCs w:val="20"/>
                <w:lang w:bidi="ar"/>
              </w:rPr>
              <w:t xml:space="preserve"> products</w:t>
            </w: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59E497DF"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59E497E0"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55 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59E497E1"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7E2"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59E497E3"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59E497E4"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52 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59E497E5"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7E6"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59E497E7"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59E497E8"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71 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59E497E9"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7EA"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59E497EB"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59E497EC"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119 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59E497ED" w14:textId="77777777" w:rsidR="00D7560A" w:rsidRDefault="00D7560A">
            <w:pPr>
              <w:widowControl/>
              <w:jc w:val="right"/>
              <w:rPr>
                <w:rFonts w:ascii="Times New Roman" w:eastAsia="宋体" w:hAnsi="宋体" w:cs="宋体"/>
                <w:kern w:val="0"/>
                <w:sz w:val="24"/>
              </w:rPr>
            </w:pPr>
          </w:p>
        </w:tc>
      </w:tr>
    </w:tbl>
    <w:p w14:paraId="59E497EF"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97F0" w14:textId="77777777" w:rsidR="00D7560A" w:rsidRDefault="001E3CAB">
      <w:pPr>
        <w:widowControl/>
        <w:spacing w:after="12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The following table presents the future maturity of the Company’s fixed-term customer leases and associated financing payments, and reconciles the undiscounted cash flows to the customer receivables, gross recognized on the Condensed Consolidated Statement</w:t>
      </w:r>
      <w:r>
        <w:rPr>
          <w:rFonts w:ascii="Times New Roman" w:eastAsia="宋体" w:hAnsi="Times New Roman" w:cs="Times New Roman"/>
          <w:color w:val="000000"/>
          <w:kern w:val="0"/>
          <w:sz w:val="20"/>
          <w:szCs w:val="20"/>
          <w:lang w:bidi="ar"/>
        </w:rPr>
        <w:t xml:space="preserve">s of Financial Position as of the date indicated: </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51"/>
        <w:gridCol w:w="6764"/>
        <w:gridCol w:w="37"/>
        <w:gridCol w:w="121"/>
        <w:gridCol w:w="1326"/>
        <w:gridCol w:w="37"/>
      </w:tblGrid>
      <w:tr w:rsidR="00D7560A" w14:paraId="59E497F7" w14:textId="77777777">
        <w:tc>
          <w:tcPr>
            <w:tcW w:w="50" w:type="pct"/>
            <w:tcBorders>
              <w:top w:val="nil"/>
              <w:left w:val="nil"/>
              <w:bottom w:val="nil"/>
              <w:right w:val="nil"/>
            </w:tcBorders>
            <w:shd w:val="clear" w:color="auto" w:fill="auto"/>
            <w:vAlign w:val="bottom"/>
          </w:tcPr>
          <w:p w14:paraId="59E497F1" w14:textId="77777777" w:rsidR="00D7560A" w:rsidRDefault="00D7560A">
            <w:pPr>
              <w:widowControl/>
              <w:jc w:val="left"/>
              <w:rPr>
                <w:rFonts w:ascii="Times New Roman" w:eastAsia="宋体" w:hAnsi="宋体" w:cs="宋体"/>
                <w:kern w:val="0"/>
                <w:sz w:val="24"/>
              </w:rPr>
            </w:pPr>
          </w:p>
        </w:tc>
        <w:tc>
          <w:tcPr>
            <w:tcW w:w="4074" w:type="pct"/>
            <w:tcBorders>
              <w:top w:val="nil"/>
              <w:left w:val="nil"/>
              <w:bottom w:val="nil"/>
              <w:right w:val="nil"/>
            </w:tcBorders>
            <w:shd w:val="clear" w:color="auto" w:fill="auto"/>
            <w:vAlign w:val="bottom"/>
          </w:tcPr>
          <w:p w14:paraId="59E497F2"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7F3"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97F4" w14:textId="77777777" w:rsidR="00D7560A" w:rsidRDefault="00D7560A">
            <w:pPr>
              <w:widowControl/>
              <w:jc w:val="left"/>
              <w:rPr>
                <w:rFonts w:ascii="Times New Roman" w:eastAsia="宋体" w:hAnsi="宋体" w:cs="宋体"/>
                <w:kern w:val="0"/>
                <w:sz w:val="24"/>
              </w:rPr>
            </w:pPr>
          </w:p>
        </w:tc>
        <w:tc>
          <w:tcPr>
            <w:tcW w:w="814" w:type="pct"/>
            <w:tcBorders>
              <w:top w:val="nil"/>
              <w:left w:val="nil"/>
              <w:bottom w:val="nil"/>
              <w:right w:val="nil"/>
            </w:tcBorders>
            <w:shd w:val="clear" w:color="auto" w:fill="auto"/>
            <w:vAlign w:val="bottom"/>
          </w:tcPr>
          <w:p w14:paraId="59E497F5"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7F6" w14:textId="77777777" w:rsidR="00D7560A" w:rsidRDefault="00D7560A">
            <w:pPr>
              <w:widowControl/>
              <w:jc w:val="left"/>
              <w:rPr>
                <w:rFonts w:ascii="Times New Roman" w:eastAsia="宋体" w:hAnsi="宋体" w:cs="宋体"/>
                <w:kern w:val="0"/>
                <w:sz w:val="24"/>
              </w:rPr>
            </w:pPr>
          </w:p>
        </w:tc>
      </w:tr>
      <w:tr w:rsidR="00D7560A" w14:paraId="59E497FA"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97F8"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9E497F9"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29, 2022</w:t>
            </w:r>
          </w:p>
        </w:tc>
      </w:tr>
      <w:tr w:rsidR="00D7560A" w14:paraId="59E497FD"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97FB"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59E497FC"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(in millions)</w:t>
            </w:r>
          </w:p>
        </w:tc>
      </w:tr>
      <w:tr w:rsidR="00D7560A" w14:paraId="59E49802"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9E497FE"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Fiscal 2023 (remaining six months)</w:t>
            </w: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9E497FF"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9E49800"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1,329 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9801" w14:textId="77777777" w:rsidR="00D7560A" w:rsidRDefault="00D7560A">
            <w:pPr>
              <w:widowControl/>
              <w:jc w:val="right"/>
              <w:rPr>
                <w:rFonts w:ascii="Times New Roman" w:eastAsia="宋体" w:hAnsi="宋体" w:cs="宋体"/>
                <w:kern w:val="0"/>
                <w:sz w:val="24"/>
              </w:rPr>
            </w:pPr>
          </w:p>
        </w:tc>
      </w:tr>
      <w:tr w:rsidR="00D7560A" w14:paraId="59E49806"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59E49803"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Fiscal 2024</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9804"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1,950 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9805" w14:textId="77777777" w:rsidR="00D7560A" w:rsidRDefault="00D7560A">
            <w:pPr>
              <w:widowControl/>
              <w:jc w:val="right"/>
              <w:rPr>
                <w:rFonts w:ascii="Times New Roman" w:eastAsia="宋体" w:hAnsi="宋体" w:cs="宋体"/>
                <w:kern w:val="0"/>
                <w:sz w:val="24"/>
              </w:rPr>
            </w:pPr>
          </w:p>
        </w:tc>
      </w:tr>
      <w:tr w:rsidR="00D7560A" w14:paraId="59E4980A"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9E49807"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Fiscal 2025</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9808"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1,277 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9809" w14:textId="77777777" w:rsidR="00D7560A" w:rsidRDefault="00D7560A">
            <w:pPr>
              <w:widowControl/>
              <w:jc w:val="right"/>
              <w:rPr>
                <w:rFonts w:ascii="Times New Roman" w:eastAsia="宋体" w:hAnsi="宋体" w:cs="宋体"/>
                <w:kern w:val="0"/>
                <w:sz w:val="24"/>
              </w:rPr>
            </w:pPr>
          </w:p>
        </w:tc>
      </w:tr>
      <w:tr w:rsidR="00D7560A" w14:paraId="59E4980E"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59E4980B"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Fiscal 2026</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980C"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659 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980D" w14:textId="77777777" w:rsidR="00D7560A" w:rsidRDefault="00D7560A">
            <w:pPr>
              <w:widowControl/>
              <w:jc w:val="right"/>
              <w:rPr>
                <w:rFonts w:ascii="Times New Roman" w:eastAsia="宋体" w:hAnsi="宋体" w:cs="宋体"/>
                <w:kern w:val="0"/>
                <w:sz w:val="24"/>
              </w:rPr>
            </w:pPr>
          </w:p>
        </w:tc>
      </w:tr>
      <w:tr w:rsidR="00D7560A" w14:paraId="59E49812"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9E4980F"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Fiscal 2027 and beyond</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9810"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217 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9811" w14:textId="77777777" w:rsidR="00D7560A" w:rsidRDefault="00D7560A">
            <w:pPr>
              <w:widowControl/>
              <w:jc w:val="right"/>
              <w:rPr>
                <w:rFonts w:ascii="Times New Roman" w:eastAsia="宋体" w:hAnsi="宋体" w:cs="宋体"/>
                <w:kern w:val="0"/>
                <w:sz w:val="24"/>
              </w:rPr>
            </w:pPr>
          </w:p>
        </w:tc>
      </w:tr>
      <w:tr w:rsidR="00D7560A" w14:paraId="59E49816" w14:textId="77777777">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59E49813"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Total </w:t>
            </w:r>
            <w:r>
              <w:rPr>
                <w:rFonts w:ascii="Times New Roman" w:eastAsia="宋体" w:hAnsi="Times New Roman" w:cs="Times New Roman"/>
                <w:color w:val="000000"/>
                <w:kern w:val="0"/>
                <w:sz w:val="20"/>
                <w:szCs w:val="20"/>
                <w:lang w:bidi="ar"/>
              </w:rPr>
              <w:t>undiscounted cash flows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59E49814"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5,432 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59E49815" w14:textId="77777777" w:rsidR="00D7560A" w:rsidRDefault="00D7560A">
            <w:pPr>
              <w:widowControl/>
              <w:jc w:val="right"/>
              <w:rPr>
                <w:rFonts w:ascii="Times New Roman" w:eastAsia="宋体" w:hAnsi="宋体" w:cs="宋体"/>
                <w:kern w:val="0"/>
                <w:sz w:val="24"/>
              </w:rPr>
            </w:pPr>
          </w:p>
        </w:tc>
      </w:tr>
      <w:tr w:rsidR="00D7560A" w14:paraId="59E4981A"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9E49817"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Fixed-term loans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9818"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4,795 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9819" w14:textId="77777777" w:rsidR="00D7560A" w:rsidRDefault="00D7560A">
            <w:pPr>
              <w:widowControl/>
              <w:jc w:val="right"/>
              <w:rPr>
                <w:rFonts w:ascii="Times New Roman" w:eastAsia="宋体" w:hAnsi="宋体" w:cs="宋体"/>
                <w:kern w:val="0"/>
                <w:sz w:val="24"/>
              </w:rPr>
            </w:pPr>
          </w:p>
        </w:tc>
      </w:tr>
      <w:tr w:rsidR="00D7560A" w14:paraId="59E4981E"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59E4981B"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Revolving loans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981C"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705 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981D" w14:textId="77777777" w:rsidR="00D7560A" w:rsidRDefault="00D7560A">
            <w:pPr>
              <w:widowControl/>
              <w:jc w:val="right"/>
              <w:rPr>
                <w:rFonts w:ascii="Times New Roman" w:eastAsia="宋体" w:hAnsi="宋体" w:cs="宋体"/>
                <w:kern w:val="0"/>
                <w:sz w:val="24"/>
              </w:rPr>
            </w:pPr>
          </w:p>
        </w:tc>
      </w:tr>
      <w:tr w:rsidR="00D7560A" w14:paraId="59E49822"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9E4981F"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Less: Unearned income</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9820"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(589)</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9821" w14:textId="77777777" w:rsidR="00D7560A" w:rsidRDefault="00D7560A">
            <w:pPr>
              <w:widowControl/>
              <w:jc w:val="right"/>
              <w:rPr>
                <w:rFonts w:ascii="Times New Roman" w:eastAsia="宋体" w:hAnsi="宋体" w:cs="宋体"/>
                <w:kern w:val="0"/>
                <w:sz w:val="24"/>
              </w:rPr>
            </w:pPr>
          </w:p>
        </w:tc>
      </w:tr>
      <w:tr w:rsidR="00D7560A" w14:paraId="59E49827" w14:textId="77777777">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59E49823"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Total customer receivables, gross</w:t>
            </w: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59E49824"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59E49825"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10,343 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59E49826" w14:textId="77777777" w:rsidR="00D7560A" w:rsidRDefault="00D7560A">
            <w:pPr>
              <w:widowControl/>
              <w:jc w:val="right"/>
              <w:rPr>
                <w:rFonts w:ascii="Times New Roman" w:eastAsia="宋体" w:hAnsi="宋体" w:cs="宋体"/>
                <w:kern w:val="0"/>
                <w:sz w:val="24"/>
              </w:rPr>
            </w:pPr>
          </w:p>
        </w:tc>
      </w:tr>
    </w:tbl>
    <w:p w14:paraId="59E49828"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9829" w14:textId="77777777" w:rsidR="00D7560A" w:rsidRDefault="001E3CAB">
      <w:pPr>
        <w:widowControl/>
        <w:ind w:left="360" w:hanging="360"/>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Operating Leases</w:t>
      </w:r>
    </w:p>
    <w:p w14:paraId="59E4982A" w14:textId="77777777" w:rsidR="00D7560A" w:rsidRDefault="001E3CAB">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59E4982B" w14:textId="77777777" w:rsidR="00D7560A" w:rsidRDefault="001E3CAB">
      <w:pPr>
        <w:widowControl/>
        <w:spacing w:after="12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The following table presents the components of the Company’s operating lease portfolio included in property, plant, and equipment, net as of the dates indicated: </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8"/>
        <w:gridCol w:w="5232"/>
        <w:gridCol w:w="37"/>
        <w:gridCol w:w="120"/>
        <w:gridCol w:w="1303"/>
        <w:gridCol w:w="36"/>
        <w:gridCol w:w="36"/>
        <w:gridCol w:w="36"/>
        <w:gridCol w:w="36"/>
        <w:gridCol w:w="121"/>
        <w:gridCol w:w="1305"/>
        <w:gridCol w:w="36"/>
      </w:tblGrid>
      <w:tr w:rsidR="00D7560A" w14:paraId="59E49838" w14:textId="77777777">
        <w:tc>
          <w:tcPr>
            <w:tcW w:w="50" w:type="pct"/>
            <w:tcBorders>
              <w:top w:val="nil"/>
              <w:left w:val="nil"/>
              <w:bottom w:val="nil"/>
              <w:right w:val="nil"/>
            </w:tcBorders>
            <w:shd w:val="clear" w:color="auto" w:fill="auto"/>
            <w:vAlign w:val="bottom"/>
          </w:tcPr>
          <w:p w14:paraId="59E4982C" w14:textId="77777777" w:rsidR="00D7560A" w:rsidRDefault="00D7560A">
            <w:pPr>
              <w:widowControl/>
              <w:jc w:val="left"/>
              <w:rPr>
                <w:rFonts w:ascii="Times New Roman" w:eastAsia="宋体" w:hAnsi="宋体" w:cs="宋体"/>
                <w:kern w:val="0"/>
                <w:sz w:val="24"/>
              </w:rPr>
            </w:pPr>
          </w:p>
        </w:tc>
        <w:tc>
          <w:tcPr>
            <w:tcW w:w="3175" w:type="pct"/>
            <w:tcBorders>
              <w:top w:val="nil"/>
              <w:left w:val="nil"/>
              <w:bottom w:val="nil"/>
              <w:right w:val="nil"/>
            </w:tcBorders>
            <w:shd w:val="clear" w:color="auto" w:fill="auto"/>
            <w:vAlign w:val="bottom"/>
          </w:tcPr>
          <w:p w14:paraId="59E4982D"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82E"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982F" w14:textId="77777777" w:rsidR="00D7560A" w:rsidRDefault="00D7560A">
            <w:pPr>
              <w:widowControl/>
              <w:jc w:val="left"/>
              <w:rPr>
                <w:rFonts w:ascii="Times New Roman" w:eastAsia="宋体" w:hAnsi="宋体" w:cs="宋体"/>
                <w:kern w:val="0"/>
                <w:sz w:val="24"/>
              </w:rPr>
            </w:pPr>
          </w:p>
        </w:tc>
        <w:tc>
          <w:tcPr>
            <w:tcW w:w="814" w:type="pct"/>
            <w:tcBorders>
              <w:top w:val="nil"/>
              <w:left w:val="nil"/>
              <w:bottom w:val="nil"/>
              <w:right w:val="nil"/>
            </w:tcBorders>
            <w:shd w:val="clear" w:color="auto" w:fill="auto"/>
            <w:vAlign w:val="bottom"/>
          </w:tcPr>
          <w:p w14:paraId="59E49830"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831"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832" w14:textId="77777777" w:rsidR="00D7560A" w:rsidRDefault="00D7560A">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59E49833"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834"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9835" w14:textId="77777777" w:rsidR="00D7560A" w:rsidRDefault="00D7560A">
            <w:pPr>
              <w:widowControl/>
              <w:jc w:val="left"/>
              <w:rPr>
                <w:rFonts w:ascii="Times New Roman" w:eastAsia="宋体" w:hAnsi="宋体" w:cs="宋体"/>
                <w:kern w:val="0"/>
                <w:sz w:val="24"/>
              </w:rPr>
            </w:pPr>
          </w:p>
        </w:tc>
        <w:tc>
          <w:tcPr>
            <w:tcW w:w="815" w:type="pct"/>
            <w:tcBorders>
              <w:top w:val="nil"/>
              <w:left w:val="nil"/>
              <w:bottom w:val="nil"/>
              <w:right w:val="nil"/>
            </w:tcBorders>
            <w:shd w:val="clear" w:color="auto" w:fill="auto"/>
            <w:vAlign w:val="bottom"/>
          </w:tcPr>
          <w:p w14:paraId="59E49836"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837" w14:textId="77777777" w:rsidR="00D7560A" w:rsidRDefault="00D7560A">
            <w:pPr>
              <w:widowControl/>
              <w:jc w:val="left"/>
              <w:rPr>
                <w:rFonts w:ascii="Times New Roman" w:eastAsia="宋体" w:hAnsi="宋体" w:cs="宋体"/>
                <w:kern w:val="0"/>
                <w:sz w:val="24"/>
              </w:rPr>
            </w:pPr>
          </w:p>
        </w:tc>
      </w:tr>
      <w:tr w:rsidR="00D7560A" w14:paraId="59E4983D"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9839"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9E4983A"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29, 2022</w:t>
            </w: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59E4983B"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auto"/>
            <w:tcMar>
              <w:top w:w="40" w:type="dxa"/>
              <w:left w:w="20" w:type="dxa"/>
              <w:bottom w:w="40" w:type="dxa"/>
              <w:right w:w="20" w:type="dxa"/>
            </w:tcMar>
            <w:vAlign w:val="bottom"/>
          </w:tcPr>
          <w:p w14:paraId="59E4983C"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January 28, 2022</w:t>
            </w:r>
          </w:p>
        </w:tc>
      </w:tr>
      <w:tr w:rsidR="00D7560A" w14:paraId="59E49840"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983E" w14:textId="77777777" w:rsidR="00D7560A" w:rsidRDefault="00D7560A">
            <w:pPr>
              <w:widowControl/>
              <w:jc w:val="left"/>
              <w:rPr>
                <w:rFonts w:ascii="Times New Roman" w:eastAsia="宋体" w:hAnsi="宋体" w:cs="宋体"/>
                <w:kern w:val="0"/>
                <w:sz w:val="24"/>
              </w:rPr>
            </w:pPr>
          </w:p>
        </w:tc>
        <w:tc>
          <w:tcPr>
            <w:tcW w:w="0" w:type="auto"/>
            <w:gridSpan w:val="9"/>
            <w:tcBorders>
              <w:top w:val="single" w:sz="8" w:space="0" w:color="000000"/>
              <w:left w:val="nil"/>
              <w:bottom w:val="nil"/>
              <w:right w:val="nil"/>
            </w:tcBorders>
            <w:shd w:val="clear" w:color="auto" w:fill="auto"/>
            <w:tcMar>
              <w:top w:w="40" w:type="dxa"/>
              <w:left w:w="20" w:type="dxa"/>
              <w:bottom w:w="40" w:type="dxa"/>
              <w:right w:w="20" w:type="dxa"/>
            </w:tcMar>
            <w:vAlign w:val="bottom"/>
          </w:tcPr>
          <w:p w14:paraId="59E4983F"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(in millions)</w:t>
            </w:r>
          </w:p>
        </w:tc>
      </w:tr>
      <w:tr w:rsidR="00D7560A" w14:paraId="59E49849"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9E49841"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Equipment under </w:t>
            </w:r>
            <w:r>
              <w:rPr>
                <w:rFonts w:ascii="Times New Roman" w:eastAsia="宋体" w:hAnsi="Times New Roman" w:cs="Times New Roman"/>
                <w:color w:val="000000"/>
                <w:kern w:val="0"/>
                <w:sz w:val="20"/>
                <w:szCs w:val="20"/>
                <w:lang w:bidi="ar"/>
              </w:rPr>
              <w:t>operating lease, gross</w:t>
            </w: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9E49842"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9E49843"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3,202 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9844"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845"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9E49846"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9E49847"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2,643 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9848" w14:textId="77777777" w:rsidR="00D7560A" w:rsidRDefault="00D7560A">
            <w:pPr>
              <w:widowControl/>
              <w:jc w:val="right"/>
              <w:rPr>
                <w:rFonts w:ascii="Times New Roman" w:eastAsia="宋体" w:hAnsi="宋体" w:cs="宋体"/>
                <w:kern w:val="0"/>
                <w:sz w:val="24"/>
              </w:rPr>
            </w:pPr>
          </w:p>
        </w:tc>
      </w:tr>
      <w:tr w:rsidR="00D7560A" w14:paraId="59E49850"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9E4984A"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Less: Accumulated depreciation</w:t>
            </w: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59E4984B"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(1,202)</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59E4984C"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984D"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59E4984E"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(935)</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59E4984F" w14:textId="77777777" w:rsidR="00D7560A" w:rsidRDefault="00D7560A">
            <w:pPr>
              <w:widowControl/>
              <w:jc w:val="right"/>
              <w:rPr>
                <w:rFonts w:ascii="Times New Roman" w:eastAsia="宋体" w:hAnsi="宋体" w:cs="宋体"/>
                <w:kern w:val="0"/>
                <w:sz w:val="24"/>
              </w:rPr>
            </w:pPr>
          </w:p>
        </w:tc>
      </w:tr>
      <w:tr w:rsidR="00D7560A" w14:paraId="59E49859" w14:textId="77777777">
        <w:tc>
          <w:tcPr>
            <w:tcW w:w="0" w:type="auto"/>
            <w:gridSpan w:val="3"/>
            <w:tcBorders>
              <w:top w:val="nil"/>
              <w:left w:val="nil"/>
              <w:bottom w:val="nil"/>
              <w:right w:val="nil"/>
            </w:tcBorders>
            <w:shd w:val="clear" w:color="auto" w:fill="CCEEFF"/>
            <w:tcMar>
              <w:top w:w="40" w:type="dxa"/>
              <w:left w:w="155" w:type="dxa"/>
              <w:bottom w:w="40" w:type="dxa"/>
              <w:right w:w="20" w:type="dxa"/>
            </w:tcMar>
            <w:vAlign w:val="bottom"/>
          </w:tcPr>
          <w:p w14:paraId="59E49851"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Equipment under operating lease, net</w:t>
            </w: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59E49852"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59E49853"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2,000 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59E49854"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855"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59E49856"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59E49857"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1,708 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59E49858" w14:textId="77777777" w:rsidR="00D7560A" w:rsidRDefault="00D7560A">
            <w:pPr>
              <w:widowControl/>
              <w:jc w:val="right"/>
              <w:rPr>
                <w:rFonts w:ascii="Times New Roman" w:eastAsia="宋体" w:hAnsi="宋体" w:cs="宋体"/>
                <w:kern w:val="0"/>
                <w:sz w:val="24"/>
              </w:rPr>
            </w:pPr>
          </w:p>
        </w:tc>
      </w:tr>
    </w:tbl>
    <w:p w14:paraId="59E4985A" w14:textId="77777777" w:rsidR="00D7560A" w:rsidRDefault="001E3CAB">
      <w:pPr>
        <w:widowControl/>
        <w:spacing w:before="100"/>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985B" w14:textId="77777777" w:rsidR="00D7560A" w:rsidRDefault="001E3CAB">
      <w:pPr>
        <w:widowControl/>
        <w:rPr>
          <w:rFonts w:ascii="宋体" w:eastAsia="宋体" w:hAnsi="宋体" w:cs="宋体"/>
          <w:kern w:val="0"/>
          <w:sz w:val="24"/>
        </w:rPr>
      </w:pPr>
      <w:r>
        <w:rPr>
          <w:rFonts w:ascii="Times New Roman" w:eastAsia="宋体" w:hAnsi="Times New Roman" w:cs="Times New Roman"/>
          <w:color w:val="000000"/>
          <w:kern w:val="0"/>
          <w:sz w:val="20"/>
          <w:szCs w:val="20"/>
          <w:lang w:bidi="ar"/>
        </w:rPr>
        <w:t>The following table presents operating lease income related to lease payments and depreciation expense for the Company’s operating lease portfolio for the periods indicated:</w:t>
      </w:r>
    </w:p>
    <w:tbl>
      <w:tblPr>
        <w:tblW w:w="4985" w:type="pct"/>
        <w:tblInd w:w="93" w:type="dxa"/>
        <w:tblCellMar>
          <w:top w:w="15" w:type="dxa"/>
          <w:left w:w="15" w:type="dxa"/>
          <w:bottom w:w="15" w:type="dxa"/>
          <w:right w:w="15" w:type="dxa"/>
        </w:tblCellMar>
        <w:tblLook w:val="04A0" w:firstRow="1" w:lastRow="0" w:firstColumn="1" w:lastColumn="0" w:noHBand="0" w:noVBand="1"/>
      </w:tblPr>
      <w:tblGrid>
        <w:gridCol w:w="38"/>
        <w:gridCol w:w="2172"/>
        <w:gridCol w:w="37"/>
        <w:gridCol w:w="120"/>
        <w:gridCol w:w="1293"/>
        <w:gridCol w:w="36"/>
        <w:gridCol w:w="36"/>
        <w:gridCol w:w="36"/>
        <w:gridCol w:w="36"/>
        <w:gridCol w:w="120"/>
        <w:gridCol w:w="1235"/>
        <w:gridCol w:w="36"/>
        <w:gridCol w:w="36"/>
        <w:gridCol w:w="36"/>
        <w:gridCol w:w="36"/>
        <w:gridCol w:w="120"/>
        <w:gridCol w:w="1294"/>
        <w:gridCol w:w="36"/>
        <w:gridCol w:w="36"/>
        <w:gridCol w:w="36"/>
        <w:gridCol w:w="36"/>
        <w:gridCol w:w="120"/>
        <w:gridCol w:w="1294"/>
        <w:gridCol w:w="36"/>
      </w:tblGrid>
      <w:tr w:rsidR="00D7560A" w14:paraId="59E49874" w14:textId="77777777">
        <w:tc>
          <w:tcPr>
            <w:tcW w:w="50" w:type="pct"/>
            <w:tcBorders>
              <w:top w:val="nil"/>
              <w:left w:val="nil"/>
              <w:bottom w:val="nil"/>
              <w:right w:val="nil"/>
            </w:tcBorders>
            <w:shd w:val="clear" w:color="auto" w:fill="auto"/>
            <w:vAlign w:val="bottom"/>
          </w:tcPr>
          <w:p w14:paraId="59E4985C" w14:textId="77777777" w:rsidR="00D7560A" w:rsidRDefault="00D7560A">
            <w:pPr>
              <w:widowControl/>
              <w:jc w:val="left"/>
              <w:rPr>
                <w:rFonts w:ascii="Times New Roman" w:eastAsia="宋体" w:hAnsi="宋体" w:cs="宋体"/>
                <w:kern w:val="0"/>
                <w:sz w:val="24"/>
              </w:rPr>
            </w:pPr>
          </w:p>
        </w:tc>
        <w:tc>
          <w:tcPr>
            <w:tcW w:w="1359" w:type="pct"/>
            <w:tcBorders>
              <w:top w:val="nil"/>
              <w:left w:val="nil"/>
              <w:bottom w:val="nil"/>
              <w:right w:val="nil"/>
            </w:tcBorders>
            <w:shd w:val="clear" w:color="auto" w:fill="auto"/>
            <w:vAlign w:val="bottom"/>
          </w:tcPr>
          <w:p w14:paraId="59E4985D"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85E"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985F" w14:textId="77777777" w:rsidR="00D7560A" w:rsidRDefault="00D7560A">
            <w:pPr>
              <w:widowControl/>
              <w:jc w:val="left"/>
              <w:rPr>
                <w:rFonts w:ascii="Times New Roman" w:eastAsia="宋体" w:hAnsi="宋体" w:cs="宋体"/>
                <w:kern w:val="0"/>
                <w:sz w:val="24"/>
              </w:rPr>
            </w:pPr>
          </w:p>
        </w:tc>
        <w:tc>
          <w:tcPr>
            <w:tcW w:w="817" w:type="pct"/>
            <w:tcBorders>
              <w:top w:val="nil"/>
              <w:left w:val="nil"/>
              <w:bottom w:val="nil"/>
              <w:right w:val="nil"/>
            </w:tcBorders>
            <w:shd w:val="clear" w:color="auto" w:fill="auto"/>
            <w:vAlign w:val="bottom"/>
          </w:tcPr>
          <w:p w14:paraId="59E49860"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861"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862" w14:textId="77777777" w:rsidR="00D7560A" w:rsidRDefault="00D7560A">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59E49863"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864"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9865" w14:textId="77777777" w:rsidR="00D7560A" w:rsidRDefault="00D7560A">
            <w:pPr>
              <w:widowControl/>
              <w:jc w:val="left"/>
              <w:rPr>
                <w:rFonts w:ascii="Times New Roman" w:eastAsia="宋体" w:hAnsi="宋体" w:cs="宋体"/>
                <w:kern w:val="0"/>
                <w:sz w:val="24"/>
              </w:rPr>
            </w:pPr>
          </w:p>
        </w:tc>
        <w:tc>
          <w:tcPr>
            <w:tcW w:w="817" w:type="pct"/>
            <w:tcBorders>
              <w:top w:val="nil"/>
              <w:left w:val="nil"/>
              <w:bottom w:val="nil"/>
              <w:right w:val="nil"/>
            </w:tcBorders>
            <w:shd w:val="clear" w:color="auto" w:fill="auto"/>
            <w:vAlign w:val="bottom"/>
          </w:tcPr>
          <w:p w14:paraId="59E49866"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867"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868" w14:textId="77777777" w:rsidR="00D7560A" w:rsidRDefault="00D7560A">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59E49869"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86A"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986B" w14:textId="77777777" w:rsidR="00D7560A" w:rsidRDefault="00D7560A">
            <w:pPr>
              <w:widowControl/>
              <w:jc w:val="left"/>
              <w:rPr>
                <w:rFonts w:ascii="Times New Roman" w:eastAsia="宋体" w:hAnsi="宋体" w:cs="宋体"/>
                <w:kern w:val="0"/>
                <w:sz w:val="24"/>
              </w:rPr>
            </w:pPr>
          </w:p>
        </w:tc>
        <w:tc>
          <w:tcPr>
            <w:tcW w:w="817" w:type="pct"/>
            <w:tcBorders>
              <w:top w:val="nil"/>
              <w:left w:val="nil"/>
              <w:bottom w:val="nil"/>
              <w:right w:val="nil"/>
            </w:tcBorders>
            <w:shd w:val="clear" w:color="auto" w:fill="auto"/>
            <w:vAlign w:val="bottom"/>
          </w:tcPr>
          <w:p w14:paraId="59E4986C"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86D"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86E" w14:textId="77777777" w:rsidR="00D7560A" w:rsidRDefault="00D7560A">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59E4986F"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870"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9871" w14:textId="77777777" w:rsidR="00D7560A" w:rsidRDefault="00D7560A">
            <w:pPr>
              <w:widowControl/>
              <w:jc w:val="left"/>
              <w:rPr>
                <w:rFonts w:ascii="Times New Roman" w:eastAsia="宋体" w:hAnsi="宋体" w:cs="宋体"/>
                <w:kern w:val="0"/>
                <w:sz w:val="24"/>
              </w:rPr>
            </w:pPr>
          </w:p>
        </w:tc>
        <w:tc>
          <w:tcPr>
            <w:tcW w:w="817" w:type="pct"/>
            <w:tcBorders>
              <w:top w:val="nil"/>
              <w:left w:val="nil"/>
              <w:bottom w:val="nil"/>
              <w:right w:val="nil"/>
            </w:tcBorders>
            <w:shd w:val="clear" w:color="auto" w:fill="auto"/>
            <w:vAlign w:val="bottom"/>
          </w:tcPr>
          <w:p w14:paraId="59E49872"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873" w14:textId="77777777" w:rsidR="00D7560A" w:rsidRDefault="00D7560A">
            <w:pPr>
              <w:widowControl/>
              <w:jc w:val="left"/>
              <w:rPr>
                <w:rFonts w:ascii="Times New Roman" w:eastAsia="宋体" w:hAnsi="宋体" w:cs="宋体"/>
                <w:kern w:val="0"/>
                <w:sz w:val="24"/>
              </w:rPr>
            </w:pPr>
          </w:p>
        </w:tc>
      </w:tr>
      <w:tr w:rsidR="00D7560A" w14:paraId="59E49879"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9875" w14:textId="77777777" w:rsidR="00D7560A" w:rsidRDefault="00D7560A">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59E49876"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Three Months Ended</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9877" w14:textId="77777777" w:rsidR="00D7560A" w:rsidRDefault="00D7560A">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59E49878"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Six Months Ended</w:t>
            </w:r>
          </w:p>
        </w:tc>
      </w:tr>
      <w:tr w:rsidR="00D7560A" w14:paraId="59E49882"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987A"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59E4987B"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29, 2022</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59E4987C"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59E4987D"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30, 2021</w:t>
            </w: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59E4987E"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59E4987F"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29, 2022</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59E49880"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59E49881"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30, 2021</w:t>
            </w:r>
          </w:p>
        </w:tc>
      </w:tr>
      <w:tr w:rsidR="00D7560A" w14:paraId="59E49885"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9883" w14:textId="77777777" w:rsidR="00D7560A" w:rsidRDefault="00D7560A">
            <w:pPr>
              <w:widowControl/>
              <w:jc w:val="left"/>
              <w:rPr>
                <w:rFonts w:ascii="Times New Roman" w:eastAsia="宋体" w:hAnsi="宋体" w:cs="宋体"/>
                <w:kern w:val="0"/>
                <w:sz w:val="24"/>
              </w:rPr>
            </w:pPr>
          </w:p>
        </w:tc>
        <w:tc>
          <w:tcPr>
            <w:tcW w:w="0" w:type="auto"/>
            <w:gridSpan w:val="21"/>
            <w:tcBorders>
              <w:top w:val="single" w:sz="8" w:space="0" w:color="000000"/>
              <w:left w:val="nil"/>
              <w:bottom w:val="nil"/>
              <w:right w:val="nil"/>
            </w:tcBorders>
            <w:shd w:val="clear" w:color="auto" w:fill="auto"/>
            <w:tcMar>
              <w:top w:w="40" w:type="dxa"/>
              <w:left w:w="20" w:type="dxa"/>
              <w:bottom w:w="40" w:type="dxa"/>
              <w:right w:w="20" w:type="dxa"/>
            </w:tcMar>
            <w:vAlign w:val="bottom"/>
          </w:tcPr>
          <w:p w14:paraId="59E49884"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(in </w:t>
            </w:r>
            <w:r>
              <w:rPr>
                <w:rFonts w:ascii="Times New Roman" w:eastAsia="宋体" w:hAnsi="Times New Roman" w:cs="Times New Roman"/>
                <w:color w:val="000000"/>
                <w:kern w:val="0"/>
                <w:sz w:val="20"/>
                <w:szCs w:val="20"/>
                <w:lang w:bidi="ar"/>
              </w:rPr>
              <w:t>millions)</w:t>
            </w:r>
          </w:p>
        </w:tc>
      </w:tr>
      <w:tr w:rsidR="00D7560A" w14:paraId="59E49896"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9E49886"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Income related to lease payments</w:t>
            </w: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9E49887"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9E49888"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253 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9889"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88A"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9E4988B"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9E4988C"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167 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988D"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88E"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9E4988F"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9E49890"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485 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9891"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892"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9E49893"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9E49894"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323 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9895" w14:textId="77777777" w:rsidR="00D7560A" w:rsidRDefault="00D7560A">
            <w:pPr>
              <w:widowControl/>
              <w:jc w:val="right"/>
              <w:rPr>
                <w:rFonts w:ascii="Times New Roman" w:eastAsia="宋体" w:hAnsi="宋体" w:cs="宋体"/>
                <w:kern w:val="0"/>
                <w:sz w:val="24"/>
              </w:rPr>
            </w:pPr>
          </w:p>
        </w:tc>
      </w:tr>
      <w:tr w:rsidR="00D7560A" w14:paraId="59E498A7"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59E49897"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Depreciation expense </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9E49898"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9E49899"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194 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989A"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989B"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9E4989C"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9E4989D"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127 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989E"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989F"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9E498A0"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9E498A1"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359 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98A2"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98A3"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9E498A4"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9E498A5"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243 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98A6" w14:textId="77777777" w:rsidR="00D7560A" w:rsidRDefault="00D7560A">
            <w:pPr>
              <w:widowControl/>
              <w:jc w:val="right"/>
              <w:rPr>
                <w:rFonts w:ascii="Times New Roman" w:eastAsia="宋体" w:hAnsi="宋体" w:cs="宋体"/>
                <w:kern w:val="0"/>
                <w:sz w:val="24"/>
              </w:rPr>
            </w:pPr>
          </w:p>
        </w:tc>
      </w:tr>
    </w:tbl>
    <w:p w14:paraId="59E498A8"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98A9" w14:textId="77777777" w:rsidR="00D7560A" w:rsidRDefault="001E3CAB">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59E498AA"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98AB"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24</w:t>
      </w:r>
    </w:p>
    <w:p w14:paraId="59E498AC"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98AD" w14:textId="77777777" w:rsidR="00D7560A" w:rsidRDefault="001E3CAB">
      <w:pPr>
        <w:widowControl/>
        <w:jc w:val="center"/>
      </w:pPr>
      <w:r>
        <w:rPr>
          <w:rFonts w:ascii="宋体" w:eastAsia="宋体" w:hAnsi="宋体" w:cs="宋体"/>
          <w:kern w:val="0"/>
          <w:sz w:val="24"/>
        </w:rPr>
        <w:pict w14:anchorId="59E4C7E3">
          <v:rect id="_x0000_i1048" style="width:6in;height:1.5pt" o:hralign="center" o:hrstd="t" o:hr="t" fillcolor="#a0a0a0" stroked="f"/>
        </w:pict>
      </w:r>
    </w:p>
    <w:p w14:paraId="59E498AE" w14:textId="77777777" w:rsidR="00D7560A" w:rsidRDefault="001E3CAB">
      <w:pPr>
        <w:widowControl/>
        <w:jc w:val="left"/>
        <w:rPr>
          <w:rFonts w:ascii="宋体" w:eastAsia="宋体" w:hAnsi="宋体" w:cs="宋体"/>
          <w:kern w:val="0"/>
          <w:sz w:val="24"/>
        </w:rPr>
      </w:pPr>
      <w:hyperlink w:anchor="if933dd1d5d004d2495dd7029e3ecad00_13" w:history="1">
        <w:r>
          <w:rPr>
            <w:rStyle w:val="a4"/>
            <w:rFonts w:ascii="Times New Roman" w:eastAsia="宋体" w:hAnsi="Times New Roman" w:cs="Times New Roman"/>
            <w:sz w:val="20"/>
            <w:szCs w:val="20"/>
          </w:rPr>
          <w:t>Table of Contents</w:t>
        </w:r>
      </w:hyperlink>
    </w:p>
    <w:p w14:paraId="59E498AF"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DELL TECHNOLOGIES INC.</w:t>
      </w:r>
    </w:p>
    <w:p w14:paraId="59E498B0"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 xml:space="preserve">NOTES TO THE CONDENSED </w:t>
      </w:r>
      <w:r>
        <w:rPr>
          <w:rFonts w:ascii="Times New Roman" w:eastAsia="宋体" w:hAnsi="Times New Roman" w:cs="Times New Roman"/>
          <w:b/>
          <w:bCs/>
          <w:color w:val="000000"/>
          <w:kern w:val="0"/>
          <w:sz w:val="20"/>
          <w:szCs w:val="20"/>
          <w:lang w:bidi="ar"/>
        </w:rPr>
        <w:t>CONSOLIDATED FINANCIAL STATEMENTS (Continued)</w:t>
      </w:r>
    </w:p>
    <w:p w14:paraId="59E498B1"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(unaudited)</w:t>
      </w:r>
    </w:p>
    <w:p w14:paraId="59E498B2"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98B3" w14:textId="77777777" w:rsidR="00D7560A" w:rsidRDefault="001E3CAB">
      <w:pPr>
        <w:widowControl/>
        <w:spacing w:after="12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The following table presents the future payments to be received by the Company as lessor in operating lease contracts as of the date indicated:</w:t>
      </w:r>
    </w:p>
    <w:tbl>
      <w:tblPr>
        <w:tblW w:w="4985" w:type="pct"/>
        <w:jc w:val="center"/>
        <w:tblCellMar>
          <w:top w:w="15" w:type="dxa"/>
          <w:left w:w="15" w:type="dxa"/>
          <w:bottom w:w="15" w:type="dxa"/>
          <w:right w:w="15" w:type="dxa"/>
        </w:tblCellMar>
        <w:tblLook w:val="04A0" w:firstRow="1" w:lastRow="0" w:firstColumn="1" w:lastColumn="0" w:noHBand="0" w:noVBand="1"/>
      </w:tblPr>
      <w:tblGrid>
        <w:gridCol w:w="51"/>
        <w:gridCol w:w="6568"/>
        <w:gridCol w:w="36"/>
        <w:gridCol w:w="121"/>
        <w:gridCol w:w="1498"/>
        <w:gridCol w:w="37"/>
      </w:tblGrid>
      <w:tr w:rsidR="00D7560A" w14:paraId="59E498BA" w14:textId="77777777">
        <w:trPr>
          <w:jc w:val="center"/>
        </w:trPr>
        <w:tc>
          <w:tcPr>
            <w:tcW w:w="50" w:type="pct"/>
            <w:tcBorders>
              <w:top w:val="nil"/>
              <w:left w:val="nil"/>
              <w:bottom w:val="nil"/>
              <w:right w:val="nil"/>
            </w:tcBorders>
            <w:shd w:val="clear" w:color="auto" w:fill="auto"/>
            <w:vAlign w:val="bottom"/>
          </w:tcPr>
          <w:p w14:paraId="59E498B4" w14:textId="77777777" w:rsidR="00D7560A" w:rsidRDefault="00D7560A">
            <w:pPr>
              <w:widowControl/>
              <w:jc w:val="left"/>
              <w:rPr>
                <w:rFonts w:ascii="Times New Roman" w:eastAsia="宋体" w:hAnsi="宋体" w:cs="宋体"/>
                <w:kern w:val="0"/>
                <w:sz w:val="24"/>
              </w:rPr>
            </w:pPr>
          </w:p>
        </w:tc>
        <w:tc>
          <w:tcPr>
            <w:tcW w:w="3968" w:type="pct"/>
            <w:tcBorders>
              <w:top w:val="nil"/>
              <w:left w:val="nil"/>
              <w:bottom w:val="nil"/>
              <w:right w:val="nil"/>
            </w:tcBorders>
            <w:shd w:val="clear" w:color="auto" w:fill="auto"/>
            <w:vAlign w:val="bottom"/>
          </w:tcPr>
          <w:p w14:paraId="59E498B5"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8B6"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98B7" w14:textId="77777777" w:rsidR="00D7560A" w:rsidRDefault="00D7560A">
            <w:pPr>
              <w:widowControl/>
              <w:jc w:val="left"/>
              <w:rPr>
                <w:rFonts w:ascii="Times New Roman" w:eastAsia="宋体" w:hAnsi="宋体" w:cs="宋体"/>
                <w:kern w:val="0"/>
                <w:sz w:val="24"/>
              </w:rPr>
            </w:pPr>
          </w:p>
        </w:tc>
        <w:tc>
          <w:tcPr>
            <w:tcW w:w="920" w:type="pct"/>
            <w:tcBorders>
              <w:top w:val="nil"/>
              <w:left w:val="nil"/>
              <w:bottom w:val="nil"/>
              <w:right w:val="nil"/>
            </w:tcBorders>
            <w:shd w:val="clear" w:color="auto" w:fill="auto"/>
            <w:vAlign w:val="bottom"/>
          </w:tcPr>
          <w:p w14:paraId="59E498B8"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8B9" w14:textId="77777777" w:rsidR="00D7560A" w:rsidRDefault="00D7560A">
            <w:pPr>
              <w:widowControl/>
              <w:jc w:val="left"/>
              <w:rPr>
                <w:rFonts w:ascii="Times New Roman" w:eastAsia="宋体" w:hAnsi="宋体" w:cs="宋体"/>
                <w:kern w:val="0"/>
                <w:sz w:val="24"/>
              </w:rPr>
            </w:pPr>
          </w:p>
        </w:tc>
      </w:tr>
      <w:tr w:rsidR="00D7560A" w14:paraId="59E498BD"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98BB"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9E498BC"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29, 2022</w:t>
            </w:r>
          </w:p>
        </w:tc>
      </w:tr>
      <w:tr w:rsidR="00D7560A" w14:paraId="59E498C0"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98BE"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59E498BF"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(in millions)</w:t>
            </w:r>
          </w:p>
        </w:tc>
      </w:tr>
      <w:tr w:rsidR="00D7560A" w14:paraId="59E498C5"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9E498C1"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Fiscal </w:t>
            </w:r>
            <w:r>
              <w:rPr>
                <w:rFonts w:ascii="Times New Roman" w:eastAsia="宋体" w:hAnsi="Times New Roman" w:cs="Times New Roman"/>
                <w:color w:val="000000"/>
                <w:kern w:val="0"/>
                <w:sz w:val="20"/>
                <w:szCs w:val="20"/>
                <w:lang w:bidi="ar"/>
              </w:rPr>
              <w:t>2023 (remaining six months)</w:t>
            </w: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9E498C2"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9E498C3"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469 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98C4" w14:textId="77777777" w:rsidR="00D7560A" w:rsidRDefault="00D7560A">
            <w:pPr>
              <w:widowControl/>
              <w:jc w:val="right"/>
              <w:rPr>
                <w:rFonts w:ascii="Times New Roman" w:eastAsia="宋体" w:hAnsi="宋体" w:cs="宋体"/>
                <w:kern w:val="0"/>
                <w:sz w:val="24"/>
              </w:rPr>
            </w:pPr>
          </w:p>
        </w:tc>
      </w:tr>
      <w:tr w:rsidR="00D7560A" w14:paraId="59E498C9"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59E498C6"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Fiscal 2024</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98C7"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760 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98C8" w14:textId="77777777" w:rsidR="00D7560A" w:rsidRDefault="00D7560A">
            <w:pPr>
              <w:widowControl/>
              <w:jc w:val="right"/>
              <w:rPr>
                <w:rFonts w:ascii="Times New Roman" w:eastAsia="宋体" w:hAnsi="宋体" w:cs="宋体"/>
                <w:kern w:val="0"/>
                <w:sz w:val="24"/>
              </w:rPr>
            </w:pPr>
          </w:p>
        </w:tc>
      </w:tr>
      <w:tr w:rsidR="00D7560A" w14:paraId="59E498CD"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9E498CA"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Fiscal 2025</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98CB"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512 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98CC" w14:textId="77777777" w:rsidR="00D7560A" w:rsidRDefault="00D7560A">
            <w:pPr>
              <w:widowControl/>
              <w:jc w:val="right"/>
              <w:rPr>
                <w:rFonts w:ascii="Times New Roman" w:eastAsia="宋体" w:hAnsi="宋体" w:cs="宋体"/>
                <w:kern w:val="0"/>
                <w:sz w:val="24"/>
              </w:rPr>
            </w:pPr>
          </w:p>
        </w:tc>
      </w:tr>
      <w:tr w:rsidR="00D7560A" w14:paraId="59E498D1"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59E498CE"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Fiscal 2026</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98CF"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198 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98D0" w14:textId="77777777" w:rsidR="00D7560A" w:rsidRDefault="00D7560A">
            <w:pPr>
              <w:widowControl/>
              <w:jc w:val="right"/>
              <w:rPr>
                <w:rFonts w:ascii="Times New Roman" w:eastAsia="宋体" w:hAnsi="宋体" w:cs="宋体"/>
                <w:kern w:val="0"/>
                <w:sz w:val="24"/>
              </w:rPr>
            </w:pPr>
          </w:p>
        </w:tc>
      </w:tr>
      <w:tr w:rsidR="00D7560A" w14:paraId="59E498D5"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9E498D2"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Fiscal 2027 and beyond</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98D3"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98D4" w14:textId="77777777" w:rsidR="00D7560A" w:rsidRDefault="00D7560A">
            <w:pPr>
              <w:widowControl/>
              <w:jc w:val="right"/>
              <w:rPr>
                <w:rFonts w:ascii="Times New Roman" w:eastAsia="宋体" w:hAnsi="宋体" w:cs="宋体"/>
                <w:kern w:val="0"/>
                <w:sz w:val="24"/>
              </w:rPr>
            </w:pPr>
          </w:p>
        </w:tc>
      </w:tr>
      <w:tr w:rsidR="00D7560A" w14:paraId="59E498DA" w14:textId="77777777">
        <w:trPr>
          <w:jc w:val="center"/>
        </w:trPr>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59E498D6"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Total</w:t>
            </w: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59E498D7"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59E498D8"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2,003 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59E498D9" w14:textId="77777777" w:rsidR="00D7560A" w:rsidRDefault="00D7560A">
            <w:pPr>
              <w:widowControl/>
              <w:jc w:val="right"/>
              <w:rPr>
                <w:rFonts w:ascii="Times New Roman" w:eastAsia="宋体" w:hAnsi="宋体" w:cs="宋体"/>
                <w:kern w:val="0"/>
                <w:sz w:val="24"/>
              </w:rPr>
            </w:pPr>
          </w:p>
        </w:tc>
      </w:tr>
    </w:tbl>
    <w:p w14:paraId="59E498DB" w14:textId="77777777" w:rsidR="00D7560A" w:rsidRDefault="001E3CAB">
      <w:pPr>
        <w:widowControl/>
        <w:ind w:left="360" w:hanging="360"/>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98DC" w14:textId="77777777" w:rsidR="00D7560A" w:rsidRDefault="001E3CAB">
      <w:pPr>
        <w:widowControl/>
        <w:ind w:left="360" w:hanging="360"/>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DFS Debt</w:t>
      </w:r>
    </w:p>
    <w:p w14:paraId="59E498DD" w14:textId="77777777" w:rsidR="00D7560A" w:rsidRDefault="001E3CAB">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59E498DE" w14:textId="77777777" w:rsidR="00D7560A" w:rsidRDefault="001E3CAB">
      <w:pPr>
        <w:widowControl/>
        <w:spacing w:after="12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The Company maintains programs that facilitate the funding of leases, loans, and other alternative payment structures in the capital markets. The majority of DFS debt is non-recourse to Dell Technologies and represents borrowings under securitization progr</w:t>
      </w:r>
      <w:r>
        <w:rPr>
          <w:rFonts w:ascii="Times New Roman" w:eastAsia="宋体" w:hAnsi="Times New Roman" w:cs="Times New Roman"/>
          <w:color w:val="000000"/>
          <w:kern w:val="0"/>
          <w:sz w:val="20"/>
          <w:szCs w:val="20"/>
          <w:lang w:bidi="ar"/>
        </w:rPr>
        <w:t xml:space="preserve">ams and structured financing programs, for which the Company’s risk of loss is limited to transferred loan and lease payments and associated equipment. </w:t>
      </w:r>
    </w:p>
    <w:p w14:paraId="59E498DF" w14:textId="77777777" w:rsidR="00D7560A" w:rsidRDefault="001E3CAB">
      <w:pPr>
        <w:widowControl/>
        <w:spacing w:after="12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The following table presents DFS debt as of the dates indicated and excludes the allocated portion of t</w:t>
      </w:r>
      <w:r>
        <w:rPr>
          <w:rFonts w:ascii="Times New Roman" w:eastAsia="宋体" w:hAnsi="Times New Roman" w:cs="Times New Roman"/>
          <w:color w:val="000000"/>
          <w:kern w:val="0"/>
          <w:sz w:val="20"/>
          <w:szCs w:val="20"/>
          <w:lang w:bidi="ar"/>
        </w:rPr>
        <w:t>he Company’s other borrowings, which represents the additional amount considered to fund the DFS business: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9"/>
        <w:gridCol w:w="4889"/>
        <w:gridCol w:w="38"/>
        <w:gridCol w:w="120"/>
        <w:gridCol w:w="1474"/>
        <w:gridCol w:w="36"/>
        <w:gridCol w:w="36"/>
        <w:gridCol w:w="36"/>
        <w:gridCol w:w="36"/>
        <w:gridCol w:w="121"/>
        <w:gridCol w:w="1475"/>
        <w:gridCol w:w="36"/>
      </w:tblGrid>
      <w:tr w:rsidR="00D7560A" w14:paraId="59E498EC" w14:textId="77777777">
        <w:tc>
          <w:tcPr>
            <w:tcW w:w="50" w:type="pct"/>
            <w:tcBorders>
              <w:top w:val="nil"/>
              <w:left w:val="nil"/>
              <w:bottom w:val="nil"/>
              <w:right w:val="nil"/>
            </w:tcBorders>
            <w:shd w:val="clear" w:color="auto" w:fill="auto"/>
            <w:vAlign w:val="bottom"/>
          </w:tcPr>
          <w:p w14:paraId="59E498E0" w14:textId="77777777" w:rsidR="00D7560A" w:rsidRDefault="00D7560A">
            <w:pPr>
              <w:widowControl/>
              <w:jc w:val="left"/>
              <w:rPr>
                <w:rFonts w:ascii="Times New Roman" w:eastAsia="宋体" w:hAnsi="宋体" w:cs="宋体"/>
                <w:kern w:val="0"/>
                <w:sz w:val="24"/>
              </w:rPr>
            </w:pPr>
          </w:p>
        </w:tc>
        <w:tc>
          <w:tcPr>
            <w:tcW w:w="2971" w:type="pct"/>
            <w:tcBorders>
              <w:top w:val="nil"/>
              <w:left w:val="nil"/>
              <w:bottom w:val="nil"/>
              <w:right w:val="nil"/>
            </w:tcBorders>
            <w:shd w:val="clear" w:color="auto" w:fill="auto"/>
            <w:vAlign w:val="bottom"/>
          </w:tcPr>
          <w:p w14:paraId="59E498E1"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8E2"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98E3" w14:textId="77777777" w:rsidR="00D7560A" w:rsidRDefault="00D7560A">
            <w:pPr>
              <w:widowControl/>
              <w:jc w:val="left"/>
              <w:rPr>
                <w:rFonts w:ascii="Times New Roman" w:eastAsia="宋体" w:hAnsi="宋体" w:cs="宋体"/>
                <w:kern w:val="0"/>
                <w:sz w:val="24"/>
              </w:rPr>
            </w:pPr>
          </w:p>
        </w:tc>
        <w:tc>
          <w:tcPr>
            <w:tcW w:w="917" w:type="pct"/>
            <w:tcBorders>
              <w:top w:val="nil"/>
              <w:left w:val="nil"/>
              <w:bottom w:val="nil"/>
              <w:right w:val="nil"/>
            </w:tcBorders>
            <w:shd w:val="clear" w:color="auto" w:fill="auto"/>
            <w:vAlign w:val="bottom"/>
          </w:tcPr>
          <w:p w14:paraId="59E498E4"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8E5"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8E6" w14:textId="77777777" w:rsidR="00D7560A" w:rsidRDefault="00D7560A">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59E498E7"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8E8"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98E9" w14:textId="77777777" w:rsidR="00D7560A" w:rsidRDefault="00D7560A">
            <w:pPr>
              <w:widowControl/>
              <w:jc w:val="left"/>
              <w:rPr>
                <w:rFonts w:ascii="Times New Roman" w:eastAsia="宋体" w:hAnsi="宋体" w:cs="宋体"/>
                <w:kern w:val="0"/>
                <w:sz w:val="24"/>
              </w:rPr>
            </w:pPr>
          </w:p>
        </w:tc>
        <w:tc>
          <w:tcPr>
            <w:tcW w:w="917" w:type="pct"/>
            <w:tcBorders>
              <w:top w:val="nil"/>
              <w:left w:val="nil"/>
              <w:bottom w:val="nil"/>
              <w:right w:val="nil"/>
            </w:tcBorders>
            <w:shd w:val="clear" w:color="auto" w:fill="auto"/>
            <w:vAlign w:val="bottom"/>
          </w:tcPr>
          <w:p w14:paraId="59E498EA"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8EB" w14:textId="77777777" w:rsidR="00D7560A" w:rsidRDefault="00D7560A">
            <w:pPr>
              <w:widowControl/>
              <w:jc w:val="left"/>
              <w:rPr>
                <w:rFonts w:ascii="Times New Roman" w:eastAsia="宋体" w:hAnsi="宋体" w:cs="宋体"/>
                <w:kern w:val="0"/>
                <w:sz w:val="24"/>
              </w:rPr>
            </w:pPr>
          </w:p>
        </w:tc>
      </w:tr>
      <w:tr w:rsidR="00D7560A" w14:paraId="59E498F1"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98ED"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9E498EE"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29, 2022</w:t>
            </w: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59E498EF"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auto"/>
            <w:tcMar>
              <w:top w:w="40" w:type="dxa"/>
              <w:left w:w="20" w:type="dxa"/>
              <w:bottom w:w="40" w:type="dxa"/>
              <w:right w:w="20" w:type="dxa"/>
            </w:tcMar>
            <w:vAlign w:val="bottom"/>
          </w:tcPr>
          <w:p w14:paraId="59E498F0"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January 28, 2022</w:t>
            </w:r>
          </w:p>
        </w:tc>
      </w:tr>
      <w:tr w:rsidR="00D7560A" w14:paraId="59E498F4"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59E498F2"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DFS debt</w:t>
            </w:r>
          </w:p>
        </w:tc>
        <w:tc>
          <w:tcPr>
            <w:tcW w:w="0" w:type="auto"/>
            <w:gridSpan w:val="9"/>
            <w:tcBorders>
              <w:top w:val="single" w:sz="8" w:space="0" w:color="000000"/>
              <w:left w:val="nil"/>
              <w:bottom w:val="nil"/>
              <w:right w:val="nil"/>
            </w:tcBorders>
            <w:shd w:val="clear" w:color="auto" w:fill="auto"/>
            <w:tcMar>
              <w:top w:w="40" w:type="dxa"/>
              <w:left w:w="20" w:type="dxa"/>
              <w:bottom w:w="40" w:type="dxa"/>
              <w:right w:w="20" w:type="dxa"/>
            </w:tcMar>
            <w:vAlign w:val="bottom"/>
          </w:tcPr>
          <w:p w14:paraId="59E498F3"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(in millions)</w:t>
            </w:r>
          </w:p>
        </w:tc>
      </w:tr>
      <w:tr w:rsidR="00D7560A" w14:paraId="59E498F9"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9E498F5"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i/>
                <w:iCs/>
                <w:color w:val="000000"/>
                <w:kern w:val="0"/>
                <w:sz w:val="20"/>
                <w:szCs w:val="20"/>
                <w:lang w:bidi="ar"/>
              </w:rPr>
              <w:t>DFS U.S. debt: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8F6"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8F7"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8F8" w14:textId="77777777" w:rsidR="00D7560A" w:rsidRDefault="00D7560A">
            <w:pPr>
              <w:widowControl/>
              <w:jc w:val="left"/>
              <w:rPr>
                <w:rFonts w:ascii="Times New Roman" w:eastAsia="宋体" w:hAnsi="宋体" w:cs="宋体"/>
                <w:kern w:val="0"/>
                <w:sz w:val="24"/>
              </w:rPr>
            </w:pPr>
          </w:p>
        </w:tc>
      </w:tr>
      <w:tr w:rsidR="00D7560A" w14:paraId="59E49902" w14:textId="77777777">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59E498FA"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Asset-based financing and securitization </w:t>
            </w:r>
            <w:r>
              <w:rPr>
                <w:rFonts w:ascii="Times New Roman" w:eastAsia="宋体" w:hAnsi="Times New Roman" w:cs="Times New Roman"/>
                <w:color w:val="000000"/>
                <w:kern w:val="0"/>
                <w:sz w:val="20"/>
                <w:szCs w:val="20"/>
                <w:lang w:bidi="ar"/>
              </w:rPr>
              <w:t>facilities</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9E498FB"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9E498FC"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2,271 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98FD"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98FE"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9E498FF"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9E49900"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3,054 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9901" w14:textId="77777777" w:rsidR="00D7560A" w:rsidRDefault="00D7560A">
            <w:pPr>
              <w:widowControl/>
              <w:jc w:val="right"/>
              <w:rPr>
                <w:rFonts w:ascii="Times New Roman" w:eastAsia="宋体" w:hAnsi="宋体" w:cs="宋体"/>
                <w:kern w:val="0"/>
                <w:sz w:val="24"/>
              </w:rPr>
            </w:pPr>
          </w:p>
        </w:tc>
      </w:tr>
      <w:tr w:rsidR="00D7560A" w14:paraId="59E49909" w14:textId="77777777">
        <w:tc>
          <w:tcPr>
            <w:tcW w:w="0" w:type="auto"/>
            <w:gridSpan w:val="3"/>
            <w:tcBorders>
              <w:top w:val="nil"/>
              <w:left w:val="nil"/>
              <w:bottom w:val="nil"/>
              <w:right w:val="nil"/>
            </w:tcBorders>
            <w:shd w:val="clear" w:color="auto" w:fill="CCEEFF"/>
            <w:tcMar>
              <w:top w:w="40" w:type="dxa"/>
              <w:left w:w="155" w:type="dxa"/>
              <w:bottom w:w="40" w:type="dxa"/>
              <w:right w:w="20" w:type="dxa"/>
            </w:tcMar>
            <w:vAlign w:val="bottom"/>
          </w:tcPr>
          <w:p w14:paraId="59E49903"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Fixed-term securitization offerings </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9904"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3,968 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9905"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906"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9907"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3,011 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9908" w14:textId="77777777" w:rsidR="00D7560A" w:rsidRDefault="00D7560A">
            <w:pPr>
              <w:widowControl/>
              <w:jc w:val="right"/>
              <w:rPr>
                <w:rFonts w:ascii="Times New Roman" w:eastAsia="宋体" w:hAnsi="宋体" w:cs="宋体"/>
                <w:kern w:val="0"/>
                <w:sz w:val="24"/>
              </w:rPr>
            </w:pPr>
          </w:p>
        </w:tc>
      </w:tr>
      <w:tr w:rsidR="00D7560A" w14:paraId="59E49910" w14:textId="77777777">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59E4990A"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Other</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990B"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117 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990C"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990D"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990E"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135 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990F" w14:textId="77777777" w:rsidR="00D7560A" w:rsidRDefault="00D7560A">
            <w:pPr>
              <w:widowControl/>
              <w:jc w:val="right"/>
              <w:rPr>
                <w:rFonts w:ascii="Times New Roman" w:eastAsia="宋体" w:hAnsi="宋体" w:cs="宋体"/>
                <w:kern w:val="0"/>
                <w:sz w:val="24"/>
              </w:rPr>
            </w:pPr>
          </w:p>
        </w:tc>
      </w:tr>
      <w:tr w:rsidR="00D7560A" w14:paraId="59E49917" w14:textId="77777777">
        <w:tc>
          <w:tcPr>
            <w:tcW w:w="0" w:type="auto"/>
            <w:gridSpan w:val="3"/>
            <w:tcBorders>
              <w:top w:val="nil"/>
              <w:left w:val="nil"/>
              <w:bottom w:val="nil"/>
              <w:right w:val="nil"/>
            </w:tcBorders>
            <w:shd w:val="clear" w:color="auto" w:fill="CCEEFF"/>
            <w:tcMar>
              <w:top w:w="40" w:type="dxa"/>
              <w:left w:w="245" w:type="dxa"/>
              <w:bottom w:w="40" w:type="dxa"/>
              <w:right w:w="20" w:type="dxa"/>
            </w:tcMar>
            <w:vAlign w:val="bottom"/>
          </w:tcPr>
          <w:p w14:paraId="59E49911"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Total DFS U.S. debt</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59E49912"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6,356 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59E49913"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914" w14:textId="77777777" w:rsidR="00D7560A" w:rsidRDefault="00D7560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59E49915"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6,200 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59E49916" w14:textId="77777777" w:rsidR="00D7560A" w:rsidRDefault="00D7560A">
            <w:pPr>
              <w:widowControl/>
              <w:jc w:val="right"/>
              <w:rPr>
                <w:rFonts w:ascii="Times New Roman" w:eastAsia="宋体" w:hAnsi="宋体" w:cs="宋体"/>
                <w:kern w:val="0"/>
                <w:sz w:val="24"/>
              </w:rPr>
            </w:pPr>
          </w:p>
        </w:tc>
      </w:tr>
      <w:tr w:rsidR="00D7560A" w14:paraId="59E4991C"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59E49918"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i/>
                <w:iCs/>
                <w:color w:val="000000"/>
                <w:kern w:val="0"/>
                <w:sz w:val="20"/>
                <w:szCs w:val="20"/>
                <w:lang w:bidi="ar"/>
              </w:rPr>
              <w:t>DFS international debt:</w:t>
            </w: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59E49919"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991A"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59E4991B" w14:textId="77777777" w:rsidR="00D7560A" w:rsidRDefault="00D7560A">
            <w:pPr>
              <w:widowControl/>
              <w:jc w:val="left"/>
              <w:rPr>
                <w:rFonts w:ascii="Times New Roman" w:eastAsia="宋体" w:hAnsi="宋体" w:cs="宋体"/>
                <w:kern w:val="0"/>
                <w:sz w:val="24"/>
              </w:rPr>
            </w:pPr>
          </w:p>
        </w:tc>
      </w:tr>
      <w:tr w:rsidR="00D7560A" w14:paraId="59E49923" w14:textId="77777777">
        <w:tc>
          <w:tcPr>
            <w:tcW w:w="0" w:type="auto"/>
            <w:gridSpan w:val="3"/>
            <w:tcBorders>
              <w:top w:val="nil"/>
              <w:left w:val="nil"/>
              <w:bottom w:val="nil"/>
              <w:right w:val="nil"/>
            </w:tcBorders>
            <w:shd w:val="clear" w:color="auto" w:fill="CCEEFF"/>
            <w:tcMar>
              <w:top w:w="40" w:type="dxa"/>
              <w:left w:w="155" w:type="dxa"/>
              <w:bottom w:w="40" w:type="dxa"/>
              <w:right w:w="20" w:type="dxa"/>
            </w:tcMar>
            <w:vAlign w:val="bottom"/>
          </w:tcPr>
          <w:p w14:paraId="59E4991D"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Securitization facility</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991E"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694 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991F"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920"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9921"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739 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9922" w14:textId="77777777" w:rsidR="00D7560A" w:rsidRDefault="00D7560A">
            <w:pPr>
              <w:widowControl/>
              <w:jc w:val="right"/>
              <w:rPr>
                <w:rFonts w:ascii="Times New Roman" w:eastAsia="宋体" w:hAnsi="宋体" w:cs="宋体"/>
                <w:kern w:val="0"/>
                <w:sz w:val="24"/>
              </w:rPr>
            </w:pPr>
          </w:p>
        </w:tc>
      </w:tr>
      <w:tr w:rsidR="00D7560A" w14:paraId="59E4992A" w14:textId="77777777">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59E49924"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Other borrowings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9925"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810 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9926"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9927"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9928"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785 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9929" w14:textId="77777777" w:rsidR="00D7560A" w:rsidRDefault="00D7560A">
            <w:pPr>
              <w:widowControl/>
              <w:jc w:val="right"/>
              <w:rPr>
                <w:rFonts w:ascii="Times New Roman" w:eastAsia="宋体" w:hAnsi="宋体" w:cs="宋体"/>
                <w:kern w:val="0"/>
                <w:sz w:val="24"/>
              </w:rPr>
            </w:pPr>
          </w:p>
        </w:tc>
      </w:tr>
      <w:tr w:rsidR="00D7560A" w14:paraId="59E49931" w14:textId="77777777">
        <w:tc>
          <w:tcPr>
            <w:tcW w:w="0" w:type="auto"/>
            <w:gridSpan w:val="3"/>
            <w:tcBorders>
              <w:top w:val="nil"/>
              <w:left w:val="nil"/>
              <w:bottom w:val="nil"/>
              <w:right w:val="nil"/>
            </w:tcBorders>
            <w:shd w:val="clear" w:color="auto" w:fill="CCEEFF"/>
            <w:tcMar>
              <w:top w:w="40" w:type="dxa"/>
              <w:left w:w="155" w:type="dxa"/>
              <w:bottom w:w="40" w:type="dxa"/>
              <w:right w:w="20" w:type="dxa"/>
            </w:tcMar>
            <w:vAlign w:val="bottom"/>
          </w:tcPr>
          <w:p w14:paraId="59E4992B"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Note </w:t>
            </w:r>
            <w:r>
              <w:rPr>
                <w:rFonts w:ascii="Times New Roman" w:eastAsia="宋体" w:hAnsi="Times New Roman" w:cs="Times New Roman"/>
                <w:color w:val="000000"/>
                <w:kern w:val="0"/>
                <w:sz w:val="20"/>
                <w:szCs w:val="20"/>
                <w:lang w:bidi="ar"/>
              </w:rPr>
              <w:t>payable</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992C"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250 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992D"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92E"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992F"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250 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9930" w14:textId="77777777" w:rsidR="00D7560A" w:rsidRDefault="00D7560A">
            <w:pPr>
              <w:widowControl/>
              <w:jc w:val="right"/>
              <w:rPr>
                <w:rFonts w:ascii="Times New Roman" w:eastAsia="宋体" w:hAnsi="宋体" w:cs="宋体"/>
                <w:kern w:val="0"/>
                <w:sz w:val="24"/>
              </w:rPr>
            </w:pPr>
          </w:p>
        </w:tc>
      </w:tr>
      <w:tr w:rsidR="00D7560A" w14:paraId="59E49938" w14:textId="77777777">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59E49932"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Dell Bank senior unsecured eurobonds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9933"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1,530 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9934"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9935"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9936"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1,672 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9937" w14:textId="77777777" w:rsidR="00D7560A" w:rsidRDefault="00D7560A">
            <w:pPr>
              <w:widowControl/>
              <w:jc w:val="right"/>
              <w:rPr>
                <w:rFonts w:ascii="Times New Roman" w:eastAsia="宋体" w:hAnsi="宋体" w:cs="宋体"/>
                <w:kern w:val="0"/>
                <w:sz w:val="24"/>
              </w:rPr>
            </w:pPr>
          </w:p>
        </w:tc>
      </w:tr>
      <w:tr w:rsidR="00D7560A" w14:paraId="59E4993F" w14:textId="77777777">
        <w:tc>
          <w:tcPr>
            <w:tcW w:w="0" w:type="auto"/>
            <w:gridSpan w:val="3"/>
            <w:tcBorders>
              <w:top w:val="nil"/>
              <w:left w:val="nil"/>
              <w:bottom w:val="nil"/>
              <w:right w:val="nil"/>
            </w:tcBorders>
            <w:shd w:val="clear" w:color="auto" w:fill="CCEEFF"/>
            <w:tcMar>
              <w:top w:w="40" w:type="dxa"/>
              <w:left w:w="245" w:type="dxa"/>
              <w:bottom w:w="40" w:type="dxa"/>
              <w:right w:w="20" w:type="dxa"/>
            </w:tcMar>
            <w:vAlign w:val="bottom"/>
          </w:tcPr>
          <w:p w14:paraId="59E49939"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Total DFS international debt</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59E4993A"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3,284 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59E4993B"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93C" w14:textId="77777777" w:rsidR="00D7560A" w:rsidRDefault="00D7560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59E4993D"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3,446 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59E4993E" w14:textId="77777777" w:rsidR="00D7560A" w:rsidRDefault="00D7560A">
            <w:pPr>
              <w:widowControl/>
              <w:jc w:val="right"/>
              <w:rPr>
                <w:rFonts w:ascii="Times New Roman" w:eastAsia="宋体" w:hAnsi="宋体" w:cs="宋体"/>
                <w:kern w:val="0"/>
                <w:sz w:val="24"/>
              </w:rPr>
            </w:pPr>
          </w:p>
        </w:tc>
      </w:tr>
      <w:tr w:rsidR="00D7560A" w14:paraId="59E49948"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59E49940"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Total DFS debt</w:t>
            </w: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59E49941"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FFFFFF"/>
            <w:tcMar>
              <w:top w:w="40" w:type="dxa"/>
              <w:left w:w="0" w:type="dxa"/>
              <w:bottom w:w="40" w:type="dxa"/>
              <w:right w:w="0" w:type="dxa"/>
            </w:tcMar>
            <w:vAlign w:val="bottom"/>
          </w:tcPr>
          <w:p w14:paraId="59E49942"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9,640 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59E49943"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9944"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59E49945"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FFFFFF"/>
            <w:tcMar>
              <w:top w:w="40" w:type="dxa"/>
              <w:left w:w="0" w:type="dxa"/>
              <w:bottom w:w="40" w:type="dxa"/>
              <w:right w:w="0" w:type="dxa"/>
            </w:tcMar>
            <w:vAlign w:val="bottom"/>
          </w:tcPr>
          <w:p w14:paraId="59E49946"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9,646 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59E49947" w14:textId="77777777" w:rsidR="00D7560A" w:rsidRDefault="00D7560A">
            <w:pPr>
              <w:widowControl/>
              <w:jc w:val="right"/>
              <w:rPr>
                <w:rFonts w:ascii="Times New Roman" w:eastAsia="宋体" w:hAnsi="宋体" w:cs="宋体"/>
                <w:kern w:val="0"/>
                <w:sz w:val="24"/>
              </w:rPr>
            </w:pPr>
          </w:p>
        </w:tc>
      </w:tr>
      <w:tr w:rsidR="00D7560A" w14:paraId="59E49951" w14:textId="77777777">
        <w:tc>
          <w:tcPr>
            <w:tcW w:w="0" w:type="auto"/>
            <w:gridSpan w:val="3"/>
            <w:tcBorders>
              <w:top w:val="nil"/>
              <w:left w:val="nil"/>
              <w:bottom w:val="nil"/>
              <w:right w:val="nil"/>
            </w:tcBorders>
            <w:shd w:val="clear" w:color="auto" w:fill="CCEEFF"/>
            <w:tcMar>
              <w:top w:w="40" w:type="dxa"/>
              <w:left w:w="515" w:type="dxa"/>
              <w:bottom w:w="40" w:type="dxa"/>
              <w:right w:w="20" w:type="dxa"/>
            </w:tcMar>
            <w:vAlign w:val="bottom"/>
          </w:tcPr>
          <w:p w14:paraId="59E49949"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To</w:t>
            </w:r>
            <w:r>
              <w:rPr>
                <w:rFonts w:ascii="Times New Roman" w:eastAsia="宋体" w:hAnsi="Times New Roman" w:cs="Times New Roman"/>
                <w:color w:val="000000"/>
                <w:kern w:val="0"/>
                <w:sz w:val="20"/>
                <w:szCs w:val="20"/>
                <w:lang w:bidi="ar"/>
              </w:rPr>
              <w:t>tal short-term DFS debt</w:t>
            </w:r>
          </w:p>
        </w:tc>
        <w:tc>
          <w:tcPr>
            <w:tcW w:w="0" w:type="auto"/>
            <w:tcBorders>
              <w:top w:val="double" w:sz="2" w:space="0" w:color="000000"/>
              <w:left w:val="nil"/>
              <w:bottom w:val="nil"/>
              <w:right w:val="nil"/>
            </w:tcBorders>
            <w:shd w:val="clear" w:color="auto" w:fill="CCEEFF"/>
            <w:tcMar>
              <w:top w:w="40" w:type="dxa"/>
              <w:left w:w="20" w:type="dxa"/>
              <w:bottom w:w="40" w:type="dxa"/>
              <w:right w:w="0" w:type="dxa"/>
            </w:tcMar>
            <w:vAlign w:val="bottom"/>
          </w:tcPr>
          <w:p w14:paraId="59E4994A"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double" w:sz="2" w:space="0" w:color="000000"/>
              <w:left w:val="nil"/>
              <w:bottom w:val="nil"/>
              <w:right w:val="nil"/>
            </w:tcBorders>
            <w:shd w:val="clear" w:color="auto" w:fill="CCEEFF"/>
            <w:tcMar>
              <w:top w:w="40" w:type="dxa"/>
              <w:left w:w="0" w:type="dxa"/>
              <w:bottom w:w="40" w:type="dxa"/>
              <w:right w:w="0" w:type="dxa"/>
            </w:tcMar>
            <w:vAlign w:val="bottom"/>
          </w:tcPr>
          <w:p w14:paraId="59E4994B"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5,565 </w:t>
            </w:r>
          </w:p>
        </w:tc>
        <w:tc>
          <w:tcPr>
            <w:tcW w:w="0" w:type="auto"/>
            <w:tcBorders>
              <w:top w:val="double" w:sz="2" w:space="0" w:color="000000"/>
              <w:left w:val="nil"/>
              <w:bottom w:val="nil"/>
              <w:right w:val="nil"/>
            </w:tcBorders>
            <w:shd w:val="clear" w:color="auto" w:fill="CCEEFF"/>
            <w:tcMar>
              <w:top w:w="40" w:type="dxa"/>
              <w:left w:w="0" w:type="dxa"/>
              <w:bottom w:w="40" w:type="dxa"/>
              <w:right w:w="20" w:type="dxa"/>
            </w:tcMar>
            <w:vAlign w:val="bottom"/>
          </w:tcPr>
          <w:p w14:paraId="59E4994C"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94D" w14:textId="77777777" w:rsidR="00D7560A" w:rsidRDefault="00D7560A">
            <w:pPr>
              <w:widowControl/>
              <w:jc w:val="left"/>
              <w:rPr>
                <w:rFonts w:ascii="Times New Roman" w:eastAsia="宋体" w:hAnsi="宋体" w:cs="宋体"/>
                <w:kern w:val="0"/>
                <w:sz w:val="24"/>
              </w:rPr>
            </w:pPr>
          </w:p>
        </w:tc>
        <w:tc>
          <w:tcPr>
            <w:tcW w:w="0" w:type="auto"/>
            <w:tcBorders>
              <w:top w:val="double" w:sz="2" w:space="0" w:color="000000"/>
              <w:left w:val="nil"/>
              <w:bottom w:val="nil"/>
              <w:right w:val="nil"/>
            </w:tcBorders>
            <w:shd w:val="clear" w:color="auto" w:fill="CCEEFF"/>
            <w:tcMar>
              <w:top w:w="40" w:type="dxa"/>
              <w:left w:w="20" w:type="dxa"/>
              <w:bottom w:w="40" w:type="dxa"/>
              <w:right w:w="0" w:type="dxa"/>
            </w:tcMar>
            <w:vAlign w:val="bottom"/>
          </w:tcPr>
          <w:p w14:paraId="59E4994E"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double" w:sz="2" w:space="0" w:color="000000"/>
              <w:left w:val="nil"/>
              <w:bottom w:val="nil"/>
              <w:right w:val="nil"/>
            </w:tcBorders>
            <w:shd w:val="clear" w:color="auto" w:fill="CCEEFF"/>
            <w:tcMar>
              <w:top w:w="40" w:type="dxa"/>
              <w:left w:w="0" w:type="dxa"/>
              <w:bottom w:w="40" w:type="dxa"/>
              <w:right w:w="0" w:type="dxa"/>
            </w:tcMar>
            <w:vAlign w:val="bottom"/>
          </w:tcPr>
          <w:p w14:paraId="59E4994F"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5,803 </w:t>
            </w:r>
          </w:p>
        </w:tc>
        <w:tc>
          <w:tcPr>
            <w:tcW w:w="0" w:type="auto"/>
            <w:tcBorders>
              <w:top w:val="double" w:sz="2" w:space="0" w:color="000000"/>
              <w:left w:val="nil"/>
              <w:bottom w:val="nil"/>
              <w:right w:val="nil"/>
            </w:tcBorders>
            <w:shd w:val="clear" w:color="auto" w:fill="CCEEFF"/>
            <w:tcMar>
              <w:top w:w="40" w:type="dxa"/>
              <w:left w:w="0" w:type="dxa"/>
              <w:bottom w:w="40" w:type="dxa"/>
              <w:right w:w="20" w:type="dxa"/>
            </w:tcMar>
            <w:vAlign w:val="bottom"/>
          </w:tcPr>
          <w:p w14:paraId="59E49950" w14:textId="77777777" w:rsidR="00D7560A" w:rsidRDefault="00D7560A">
            <w:pPr>
              <w:widowControl/>
              <w:jc w:val="right"/>
              <w:rPr>
                <w:rFonts w:ascii="Times New Roman" w:eastAsia="宋体" w:hAnsi="宋体" w:cs="宋体"/>
                <w:kern w:val="0"/>
                <w:sz w:val="24"/>
              </w:rPr>
            </w:pPr>
          </w:p>
        </w:tc>
      </w:tr>
      <w:tr w:rsidR="00D7560A" w14:paraId="59E4995A" w14:textId="77777777">
        <w:tc>
          <w:tcPr>
            <w:tcW w:w="0" w:type="auto"/>
            <w:gridSpan w:val="3"/>
            <w:tcBorders>
              <w:top w:val="nil"/>
              <w:left w:val="nil"/>
              <w:bottom w:val="nil"/>
              <w:right w:val="nil"/>
            </w:tcBorders>
            <w:shd w:val="clear" w:color="auto" w:fill="FFFFFF"/>
            <w:tcMar>
              <w:top w:w="40" w:type="dxa"/>
              <w:left w:w="515" w:type="dxa"/>
              <w:bottom w:w="40" w:type="dxa"/>
              <w:right w:w="20" w:type="dxa"/>
            </w:tcMar>
            <w:vAlign w:val="bottom"/>
          </w:tcPr>
          <w:p w14:paraId="59E49952"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To</w:t>
            </w:r>
            <w:r>
              <w:rPr>
                <w:rFonts w:ascii="Times New Roman" w:eastAsia="宋体" w:hAnsi="Times New Roman" w:cs="Times New Roman"/>
                <w:color w:val="000000"/>
                <w:kern w:val="0"/>
                <w:sz w:val="20"/>
                <w:szCs w:val="20"/>
                <w:lang w:bidi="ar"/>
              </w:rPr>
              <w:t>tal long-term DFS debt</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9E49953"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9E49954"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4,075 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9955"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9956"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9E49957"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9E49958"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3,843 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9959" w14:textId="77777777" w:rsidR="00D7560A" w:rsidRDefault="00D7560A">
            <w:pPr>
              <w:widowControl/>
              <w:jc w:val="right"/>
              <w:rPr>
                <w:rFonts w:ascii="Times New Roman" w:eastAsia="宋体" w:hAnsi="宋体" w:cs="宋体"/>
                <w:kern w:val="0"/>
                <w:sz w:val="24"/>
              </w:rPr>
            </w:pPr>
          </w:p>
        </w:tc>
      </w:tr>
    </w:tbl>
    <w:p w14:paraId="59E4995B"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995C"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i/>
          <w:iCs/>
          <w:color w:val="000000"/>
          <w:kern w:val="0"/>
          <w:sz w:val="20"/>
          <w:szCs w:val="20"/>
          <w:u w:val="single"/>
          <w:lang w:bidi="ar"/>
        </w:rPr>
        <w:t>DFS U.S. Debt</w:t>
      </w:r>
    </w:p>
    <w:p w14:paraId="59E4995D"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995E"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i/>
          <w:iCs/>
          <w:color w:val="000000"/>
          <w:kern w:val="0"/>
          <w:sz w:val="20"/>
          <w:szCs w:val="20"/>
          <w:lang w:bidi="ar"/>
        </w:rPr>
        <w:t xml:space="preserve">Asset-Based Financing and Securitization Facilities </w:t>
      </w:r>
      <w:r>
        <w:rPr>
          <w:rFonts w:ascii="Times New Roman" w:eastAsia="宋体" w:hAnsi="Times New Roman" w:cs="Times New Roman"/>
          <w:b/>
          <w:bCs/>
          <w:color w:val="000000"/>
          <w:kern w:val="0"/>
          <w:sz w:val="20"/>
          <w:szCs w:val="20"/>
          <w:lang w:bidi="ar"/>
        </w:rPr>
        <w:t>—</w:t>
      </w:r>
      <w:r>
        <w:rPr>
          <w:rFonts w:ascii="Times New Roman" w:eastAsia="宋体" w:hAnsi="Times New Roman" w:cs="Times New Roman"/>
          <w:i/>
          <w:iCs/>
          <w:color w:val="000000"/>
          <w:kern w:val="0"/>
          <w:sz w:val="20"/>
          <w:szCs w:val="20"/>
          <w:lang w:bidi="ar"/>
        </w:rPr>
        <w:t xml:space="preserve"> </w:t>
      </w:r>
      <w:r>
        <w:rPr>
          <w:rFonts w:ascii="Times New Roman" w:eastAsia="宋体" w:hAnsi="Times New Roman" w:cs="Times New Roman"/>
          <w:color w:val="000000"/>
          <w:kern w:val="0"/>
          <w:sz w:val="20"/>
          <w:szCs w:val="20"/>
          <w:lang w:bidi="ar"/>
        </w:rPr>
        <w:t xml:space="preserve">The Company maintains separate asset-based financing facilities and a securitization facility in the United States, which are </w:t>
      </w:r>
      <w:r>
        <w:rPr>
          <w:rFonts w:ascii="Times New Roman" w:eastAsia="宋体" w:hAnsi="Times New Roman" w:cs="Times New Roman"/>
          <w:color w:val="000000"/>
          <w:kern w:val="0"/>
          <w:sz w:val="20"/>
          <w:szCs w:val="20"/>
          <w:lang w:bidi="ar"/>
        </w:rPr>
        <w:t>revolving facilities for fixed-term leases and loans and for revolving loans, respectively. This debt is collateralized solely by the U.S. loan and lease payments and associated equipment in the facilities. The debt has a variable interest rate and the dur</w:t>
      </w:r>
      <w:r>
        <w:rPr>
          <w:rFonts w:ascii="Times New Roman" w:eastAsia="宋体" w:hAnsi="Times New Roman" w:cs="Times New Roman"/>
          <w:color w:val="000000"/>
          <w:kern w:val="0"/>
          <w:sz w:val="20"/>
          <w:szCs w:val="20"/>
          <w:lang w:bidi="ar"/>
        </w:rPr>
        <w:t>ation of the debt is based on the terms of the underlying loan and lease payment streams. As of July 29, 2022, the total debt capacity related to the U.S. asset-based financing and securitization facilities was $5.0 billion. The Company enters into interes</w:t>
      </w:r>
      <w:r>
        <w:rPr>
          <w:rFonts w:ascii="Times New Roman" w:eastAsia="宋体" w:hAnsi="Times New Roman" w:cs="Times New Roman"/>
          <w:color w:val="000000"/>
          <w:kern w:val="0"/>
          <w:sz w:val="20"/>
          <w:szCs w:val="20"/>
          <w:lang w:bidi="ar"/>
        </w:rPr>
        <w:t>t swap agreements to effectively convert a portion of this debt from a floating rate to a fixed rate. See Note 8 of the Notes to the Condensed Consolidated Financial Statements for additional information about interest rate swaps.</w:t>
      </w:r>
    </w:p>
    <w:p w14:paraId="59E4995F"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9960"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9961"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25</w:t>
      </w:r>
    </w:p>
    <w:p w14:paraId="59E49962"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9963" w14:textId="77777777" w:rsidR="00D7560A" w:rsidRDefault="001E3CAB">
      <w:pPr>
        <w:widowControl/>
        <w:jc w:val="center"/>
      </w:pPr>
      <w:r>
        <w:rPr>
          <w:rFonts w:ascii="宋体" w:eastAsia="宋体" w:hAnsi="宋体" w:cs="宋体"/>
          <w:kern w:val="0"/>
          <w:sz w:val="24"/>
        </w:rPr>
        <w:pict w14:anchorId="59E4C7E4">
          <v:rect id="_x0000_i1049" style="width:6in;height:1.5pt" o:hralign="center" o:hrstd="t" o:hr="t" fillcolor="#a0a0a0" stroked="f"/>
        </w:pict>
      </w:r>
    </w:p>
    <w:p w14:paraId="59E49964" w14:textId="77777777" w:rsidR="00D7560A" w:rsidRDefault="001E3CAB">
      <w:pPr>
        <w:widowControl/>
        <w:jc w:val="left"/>
        <w:rPr>
          <w:rFonts w:ascii="宋体" w:eastAsia="宋体" w:hAnsi="宋体" w:cs="宋体"/>
          <w:kern w:val="0"/>
          <w:sz w:val="24"/>
        </w:rPr>
      </w:pPr>
      <w:hyperlink w:anchor="if933dd1d5d004d2495dd7029e3ecad00_13" w:history="1">
        <w:r>
          <w:rPr>
            <w:rStyle w:val="a4"/>
            <w:rFonts w:ascii="Times New Roman" w:eastAsia="宋体" w:hAnsi="Times New Roman" w:cs="Times New Roman"/>
            <w:sz w:val="20"/>
            <w:szCs w:val="20"/>
          </w:rPr>
          <w:t>Table of Contents</w:t>
        </w:r>
      </w:hyperlink>
    </w:p>
    <w:p w14:paraId="59E49965"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DELL TECHNOLOGIES INC.</w:t>
      </w:r>
    </w:p>
    <w:p w14:paraId="59E49966"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NOTES TO THE CONDENSED CONSOLIDATED FINANCIAL STATEMENTS (Continued)</w:t>
      </w:r>
    </w:p>
    <w:p w14:paraId="59E49967"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(unaudited)</w:t>
      </w:r>
    </w:p>
    <w:p w14:paraId="59E49968"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9969"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The Company’s U.S. securitization facility for revolving loans is effecti</w:t>
      </w:r>
      <w:r>
        <w:rPr>
          <w:rFonts w:ascii="Times New Roman" w:eastAsia="宋体" w:hAnsi="Times New Roman" w:cs="Times New Roman"/>
          <w:color w:val="000000"/>
          <w:kern w:val="0"/>
          <w:sz w:val="20"/>
          <w:szCs w:val="20"/>
          <w:lang w:bidi="ar"/>
        </w:rPr>
        <w:t>ve through June 25, 2025. The Company’s two U.S. asset-based financing facilities for fixed-term leases and loans are effective through July 10, 2023 and June 21, 2024, respectively.</w:t>
      </w:r>
    </w:p>
    <w:p w14:paraId="59E4996A"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996B"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The asset-based financing and securitization facilities contain standar</w:t>
      </w:r>
      <w:r>
        <w:rPr>
          <w:rFonts w:ascii="Times New Roman" w:eastAsia="宋体" w:hAnsi="Times New Roman" w:cs="Times New Roman"/>
          <w:color w:val="000000"/>
          <w:kern w:val="0"/>
          <w:sz w:val="20"/>
          <w:szCs w:val="20"/>
          <w:lang w:bidi="ar"/>
        </w:rPr>
        <w:t>d structural features related to the performance of the funded receivables, which include defined credit losses, delinquencies, average credit scores, and minimum collection requirements. In the event one or more of these criteria are not met and the Compa</w:t>
      </w:r>
      <w:r>
        <w:rPr>
          <w:rFonts w:ascii="Times New Roman" w:eastAsia="宋体" w:hAnsi="Times New Roman" w:cs="Times New Roman"/>
          <w:color w:val="000000"/>
          <w:kern w:val="0"/>
          <w:sz w:val="20"/>
          <w:szCs w:val="20"/>
          <w:lang w:bidi="ar"/>
        </w:rPr>
        <w:t>ny is unable to restructure the facility, no further funding of receivables will be permitted and the timing of the Company’s expected cash flows from over-collateralization will be delayed. As of July 29, 2022, these criteria were met.</w:t>
      </w:r>
    </w:p>
    <w:p w14:paraId="59E4996C"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996D"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i/>
          <w:iCs/>
          <w:color w:val="000000"/>
          <w:kern w:val="0"/>
          <w:sz w:val="20"/>
          <w:szCs w:val="20"/>
          <w:lang w:bidi="ar"/>
        </w:rPr>
        <w:t>Fixed-Term Securi</w:t>
      </w:r>
      <w:r>
        <w:rPr>
          <w:rFonts w:ascii="Times New Roman" w:eastAsia="宋体" w:hAnsi="Times New Roman" w:cs="Times New Roman"/>
          <w:i/>
          <w:iCs/>
          <w:color w:val="000000"/>
          <w:kern w:val="0"/>
          <w:sz w:val="20"/>
          <w:szCs w:val="20"/>
          <w:lang w:bidi="ar"/>
        </w:rPr>
        <w:t xml:space="preserve">tization Offerings </w:t>
      </w:r>
      <w:r>
        <w:rPr>
          <w:rFonts w:ascii="Times New Roman" w:eastAsia="宋体" w:hAnsi="Times New Roman" w:cs="Times New Roman"/>
          <w:b/>
          <w:bCs/>
          <w:color w:val="000000"/>
          <w:kern w:val="0"/>
          <w:sz w:val="20"/>
          <w:szCs w:val="20"/>
          <w:lang w:bidi="ar"/>
        </w:rPr>
        <w:t>—</w:t>
      </w:r>
      <w:r>
        <w:rPr>
          <w:rFonts w:ascii="Times New Roman" w:eastAsia="宋体" w:hAnsi="Times New Roman" w:cs="Times New Roman"/>
          <w:i/>
          <w:iCs/>
          <w:color w:val="000000"/>
          <w:kern w:val="0"/>
          <w:sz w:val="20"/>
          <w:szCs w:val="20"/>
          <w:lang w:bidi="ar"/>
        </w:rPr>
        <w:t xml:space="preserve"> </w:t>
      </w:r>
      <w:r>
        <w:rPr>
          <w:rFonts w:ascii="Times New Roman" w:eastAsia="宋体" w:hAnsi="Times New Roman" w:cs="Times New Roman"/>
          <w:color w:val="000000"/>
          <w:kern w:val="0"/>
          <w:sz w:val="20"/>
          <w:szCs w:val="20"/>
          <w:lang w:bidi="ar"/>
        </w:rPr>
        <w:t xml:space="preserve">The Company periodically issues asset-backed debt securities under fixed-term securitization programs to private investors. The asset-backed debt securities are collateralized solely by the U.S. fixed-term leases and loans in the </w:t>
      </w:r>
      <w:r>
        <w:rPr>
          <w:rFonts w:ascii="Times New Roman" w:eastAsia="宋体" w:hAnsi="Times New Roman" w:cs="Times New Roman"/>
          <w:color w:val="000000"/>
          <w:kern w:val="0"/>
          <w:sz w:val="20"/>
          <w:szCs w:val="20"/>
          <w:lang w:bidi="ar"/>
        </w:rPr>
        <w:t xml:space="preserve">offerings, which are held by Special Purpose Entities (“SPEs”), as discussed below. The interest rate on these securities is fixed and ranges from 0.33% to 5.92% per annum, and the duration of these securities is based on the terms of the underlying lease </w:t>
      </w:r>
      <w:r>
        <w:rPr>
          <w:rFonts w:ascii="Times New Roman" w:eastAsia="宋体" w:hAnsi="Times New Roman" w:cs="Times New Roman"/>
          <w:color w:val="000000"/>
          <w:kern w:val="0"/>
          <w:sz w:val="20"/>
          <w:szCs w:val="20"/>
          <w:lang w:bidi="ar"/>
        </w:rPr>
        <w:t>and loan payment streams.</w:t>
      </w:r>
    </w:p>
    <w:p w14:paraId="59E4996E"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996F"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i/>
          <w:iCs/>
          <w:color w:val="000000"/>
          <w:kern w:val="0"/>
          <w:sz w:val="20"/>
          <w:szCs w:val="20"/>
          <w:u w:val="single"/>
          <w:lang w:bidi="ar"/>
        </w:rPr>
        <w:t>DFS International Debt</w:t>
      </w:r>
    </w:p>
    <w:p w14:paraId="59E49970"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9971"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i/>
          <w:iCs/>
          <w:color w:val="000000"/>
          <w:kern w:val="0"/>
          <w:sz w:val="20"/>
          <w:szCs w:val="20"/>
          <w:lang w:bidi="ar"/>
        </w:rPr>
        <w:t xml:space="preserve">Securitization Facility </w:t>
      </w:r>
      <w:r>
        <w:rPr>
          <w:rFonts w:ascii="Times New Roman" w:eastAsia="宋体" w:hAnsi="Times New Roman" w:cs="Times New Roman"/>
          <w:b/>
          <w:bCs/>
          <w:color w:val="000000"/>
          <w:kern w:val="0"/>
          <w:sz w:val="20"/>
          <w:szCs w:val="20"/>
          <w:lang w:bidi="ar"/>
        </w:rPr>
        <w:t>—</w:t>
      </w:r>
      <w:r>
        <w:rPr>
          <w:rFonts w:ascii="Times New Roman" w:eastAsia="宋体" w:hAnsi="Times New Roman" w:cs="Times New Roman"/>
          <w:i/>
          <w:iCs/>
          <w:color w:val="000000"/>
          <w:kern w:val="0"/>
          <w:sz w:val="20"/>
          <w:szCs w:val="20"/>
          <w:lang w:bidi="ar"/>
        </w:rPr>
        <w:t xml:space="preserve"> </w:t>
      </w:r>
      <w:r>
        <w:rPr>
          <w:rFonts w:ascii="Times New Roman" w:eastAsia="宋体" w:hAnsi="Times New Roman" w:cs="Times New Roman"/>
          <w:color w:val="000000"/>
          <w:kern w:val="0"/>
          <w:sz w:val="20"/>
          <w:szCs w:val="20"/>
          <w:lang w:bidi="ar"/>
        </w:rPr>
        <w:t xml:space="preserve">The Company maintains a securitization facility in Europe for fixed-term leases and loans. This facility is effective through December 21, 2022 and had a total debt capacity of </w:t>
      </w:r>
      <w:r>
        <w:rPr>
          <w:rFonts w:ascii="Times New Roman" w:eastAsia="宋体" w:hAnsi="Times New Roman" w:cs="Times New Roman"/>
          <w:color w:val="000000"/>
          <w:kern w:val="0"/>
          <w:sz w:val="20"/>
          <w:szCs w:val="20"/>
          <w:lang w:bidi="ar"/>
        </w:rPr>
        <w:t>$816 million as of July 29, 2022.</w:t>
      </w:r>
    </w:p>
    <w:p w14:paraId="59E49972"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9973"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The securitization facility contains standard structural features related to the performance of the securitized receivables, which include defined credit losses, delinquencies, average credit scores, and minimum collecti</w:t>
      </w:r>
      <w:r>
        <w:rPr>
          <w:rFonts w:ascii="Times New Roman" w:eastAsia="宋体" w:hAnsi="Times New Roman" w:cs="Times New Roman"/>
          <w:color w:val="000000"/>
          <w:kern w:val="0"/>
          <w:sz w:val="20"/>
          <w:szCs w:val="20"/>
          <w:lang w:bidi="ar"/>
        </w:rPr>
        <w:t>on requirements. In the event one or more of these criteria are not met and the Company is unable to restructure the program, no further funding of receivables will be permitted and the timing of the Company’s expected cash flows from over-collateralizatio</w:t>
      </w:r>
      <w:r>
        <w:rPr>
          <w:rFonts w:ascii="Times New Roman" w:eastAsia="宋体" w:hAnsi="Times New Roman" w:cs="Times New Roman"/>
          <w:color w:val="000000"/>
          <w:kern w:val="0"/>
          <w:sz w:val="20"/>
          <w:szCs w:val="20"/>
          <w:lang w:bidi="ar"/>
        </w:rPr>
        <w:t>n will be delayed. As of July 29, 2022, these criteria were met.</w:t>
      </w:r>
    </w:p>
    <w:p w14:paraId="59E49974"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9975"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i/>
          <w:iCs/>
          <w:color w:val="000000"/>
          <w:kern w:val="0"/>
          <w:sz w:val="20"/>
          <w:szCs w:val="20"/>
          <w:lang w:bidi="ar"/>
        </w:rPr>
        <w:t xml:space="preserve">Other Borrowings </w:t>
      </w:r>
      <w:r>
        <w:rPr>
          <w:rFonts w:ascii="Times New Roman" w:eastAsia="宋体" w:hAnsi="Times New Roman" w:cs="Times New Roman"/>
          <w:b/>
          <w:bCs/>
          <w:color w:val="000000"/>
          <w:kern w:val="0"/>
          <w:sz w:val="20"/>
          <w:szCs w:val="20"/>
          <w:lang w:bidi="ar"/>
        </w:rPr>
        <w:t>—</w:t>
      </w:r>
      <w:r>
        <w:rPr>
          <w:rFonts w:ascii="Times New Roman" w:eastAsia="宋体" w:hAnsi="Times New Roman" w:cs="Times New Roman"/>
          <w:i/>
          <w:iCs/>
          <w:color w:val="000000"/>
          <w:kern w:val="0"/>
          <w:sz w:val="20"/>
          <w:szCs w:val="20"/>
          <w:lang w:bidi="ar"/>
        </w:rPr>
        <w:t xml:space="preserve"> </w:t>
      </w:r>
      <w:r>
        <w:rPr>
          <w:rFonts w:ascii="Times New Roman" w:eastAsia="宋体" w:hAnsi="Times New Roman" w:cs="Times New Roman"/>
          <w:color w:val="000000"/>
          <w:kern w:val="0"/>
          <w:sz w:val="20"/>
          <w:szCs w:val="20"/>
          <w:lang w:bidi="ar"/>
        </w:rPr>
        <w:t>In connection with the Company’s international financing operations, the Company has entered into revolving structured financing debt programs related to its fixed-term l</w:t>
      </w:r>
      <w:r>
        <w:rPr>
          <w:rFonts w:ascii="Times New Roman" w:eastAsia="宋体" w:hAnsi="Times New Roman" w:cs="Times New Roman"/>
          <w:color w:val="000000"/>
          <w:kern w:val="0"/>
          <w:sz w:val="20"/>
          <w:szCs w:val="20"/>
          <w:lang w:bidi="ar"/>
        </w:rPr>
        <w:t>ease and loan products sold in Canada, Europe, Australia, and New Zealand. The Canadian facility, which is collateralized solely by Canadian loan and lease payments and associated equipment, had a total debt capacity of $351 million</w:t>
      </w:r>
      <w:r>
        <w:rPr>
          <w:rFonts w:ascii="Times New Roman" w:eastAsia="宋体" w:hAnsi="Times New Roman" w:cs="Times New Roman"/>
          <w:color w:val="000000"/>
          <w:kern w:val="0"/>
          <w:sz w:val="20"/>
          <w:szCs w:val="20"/>
          <w:shd w:val="clear" w:color="auto" w:fill="FFFFFF"/>
          <w:lang w:bidi="ar"/>
        </w:rPr>
        <w:t xml:space="preserve"> </w:t>
      </w:r>
      <w:r>
        <w:rPr>
          <w:rFonts w:ascii="Times New Roman" w:eastAsia="宋体" w:hAnsi="Times New Roman" w:cs="Times New Roman"/>
          <w:color w:val="000000"/>
          <w:kern w:val="0"/>
          <w:sz w:val="20"/>
          <w:szCs w:val="20"/>
          <w:lang w:bidi="ar"/>
        </w:rPr>
        <w:t xml:space="preserve">as of July 29, 2022 </w:t>
      </w:r>
      <w:r>
        <w:rPr>
          <w:rFonts w:ascii="Times New Roman" w:eastAsia="宋体" w:hAnsi="Times New Roman" w:cs="Times New Roman"/>
          <w:color w:val="000000"/>
          <w:kern w:val="0"/>
          <w:sz w:val="20"/>
          <w:szCs w:val="20"/>
          <w:lang w:bidi="ar"/>
        </w:rPr>
        <w:t>and is effective through January 16, 2025. The European facility, which is collateralized solely by European loan and lease payments and associated equipment, had a total debt capacity of</w:t>
      </w:r>
      <w:r>
        <w:rPr>
          <w:rFonts w:ascii="Times New Roman" w:eastAsia="宋体" w:hAnsi="Times New Roman" w:cs="Times New Roman"/>
          <w:color w:val="000000"/>
          <w:kern w:val="0"/>
          <w:sz w:val="20"/>
          <w:szCs w:val="20"/>
          <w:shd w:val="clear" w:color="auto" w:fill="FFFFFF"/>
          <w:lang w:bidi="ar"/>
        </w:rPr>
        <w:t xml:space="preserve"> </w:t>
      </w:r>
      <w:r>
        <w:rPr>
          <w:rFonts w:ascii="Times New Roman" w:eastAsia="宋体" w:hAnsi="Times New Roman" w:cs="Times New Roman"/>
          <w:color w:val="000000"/>
          <w:kern w:val="0"/>
          <w:sz w:val="20"/>
          <w:szCs w:val="20"/>
          <w:lang w:bidi="ar"/>
        </w:rPr>
        <w:t>$612 million as of July 29, 2022 and is effective through December 1</w:t>
      </w:r>
      <w:r>
        <w:rPr>
          <w:rFonts w:ascii="Times New Roman" w:eastAsia="宋体" w:hAnsi="Times New Roman" w:cs="Times New Roman"/>
          <w:color w:val="000000"/>
          <w:kern w:val="0"/>
          <w:sz w:val="20"/>
          <w:szCs w:val="20"/>
          <w:lang w:bidi="ar"/>
        </w:rPr>
        <w:t xml:space="preserve">4, 2023. The Australia and New Zealand facility, which is collateralized solely by Australia and New Zealand loan and lease payments and associated equipment, had a total debt capacity of $315 million as of July 29, 2022 and is effective through April 20, </w:t>
      </w:r>
      <w:r>
        <w:rPr>
          <w:rFonts w:ascii="Times New Roman" w:eastAsia="宋体" w:hAnsi="Times New Roman" w:cs="Times New Roman"/>
          <w:color w:val="000000"/>
          <w:kern w:val="0"/>
          <w:sz w:val="20"/>
          <w:szCs w:val="20"/>
          <w:lang w:bidi="ar"/>
        </w:rPr>
        <w:t>2023.</w:t>
      </w:r>
    </w:p>
    <w:p w14:paraId="59E49976"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9977"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i/>
          <w:iCs/>
          <w:color w:val="000000"/>
          <w:kern w:val="0"/>
          <w:sz w:val="20"/>
          <w:szCs w:val="20"/>
          <w:lang w:bidi="ar"/>
        </w:rPr>
        <w:t xml:space="preserve">Note Payable </w:t>
      </w:r>
      <w:r>
        <w:rPr>
          <w:rFonts w:ascii="Times New Roman" w:eastAsia="宋体" w:hAnsi="Times New Roman" w:cs="Times New Roman"/>
          <w:b/>
          <w:bCs/>
          <w:color w:val="000000"/>
          <w:kern w:val="0"/>
          <w:sz w:val="20"/>
          <w:szCs w:val="20"/>
          <w:lang w:bidi="ar"/>
        </w:rPr>
        <w:t xml:space="preserve">— </w:t>
      </w:r>
      <w:r>
        <w:rPr>
          <w:rFonts w:ascii="Times New Roman" w:eastAsia="宋体" w:hAnsi="Times New Roman" w:cs="Times New Roman"/>
          <w:color w:val="000000"/>
          <w:kern w:val="0"/>
          <w:sz w:val="20"/>
          <w:szCs w:val="20"/>
          <w:lang w:bidi="ar"/>
        </w:rPr>
        <w:t>On May 25, 2022, the Company entered into an unsecured credit agreement to fund receivables in Mexico. As of July 29, 2022, the aggregate principal amount of the note payable was $250 million. The note bears interest at an annual rat</w:t>
      </w:r>
      <w:r>
        <w:rPr>
          <w:rFonts w:ascii="Times New Roman" w:eastAsia="宋体" w:hAnsi="Times New Roman" w:cs="Times New Roman"/>
          <w:color w:val="000000"/>
          <w:kern w:val="0"/>
          <w:sz w:val="20"/>
          <w:szCs w:val="20"/>
          <w:lang w:bidi="ar"/>
        </w:rPr>
        <w:t>e of 4.24% and will mature on May 31, 2024.</w:t>
      </w:r>
    </w:p>
    <w:p w14:paraId="59E49978"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9979"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i/>
          <w:iCs/>
          <w:color w:val="000000"/>
          <w:kern w:val="0"/>
          <w:sz w:val="20"/>
          <w:szCs w:val="20"/>
          <w:lang w:bidi="ar"/>
        </w:rPr>
        <w:t xml:space="preserve">Dell Bank Senior Unsecured Eurobonds </w:t>
      </w:r>
      <w:r>
        <w:rPr>
          <w:rFonts w:ascii="Times New Roman" w:eastAsia="宋体" w:hAnsi="Times New Roman" w:cs="Times New Roman"/>
          <w:b/>
          <w:bCs/>
          <w:color w:val="000000"/>
          <w:kern w:val="0"/>
          <w:sz w:val="20"/>
          <w:szCs w:val="20"/>
          <w:lang w:bidi="ar"/>
        </w:rPr>
        <w:t>—</w:t>
      </w:r>
      <w:r>
        <w:rPr>
          <w:rFonts w:ascii="Times New Roman" w:eastAsia="宋体" w:hAnsi="Times New Roman" w:cs="Times New Roman"/>
          <w:color w:val="000000"/>
          <w:kern w:val="0"/>
          <w:sz w:val="20"/>
          <w:szCs w:val="20"/>
          <w:lang w:bidi="ar"/>
        </w:rPr>
        <w:t xml:space="preserve"> On October 17, 2019, Dell Bank International D.A.C. (“Dell Bank”) issued 500 million Euro of 0.625% senior unsecured three year eurobonds due October 2022. On June 24, 202</w:t>
      </w:r>
      <w:r>
        <w:rPr>
          <w:rFonts w:ascii="Times New Roman" w:eastAsia="宋体" w:hAnsi="Times New Roman" w:cs="Times New Roman"/>
          <w:color w:val="000000"/>
          <w:kern w:val="0"/>
          <w:sz w:val="20"/>
          <w:szCs w:val="20"/>
          <w:lang w:bidi="ar"/>
        </w:rPr>
        <w:t>0, Dell Bank issued 500 million Euro of 1.625% senior unsecured four year eurobonds due June 2024. On October 27, 2021, Dell Bank issued 500 million Euro of 0.5% senior unsecured five year eurobonds due October 2026. The issuances of the senior unsecured e</w:t>
      </w:r>
      <w:r>
        <w:rPr>
          <w:rFonts w:ascii="Times New Roman" w:eastAsia="宋体" w:hAnsi="Times New Roman" w:cs="Times New Roman"/>
          <w:color w:val="000000"/>
          <w:kern w:val="0"/>
          <w:sz w:val="20"/>
          <w:szCs w:val="20"/>
          <w:lang w:bidi="ar"/>
        </w:rPr>
        <w:t>urobonds support the expansion of the financing operations in Europe.</w:t>
      </w:r>
    </w:p>
    <w:p w14:paraId="59E4997A"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997B"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997C"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997D"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26</w:t>
      </w:r>
    </w:p>
    <w:p w14:paraId="59E4997E"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997F" w14:textId="77777777" w:rsidR="00D7560A" w:rsidRDefault="001E3CAB">
      <w:pPr>
        <w:widowControl/>
        <w:jc w:val="center"/>
      </w:pPr>
      <w:r>
        <w:rPr>
          <w:rFonts w:ascii="宋体" w:eastAsia="宋体" w:hAnsi="宋体" w:cs="宋体"/>
          <w:kern w:val="0"/>
          <w:sz w:val="24"/>
        </w:rPr>
        <w:pict w14:anchorId="59E4C7E5">
          <v:rect id="_x0000_i1050" style="width:6in;height:1.5pt" o:hralign="center" o:hrstd="t" o:hr="t" fillcolor="#a0a0a0" stroked="f"/>
        </w:pict>
      </w:r>
    </w:p>
    <w:p w14:paraId="59E49980" w14:textId="77777777" w:rsidR="00D7560A" w:rsidRDefault="001E3CAB">
      <w:pPr>
        <w:widowControl/>
        <w:jc w:val="left"/>
        <w:rPr>
          <w:rFonts w:ascii="宋体" w:eastAsia="宋体" w:hAnsi="宋体" w:cs="宋体"/>
          <w:kern w:val="0"/>
          <w:sz w:val="24"/>
        </w:rPr>
      </w:pPr>
      <w:hyperlink w:anchor="if933dd1d5d004d2495dd7029e3ecad00_13" w:history="1">
        <w:r>
          <w:rPr>
            <w:rStyle w:val="a4"/>
            <w:rFonts w:ascii="Times New Roman" w:eastAsia="宋体" w:hAnsi="Times New Roman" w:cs="Times New Roman"/>
            <w:sz w:val="20"/>
            <w:szCs w:val="20"/>
          </w:rPr>
          <w:t>Table of Contents</w:t>
        </w:r>
      </w:hyperlink>
    </w:p>
    <w:p w14:paraId="59E49981"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DELL TECHNOLOGIES INC.</w:t>
      </w:r>
    </w:p>
    <w:p w14:paraId="59E49982"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 xml:space="preserve">NOTES TO THE CONDENSED CONSOLIDATED FINANCIAL STATEMENTS </w:t>
      </w:r>
      <w:r>
        <w:rPr>
          <w:rFonts w:ascii="Times New Roman" w:eastAsia="宋体" w:hAnsi="Times New Roman" w:cs="Times New Roman"/>
          <w:b/>
          <w:bCs/>
          <w:color w:val="000000"/>
          <w:kern w:val="0"/>
          <w:sz w:val="20"/>
          <w:szCs w:val="20"/>
          <w:lang w:bidi="ar"/>
        </w:rPr>
        <w:t>(Continued)</w:t>
      </w:r>
    </w:p>
    <w:p w14:paraId="59E49983"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(unaudited)</w:t>
      </w:r>
    </w:p>
    <w:p w14:paraId="59E49984"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9985"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Variable Interest Entities</w:t>
      </w:r>
    </w:p>
    <w:p w14:paraId="59E49986"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9987"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In connection with the asset-based financing facilities, securitization facilities, and fixed-term securitization offerings discussed above, the Company transfers certain U.S. and European lease and lo</w:t>
      </w:r>
      <w:r>
        <w:rPr>
          <w:rFonts w:ascii="Times New Roman" w:eastAsia="宋体" w:hAnsi="Times New Roman" w:cs="Times New Roman"/>
          <w:color w:val="000000"/>
          <w:kern w:val="0"/>
          <w:sz w:val="20"/>
          <w:szCs w:val="20"/>
          <w:lang w:bidi="ar"/>
        </w:rPr>
        <w:t>an payments and associated equipment to SPEs that meet the definition of a VIE and are consolidated, along with the associated debt detailed above, into the Condensed Consolidated Financial Statements, as the Company is the primary beneficiary of the VIEs.</w:t>
      </w:r>
      <w:r>
        <w:rPr>
          <w:rFonts w:ascii="Times New Roman" w:eastAsia="宋体" w:hAnsi="Times New Roman" w:cs="Times New Roman"/>
          <w:color w:val="000000"/>
          <w:kern w:val="0"/>
          <w:sz w:val="20"/>
          <w:szCs w:val="20"/>
          <w:lang w:bidi="ar"/>
        </w:rPr>
        <w:t xml:space="preserve"> The SPEs are bankruptcy-remote legal entities with separate assets and liabilities. The purpose of the SPEs is to facilitate the funding of customer loan and lease payments and associated equipment in the capital markets.</w:t>
      </w:r>
    </w:p>
    <w:p w14:paraId="59E49988"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9989"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Some of the SPEs have entered i</w:t>
      </w:r>
      <w:r>
        <w:rPr>
          <w:rFonts w:ascii="Times New Roman" w:eastAsia="宋体" w:hAnsi="Times New Roman" w:cs="Times New Roman"/>
          <w:color w:val="000000"/>
          <w:kern w:val="0"/>
          <w:sz w:val="20"/>
          <w:szCs w:val="20"/>
          <w:lang w:bidi="ar"/>
        </w:rPr>
        <w:t>nto financing arrangements with multi-seller conduits that, in turn, issue asset-backed debt securities in the capital markets. DFS debt outstanding held by the consolidated VIEs is collateralized by the lease and loan payments and associated equipment. Th</w:t>
      </w:r>
      <w:r>
        <w:rPr>
          <w:rFonts w:ascii="Times New Roman" w:eastAsia="宋体" w:hAnsi="Times New Roman" w:cs="Times New Roman"/>
          <w:color w:val="000000"/>
          <w:kern w:val="0"/>
          <w:sz w:val="20"/>
          <w:szCs w:val="20"/>
          <w:lang w:bidi="ar"/>
        </w:rPr>
        <w:t>e Company’s risk of loss related to securitized receivables is limited to the amount by which the Company’s right to receive collections for assets securitized exceeds the amount required to pay interest, principal, and fees and expenses related to the ass</w:t>
      </w:r>
      <w:r>
        <w:rPr>
          <w:rFonts w:ascii="Times New Roman" w:eastAsia="宋体" w:hAnsi="Times New Roman" w:cs="Times New Roman"/>
          <w:color w:val="000000"/>
          <w:kern w:val="0"/>
          <w:sz w:val="20"/>
          <w:szCs w:val="20"/>
          <w:lang w:bidi="ar"/>
        </w:rPr>
        <w:t>et-backed securities. The Company provides credit enhancement to the securitization in the form of over-collateralization.</w:t>
      </w:r>
    </w:p>
    <w:p w14:paraId="59E4998A"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998B" w14:textId="77777777" w:rsidR="00D7560A" w:rsidRDefault="001E3CAB">
      <w:pPr>
        <w:widowControl/>
        <w:spacing w:after="12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The following table presents the assets and liabilities held by the consolidated VIEs as of the dates indicated, which are included</w:t>
      </w:r>
      <w:r>
        <w:rPr>
          <w:rFonts w:ascii="Times New Roman" w:eastAsia="宋体" w:hAnsi="Times New Roman" w:cs="Times New Roman"/>
          <w:color w:val="000000"/>
          <w:kern w:val="0"/>
          <w:sz w:val="20"/>
          <w:szCs w:val="20"/>
          <w:lang w:bidi="ar"/>
        </w:rPr>
        <w:t xml:space="preserve"> in the Condensed Consolidated Statements of Financial Position:</w:t>
      </w:r>
    </w:p>
    <w:tbl>
      <w:tblPr>
        <w:tblW w:w="5000" w:type="pct"/>
        <w:jc w:val="center"/>
        <w:tblCellMar>
          <w:top w:w="15" w:type="dxa"/>
          <w:left w:w="15" w:type="dxa"/>
          <w:bottom w:w="15" w:type="dxa"/>
          <w:right w:w="15" w:type="dxa"/>
        </w:tblCellMar>
        <w:tblLook w:val="04A0" w:firstRow="1" w:lastRow="0" w:firstColumn="1" w:lastColumn="0" w:noHBand="0" w:noVBand="1"/>
      </w:tblPr>
      <w:tblGrid>
        <w:gridCol w:w="37"/>
        <w:gridCol w:w="4892"/>
        <w:gridCol w:w="36"/>
        <w:gridCol w:w="120"/>
        <w:gridCol w:w="1475"/>
        <w:gridCol w:w="36"/>
        <w:gridCol w:w="36"/>
        <w:gridCol w:w="36"/>
        <w:gridCol w:w="36"/>
        <w:gridCol w:w="121"/>
        <w:gridCol w:w="1475"/>
        <w:gridCol w:w="36"/>
      </w:tblGrid>
      <w:tr w:rsidR="00D7560A" w14:paraId="59E49998" w14:textId="77777777">
        <w:trPr>
          <w:jc w:val="center"/>
        </w:trPr>
        <w:tc>
          <w:tcPr>
            <w:tcW w:w="50" w:type="pct"/>
            <w:tcBorders>
              <w:top w:val="nil"/>
              <w:left w:val="nil"/>
              <w:bottom w:val="nil"/>
              <w:right w:val="nil"/>
            </w:tcBorders>
            <w:shd w:val="clear" w:color="auto" w:fill="auto"/>
            <w:vAlign w:val="bottom"/>
          </w:tcPr>
          <w:p w14:paraId="59E4998C" w14:textId="77777777" w:rsidR="00D7560A" w:rsidRDefault="00D7560A">
            <w:pPr>
              <w:widowControl/>
              <w:jc w:val="left"/>
              <w:rPr>
                <w:rFonts w:ascii="Times New Roman" w:eastAsia="宋体" w:hAnsi="宋体" w:cs="宋体"/>
                <w:kern w:val="0"/>
                <w:sz w:val="24"/>
              </w:rPr>
            </w:pPr>
          </w:p>
        </w:tc>
        <w:tc>
          <w:tcPr>
            <w:tcW w:w="2971" w:type="pct"/>
            <w:tcBorders>
              <w:top w:val="nil"/>
              <w:left w:val="nil"/>
              <w:bottom w:val="nil"/>
              <w:right w:val="nil"/>
            </w:tcBorders>
            <w:shd w:val="clear" w:color="auto" w:fill="auto"/>
            <w:vAlign w:val="bottom"/>
          </w:tcPr>
          <w:p w14:paraId="59E4998D"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98E"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998F" w14:textId="77777777" w:rsidR="00D7560A" w:rsidRDefault="00D7560A">
            <w:pPr>
              <w:widowControl/>
              <w:jc w:val="left"/>
              <w:rPr>
                <w:rFonts w:ascii="Times New Roman" w:eastAsia="宋体" w:hAnsi="宋体" w:cs="宋体"/>
                <w:kern w:val="0"/>
                <w:sz w:val="24"/>
              </w:rPr>
            </w:pPr>
          </w:p>
        </w:tc>
        <w:tc>
          <w:tcPr>
            <w:tcW w:w="917" w:type="pct"/>
            <w:tcBorders>
              <w:top w:val="nil"/>
              <w:left w:val="nil"/>
              <w:bottom w:val="nil"/>
              <w:right w:val="nil"/>
            </w:tcBorders>
            <w:shd w:val="clear" w:color="auto" w:fill="auto"/>
            <w:vAlign w:val="bottom"/>
          </w:tcPr>
          <w:p w14:paraId="59E49990"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991"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992" w14:textId="77777777" w:rsidR="00D7560A" w:rsidRDefault="00D7560A">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59E49993"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994"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9995" w14:textId="77777777" w:rsidR="00D7560A" w:rsidRDefault="00D7560A">
            <w:pPr>
              <w:widowControl/>
              <w:jc w:val="left"/>
              <w:rPr>
                <w:rFonts w:ascii="Times New Roman" w:eastAsia="宋体" w:hAnsi="宋体" w:cs="宋体"/>
                <w:kern w:val="0"/>
                <w:sz w:val="24"/>
              </w:rPr>
            </w:pPr>
          </w:p>
        </w:tc>
        <w:tc>
          <w:tcPr>
            <w:tcW w:w="917" w:type="pct"/>
            <w:tcBorders>
              <w:top w:val="nil"/>
              <w:left w:val="nil"/>
              <w:bottom w:val="nil"/>
              <w:right w:val="nil"/>
            </w:tcBorders>
            <w:shd w:val="clear" w:color="auto" w:fill="auto"/>
            <w:vAlign w:val="bottom"/>
          </w:tcPr>
          <w:p w14:paraId="59E49996"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997" w14:textId="77777777" w:rsidR="00D7560A" w:rsidRDefault="00D7560A">
            <w:pPr>
              <w:widowControl/>
              <w:jc w:val="left"/>
              <w:rPr>
                <w:rFonts w:ascii="Times New Roman" w:eastAsia="宋体" w:hAnsi="宋体" w:cs="宋体"/>
                <w:kern w:val="0"/>
                <w:sz w:val="24"/>
              </w:rPr>
            </w:pPr>
          </w:p>
        </w:tc>
      </w:tr>
      <w:tr w:rsidR="00D7560A" w14:paraId="59E4999D"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9E49999"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9E4999A"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29, 2022</w:t>
            </w: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59E4999B"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auto"/>
            <w:tcMar>
              <w:top w:w="40" w:type="dxa"/>
              <w:left w:w="20" w:type="dxa"/>
              <w:bottom w:w="40" w:type="dxa"/>
              <w:right w:w="20" w:type="dxa"/>
            </w:tcMar>
            <w:vAlign w:val="bottom"/>
          </w:tcPr>
          <w:p w14:paraId="59E4999C"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January 28, 2022</w:t>
            </w:r>
          </w:p>
        </w:tc>
      </w:tr>
      <w:tr w:rsidR="00D7560A" w14:paraId="59E499A0"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9E4999E"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gridSpan w:val="9"/>
            <w:tcBorders>
              <w:top w:val="single" w:sz="8" w:space="0" w:color="000000"/>
              <w:left w:val="nil"/>
              <w:bottom w:val="nil"/>
              <w:right w:val="nil"/>
            </w:tcBorders>
            <w:shd w:val="clear" w:color="auto" w:fill="auto"/>
            <w:tcMar>
              <w:top w:w="40" w:type="dxa"/>
              <w:left w:w="20" w:type="dxa"/>
              <w:bottom w:w="40" w:type="dxa"/>
              <w:right w:w="20" w:type="dxa"/>
            </w:tcMar>
            <w:vAlign w:val="bottom"/>
          </w:tcPr>
          <w:p w14:paraId="59E4999F"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(in millions)</w:t>
            </w:r>
          </w:p>
        </w:tc>
      </w:tr>
      <w:tr w:rsidR="00D7560A" w14:paraId="59E499A5"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9E499A1"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Assets held by consolidated VIEs</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9A2"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9A3"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9A4" w14:textId="77777777" w:rsidR="00D7560A" w:rsidRDefault="00D7560A">
            <w:pPr>
              <w:widowControl/>
              <w:jc w:val="left"/>
              <w:rPr>
                <w:rFonts w:ascii="Times New Roman" w:eastAsia="宋体" w:hAnsi="宋体" w:cs="宋体"/>
                <w:kern w:val="0"/>
                <w:sz w:val="24"/>
              </w:rPr>
            </w:pPr>
          </w:p>
        </w:tc>
      </w:tr>
      <w:tr w:rsidR="00D7560A" w14:paraId="59E499AE" w14:textId="77777777">
        <w:trPr>
          <w:jc w:val="center"/>
        </w:trPr>
        <w:tc>
          <w:tcPr>
            <w:tcW w:w="0" w:type="auto"/>
            <w:gridSpan w:val="3"/>
            <w:tcBorders>
              <w:top w:val="nil"/>
              <w:left w:val="nil"/>
              <w:bottom w:val="nil"/>
              <w:right w:val="nil"/>
            </w:tcBorders>
            <w:shd w:val="clear" w:color="auto" w:fill="FFFFFF"/>
            <w:tcMar>
              <w:top w:w="40" w:type="dxa"/>
              <w:left w:w="35" w:type="dxa"/>
              <w:bottom w:w="40" w:type="dxa"/>
              <w:right w:w="20" w:type="dxa"/>
            </w:tcMar>
            <w:vAlign w:val="bottom"/>
          </w:tcPr>
          <w:p w14:paraId="59E499A6"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Other current assets</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9E499A7"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9E499A8"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574 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99A9"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99AA"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9E499AB"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9E499AC"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535 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99AD" w14:textId="77777777" w:rsidR="00D7560A" w:rsidRDefault="00D7560A">
            <w:pPr>
              <w:widowControl/>
              <w:jc w:val="right"/>
              <w:rPr>
                <w:rFonts w:ascii="Times New Roman" w:eastAsia="宋体" w:hAnsi="宋体" w:cs="宋体"/>
                <w:kern w:val="0"/>
                <w:sz w:val="24"/>
              </w:rPr>
            </w:pPr>
          </w:p>
        </w:tc>
      </w:tr>
      <w:tr w:rsidR="00D7560A" w14:paraId="59E499B3" w14:textId="77777777">
        <w:trPr>
          <w:jc w:val="center"/>
        </w:trPr>
        <w:tc>
          <w:tcPr>
            <w:tcW w:w="0" w:type="auto"/>
            <w:gridSpan w:val="3"/>
            <w:tcBorders>
              <w:top w:val="nil"/>
              <w:left w:val="nil"/>
              <w:bottom w:val="nil"/>
              <w:right w:val="nil"/>
            </w:tcBorders>
            <w:shd w:val="clear" w:color="auto" w:fill="CCEEFF"/>
            <w:tcMar>
              <w:top w:w="40" w:type="dxa"/>
              <w:left w:w="35" w:type="dxa"/>
              <w:bottom w:w="40" w:type="dxa"/>
              <w:right w:w="20" w:type="dxa"/>
            </w:tcMar>
            <w:vAlign w:val="bottom"/>
          </w:tcPr>
          <w:p w14:paraId="59E499AF"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Financing receivables, net of allowance</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9B0"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9B1"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9B2" w14:textId="77777777" w:rsidR="00D7560A" w:rsidRDefault="00D7560A">
            <w:pPr>
              <w:widowControl/>
              <w:jc w:val="left"/>
              <w:rPr>
                <w:rFonts w:ascii="Times New Roman" w:eastAsia="宋体" w:hAnsi="宋体" w:cs="宋体"/>
                <w:kern w:val="0"/>
                <w:sz w:val="24"/>
              </w:rPr>
            </w:pPr>
          </w:p>
        </w:tc>
      </w:tr>
      <w:tr w:rsidR="00D7560A" w14:paraId="59E499BC" w14:textId="77777777">
        <w:trPr>
          <w:jc w:val="center"/>
        </w:trPr>
        <w:tc>
          <w:tcPr>
            <w:tcW w:w="0" w:type="auto"/>
            <w:gridSpan w:val="3"/>
            <w:tcBorders>
              <w:top w:val="nil"/>
              <w:left w:val="nil"/>
              <w:bottom w:val="nil"/>
              <w:right w:val="nil"/>
            </w:tcBorders>
            <w:shd w:val="clear" w:color="auto" w:fill="FFFFFF"/>
            <w:tcMar>
              <w:top w:w="40" w:type="dxa"/>
              <w:left w:w="140" w:type="dxa"/>
              <w:bottom w:w="40" w:type="dxa"/>
              <w:right w:w="20" w:type="dxa"/>
            </w:tcMar>
            <w:vAlign w:val="bottom"/>
          </w:tcPr>
          <w:p w14:paraId="59E499B4"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Short-term</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9E499B5"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9E499B6"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3,313 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99B7"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99B8"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9E499B9"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9E499BA"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3,368 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99BB" w14:textId="77777777" w:rsidR="00D7560A" w:rsidRDefault="00D7560A">
            <w:pPr>
              <w:widowControl/>
              <w:jc w:val="right"/>
              <w:rPr>
                <w:rFonts w:ascii="Times New Roman" w:eastAsia="宋体" w:hAnsi="宋体" w:cs="宋体"/>
                <w:kern w:val="0"/>
                <w:sz w:val="24"/>
              </w:rPr>
            </w:pPr>
          </w:p>
        </w:tc>
      </w:tr>
      <w:tr w:rsidR="00D7560A" w14:paraId="59E499C5" w14:textId="77777777">
        <w:trPr>
          <w:jc w:val="center"/>
        </w:trPr>
        <w:tc>
          <w:tcPr>
            <w:tcW w:w="0" w:type="auto"/>
            <w:gridSpan w:val="3"/>
            <w:tcBorders>
              <w:top w:val="nil"/>
              <w:left w:val="nil"/>
              <w:bottom w:val="nil"/>
              <w:right w:val="nil"/>
            </w:tcBorders>
            <w:shd w:val="clear" w:color="auto" w:fill="CCEEFF"/>
            <w:tcMar>
              <w:top w:w="40" w:type="dxa"/>
              <w:left w:w="140" w:type="dxa"/>
              <w:bottom w:w="40" w:type="dxa"/>
              <w:right w:w="20" w:type="dxa"/>
            </w:tcMar>
            <w:vAlign w:val="bottom"/>
          </w:tcPr>
          <w:p w14:paraId="59E499BD"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Long-term</w:t>
            </w: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9E499BE"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9E499BF"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3,181 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99C0"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9C1"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9E499C2"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9E499C3"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3,141 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99C4" w14:textId="77777777" w:rsidR="00D7560A" w:rsidRDefault="00D7560A">
            <w:pPr>
              <w:widowControl/>
              <w:jc w:val="right"/>
              <w:rPr>
                <w:rFonts w:ascii="Times New Roman" w:eastAsia="宋体" w:hAnsi="宋体" w:cs="宋体"/>
                <w:kern w:val="0"/>
                <w:sz w:val="24"/>
              </w:rPr>
            </w:pPr>
          </w:p>
        </w:tc>
      </w:tr>
      <w:tr w:rsidR="00D7560A" w14:paraId="59E499CE"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59E499C6"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Property, plant, and equipment, net</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9E499C7"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9E499C8"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1,069 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99C9"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99CA"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9E499CB"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9E499CC"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945 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99CD" w14:textId="77777777" w:rsidR="00D7560A" w:rsidRDefault="00D7560A">
            <w:pPr>
              <w:widowControl/>
              <w:jc w:val="right"/>
              <w:rPr>
                <w:rFonts w:ascii="Times New Roman" w:eastAsia="宋体" w:hAnsi="宋体" w:cs="宋体"/>
                <w:kern w:val="0"/>
                <w:sz w:val="24"/>
              </w:rPr>
            </w:pPr>
          </w:p>
        </w:tc>
      </w:tr>
      <w:tr w:rsidR="00D7560A" w14:paraId="59E499D3"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9E499CF"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Liabilities held by consolidated VIEs</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9D0"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9D1"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9D2" w14:textId="77777777" w:rsidR="00D7560A" w:rsidRDefault="00D7560A">
            <w:pPr>
              <w:widowControl/>
              <w:jc w:val="left"/>
              <w:rPr>
                <w:rFonts w:ascii="Times New Roman" w:eastAsia="宋体" w:hAnsi="宋体" w:cs="宋体"/>
                <w:kern w:val="0"/>
                <w:sz w:val="24"/>
              </w:rPr>
            </w:pPr>
          </w:p>
        </w:tc>
      </w:tr>
      <w:tr w:rsidR="00D7560A" w14:paraId="59E499D8"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59E499D4"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Debt, net of unamortized debt issuance costs</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99D5"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99D6"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99D7" w14:textId="77777777" w:rsidR="00D7560A" w:rsidRDefault="00D7560A">
            <w:pPr>
              <w:widowControl/>
              <w:jc w:val="left"/>
              <w:rPr>
                <w:rFonts w:ascii="Times New Roman" w:eastAsia="宋体" w:hAnsi="宋体" w:cs="宋体"/>
                <w:kern w:val="0"/>
                <w:sz w:val="24"/>
              </w:rPr>
            </w:pPr>
          </w:p>
        </w:tc>
      </w:tr>
      <w:tr w:rsidR="00D7560A" w14:paraId="59E499E1" w14:textId="77777777">
        <w:trPr>
          <w:jc w:val="center"/>
        </w:trPr>
        <w:tc>
          <w:tcPr>
            <w:tcW w:w="0" w:type="auto"/>
            <w:gridSpan w:val="3"/>
            <w:tcBorders>
              <w:top w:val="nil"/>
              <w:left w:val="nil"/>
              <w:bottom w:val="nil"/>
              <w:right w:val="nil"/>
            </w:tcBorders>
            <w:shd w:val="clear" w:color="auto" w:fill="CCEEFF"/>
            <w:tcMar>
              <w:top w:w="40" w:type="dxa"/>
              <w:left w:w="140" w:type="dxa"/>
              <w:bottom w:w="40" w:type="dxa"/>
              <w:right w:w="20" w:type="dxa"/>
            </w:tcMar>
            <w:vAlign w:val="bottom"/>
          </w:tcPr>
          <w:p w14:paraId="59E499D9"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Short-term</w:t>
            </w: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9E499DA"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9E499DB"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4,469 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99DC"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9DD"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9E499DE"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9E499DF"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4,560 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99E0" w14:textId="77777777" w:rsidR="00D7560A" w:rsidRDefault="00D7560A">
            <w:pPr>
              <w:widowControl/>
              <w:jc w:val="right"/>
              <w:rPr>
                <w:rFonts w:ascii="Times New Roman" w:eastAsia="宋体" w:hAnsi="宋体" w:cs="宋体"/>
                <w:kern w:val="0"/>
                <w:sz w:val="24"/>
              </w:rPr>
            </w:pPr>
          </w:p>
        </w:tc>
      </w:tr>
      <w:tr w:rsidR="00D7560A" w14:paraId="59E499EA" w14:textId="77777777">
        <w:trPr>
          <w:jc w:val="center"/>
        </w:trPr>
        <w:tc>
          <w:tcPr>
            <w:tcW w:w="0" w:type="auto"/>
            <w:gridSpan w:val="3"/>
            <w:tcBorders>
              <w:top w:val="nil"/>
              <w:left w:val="nil"/>
              <w:bottom w:val="nil"/>
              <w:right w:val="nil"/>
            </w:tcBorders>
            <w:shd w:val="clear" w:color="auto" w:fill="FFFFFF"/>
            <w:tcMar>
              <w:top w:w="40" w:type="dxa"/>
              <w:left w:w="140" w:type="dxa"/>
              <w:bottom w:w="40" w:type="dxa"/>
              <w:right w:w="20" w:type="dxa"/>
            </w:tcMar>
            <w:vAlign w:val="bottom"/>
          </w:tcPr>
          <w:p w14:paraId="59E499E2"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Long-term</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9E499E3"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9E499E4"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2,450 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99E5"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99E6"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9E499E7"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9E499E8"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2,235 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99E9" w14:textId="77777777" w:rsidR="00D7560A" w:rsidRDefault="00D7560A">
            <w:pPr>
              <w:widowControl/>
              <w:jc w:val="right"/>
              <w:rPr>
                <w:rFonts w:ascii="Times New Roman" w:eastAsia="宋体" w:hAnsi="宋体" w:cs="宋体"/>
                <w:kern w:val="0"/>
                <w:sz w:val="24"/>
              </w:rPr>
            </w:pPr>
          </w:p>
        </w:tc>
      </w:tr>
    </w:tbl>
    <w:p w14:paraId="59E499EB"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99EC"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Lease and loan payments and associated equipment transferred via securitization through SPEs were $1.2 billion and $1.3 billion for the three months ended July 29, 2022 and July 30, 2021, respectively, and $2.9 </w:t>
      </w:r>
      <w:r>
        <w:rPr>
          <w:rFonts w:ascii="Times New Roman" w:eastAsia="宋体" w:hAnsi="Times New Roman" w:cs="Times New Roman"/>
          <w:color w:val="000000"/>
          <w:kern w:val="0"/>
          <w:sz w:val="20"/>
          <w:szCs w:val="20"/>
          <w:lang w:bidi="ar"/>
        </w:rPr>
        <w:t>billion and $2.7 billion for the six months ended July 29, 2022 and July 30, 2021, respectively.</w:t>
      </w:r>
    </w:p>
    <w:p w14:paraId="59E499ED"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99EE"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Customer Receivable Sales</w:t>
      </w:r>
    </w:p>
    <w:p w14:paraId="59E499EF"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99F0"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To manage certain concentrations of customer credit exposure, the Company may sell selected fixed-term customer </w:t>
      </w:r>
      <w:r>
        <w:rPr>
          <w:rFonts w:ascii="Times New Roman" w:eastAsia="宋体" w:hAnsi="Times New Roman" w:cs="Times New Roman"/>
          <w:color w:val="000000"/>
          <w:kern w:val="0"/>
          <w:sz w:val="20"/>
          <w:szCs w:val="20"/>
          <w:lang w:bidi="ar"/>
        </w:rPr>
        <w:t>receivables to unrelated third parties on a periodic basis, without recourse. The amount of customer receivables sold for this purpose was $425 million and $101 million for the six months ended July 29, 2022 and July 30, 2021, respectively. The Company’s c</w:t>
      </w:r>
      <w:r>
        <w:rPr>
          <w:rFonts w:ascii="Times New Roman" w:eastAsia="宋体" w:hAnsi="Times New Roman" w:cs="Times New Roman"/>
          <w:color w:val="000000"/>
          <w:kern w:val="0"/>
          <w:sz w:val="20"/>
          <w:szCs w:val="20"/>
          <w:lang w:bidi="ar"/>
        </w:rPr>
        <w:t>ontinuing involvement in these customer receivables is primarily limited to servicing arrangements.</w:t>
      </w:r>
    </w:p>
    <w:p w14:paraId="59E499F1"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99F2"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99F3"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27</w:t>
      </w:r>
    </w:p>
    <w:p w14:paraId="59E499F4"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99F5" w14:textId="77777777" w:rsidR="00D7560A" w:rsidRDefault="001E3CAB">
      <w:pPr>
        <w:widowControl/>
        <w:jc w:val="center"/>
      </w:pPr>
      <w:r>
        <w:rPr>
          <w:rFonts w:ascii="宋体" w:eastAsia="宋体" w:hAnsi="宋体" w:cs="宋体"/>
          <w:kern w:val="0"/>
          <w:sz w:val="24"/>
        </w:rPr>
        <w:pict w14:anchorId="59E4C7E6">
          <v:rect id="_x0000_i1051" style="width:6in;height:1.5pt" o:hralign="center" o:hrstd="t" o:hr="t" fillcolor="#a0a0a0" stroked="f"/>
        </w:pict>
      </w:r>
    </w:p>
    <w:p w14:paraId="59E499F6" w14:textId="77777777" w:rsidR="00D7560A" w:rsidRDefault="001E3CAB">
      <w:pPr>
        <w:widowControl/>
        <w:jc w:val="left"/>
        <w:rPr>
          <w:rFonts w:ascii="宋体" w:eastAsia="宋体" w:hAnsi="宋体" w:cs="宋体"/>
          <w:kern w:val="0"/>
          <w:sz w:val="24"/>
        </w:rPr>
      </w:pPr>
      <w:hyperlink w:anchor="if933dd1d5d004d2495dd7029e3ecad00_13" w:history="1">
        <w:r>
          <w:rPr>
            <w:rStyle w:val="a4"/>
            <w:rFonts w:ascii="Times New Roman" w:eastAsia="宋体" w:hAnsi="Times New Roman" w:cs="Times New Roman"/>
            <w:sz w:val="20"/>
            <w:szCs w:val="20"/>
          </w:rPr>
          <w:t>Table of Contents</w:t>
        </w:r>
      </w:hyperlink>
    </w:p>
    <w:p w14:paraId="59E499F7"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DELL TECHNOLOGIES INC.</w:t>
      </w:r>
    </w:p>
    <w:p w14:paraId="59E499F8"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NOTES TO THE CONDENSED CONSOLIDATED FINANCIAL</w:t>
      </w:r>
      <w:r>
        <w:rPr>
          <w:rFonts w:ascii="Times New Roman" w:eastAsia="宋体" w:hAnsi="Times New Roman" w:cs="Times New Roman"/>
          <w:b/>
          <w:bCs/>
          <w:color w:val="000000"/>
          <w:kern w:val="0"/>
          <w:sz w:val="20"/>
          <w:szCs w:val="20"/>
          <w:lang w:bidi="ar"/>
        </w:rPr>
        <w:t xml:space="preserve"> STATEMENTS (Continued)</w:t>
      </w:r>
    </w:p>
    <w:p w14:paraId="59E499F9"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(unaudited)</w:t>
      </w:r>
    </w:p>
    <w:p w14:paraId="59E499FA"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99FB"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 xml:space="preserve">NOTE 6 — LEASES </w:t>
      </w:r>
    </w:p>
    <w:p w14:paraId="59E499FC"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99FD"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The Company enters into leasing transactions in which the Company is the lessee. These lease contracts are typically classified as operating leases. The Company’s lease contracts are generally for of</w:t>
      </w:r>
      <w:r>
        <w:rPr>
          <w:rFonts w:ascii="Times New Roman" w:eastAsia="宋体" w:hAnsi="Times New Roman" w:cs="Times New Roman"/>
          <w:color w:val="000000"/>
          <w:kern w:val="0"/>
          <w:sz w:val="20"/>
          <w:szCs w:val="20"/>
          <w:lang w:bidi="ar"/>
        </w:rPr>
        <w:t>fice buildings used to conduct its business, and the determination of whether such contracts contain leases generally does not require significant estimates or judgments. The Company also leases certain global logistics warehouses, employee vehicles, and e</w:t>
      </w:r>
      <w:r>
        <w:rPr>
          <w:rFonts w:ascii="Times New Roman" w:eastAsia="宋体" w:hAnsi="Times New Roman" w:cs="Times New Roman"/>
          <w:color w:val="000000"/>
          <w:kern w:val="0"/>
          <w:sz w:val="20"/>
          <w:szCs w:val="20"/>
          <w:lang w:bidi="ar"/>
        </w:rPr>
        <w:t>quipment. As of July 29, 2022, the remaining terms of the Company’s leases range from less than one month to approximately ten years. As of July 29, 2022 and January 28, 2022, there were no material finance leases for which the Company was a lessee.</w:t>
      </w:r>
    </w:p>
    <w:p w14:paraId="59E499FE"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99FF"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The </w:t>
      </w:r>
      <w:r>
        <w:rPr>
          <w:rFonts w:ascii="Times New Roman" w:eastAsia="宋体" w:hAnsi="Times New Roman" w:cs="Times New Roman"/>
          <w:color w:val="000000"/>
          <w:kern w:val="0"/>
          <w:sz w:val="20"/>
          <w:szCs w:val="20"/>
          <w:lang w:bidi="ar"/>
        </w:rPr>
        <w:t>Company also enters into leasing transactions in which the Company is the lessor, primarily through customer financing arrangements offered through DFS. DFS originates leases that are primarily classified as either sales-type leases or operating leases. Se</w:t>
      </w:r>
      <w:r>
        <w:rPr>
          <w:rFonts w:ascii="Times New Roman" w:eastAsia="宋体" w:hAnsi="Times New Roman" w:cs="Times New Roman"/>
          <w:color w:val="000000"/>
          <w:kern w:val="0"/>
          <w:sz w:val="20"/>
          <w:szCs w:val="20"/>
          <w:lang w:bidi="ar"/>
        </w:rPr>
        <w:t xml:space="preserve">e Note 5 of the Notes to the Condensed Consolidated Financial Statements for more information on the Company’s lessor arrangements. </w:t>
      </w:r>
    </w:p>
    <w:p w14:paraId="59E49A00"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9A01" w14:textId="77777777" w:rsidR="00D7560A" w:rsidRDefault="001E3CAB">
      <w:pPr>
        <w:widowControl/>
        <w:spacing w:after="12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The following table presents components of lease costs included in the Condensed Consolidated Statements of Income for </w:t>
      </w:r>
      <w:r>
        <w:rPr>
          <w:rFonts w:ascii="Times New Roman" w:eastAsia="宋体" w:hAnsi="Times New Roman" w:cs="Times New Roman"/>
          <w:color w:val="000000"/>
          <w:kern w:val="0"/>
          <w:sz w:val="20"/>
          <w:szCs w:val="20"/>
          <w:lang w:bidi="ar"/>
        </w:rPr>
        <w:t>the periods indicated:</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42"/>
        <w:gridCol w:w="1500"/>
        <w:gridCol w:w="36"/>
        <w:gridCol w:w="121"/>
        <w:gridCol w:w="1452"/>
        <w:gridCol w:w="37"/>
        <w:gridCol w:w="36"/>
        <w:gridCol w:w="36"/>
        <w:gridCol w:w="36"/>
        <w:gridCol w:w="120"/>
        <w:gridCol w:w="1452"/>
        <w:gridCol w:w="36"/>
        <w:gridCol w:w="36"/>
        <w:gridCol w:w="36"/>
        <w:gridCol w:w="36"/>
        <w:gridCol w:w="120"/>
        <w:gridCol w:w="1452"/>
        <w:gridCol w:w="36"/>
        <w:gridCol w:w="36"/>
        <w:gridCol w:w="36"/>
        <w:gridCol w:w="36"/>
        <w:gridCol w:w="120"/>
        <w:gridCol w:w="1452"/>
        <w:gridCol w:w="36"/>
      </w:tblGrid>
      <w:tr w:rsidR="00D7560A" w14:paraId="59E49A1A" w14:textId="77777777">
        <w:tc>
          <w:tcPr>
            <w:tcW w:w="50" w:type="pct"/>
            <w:tcBorders>
              <w:top w:val="nil"/>
              <w:left w:val="nil"/>
              <w:bottom w:val="nil"/>
              <w:right w:val="nil"/>
            </w:tcBorders>
            <w:shd w:val="clear" w:color="auto" w:fill="auto"/>
            <w:vAlign w:val="bottom"/>
          </w:tcPr>
          <w:p w14:paraId="59E49A02" w14:textId="77777777" w:rsidR="00D7560A" w:rsidRDefault="00D7560A">
            <w:pPr>
              <w:widowControl/>
              <w:jc w:val="left"/>
              <w:rPr>
                <w:rFonts w:ascii="Times New Roman" w:eastAsia="宋体" w:hAnsi="宋体" w:cs="宋体"/>
                <w:kern w:val="0"/>
                <w:sz w:val="24"/>
              </w:rPr>
            </w:pPr>
          </w:p>
        </w:tc>
        <w:tc>
          <w:tcPr>
            <w:tcW w:w="968" w:type="pct"/>
            <w:tcBorders>
              <w:top w:val="nil"/>
              <w:left w:val="nil"/>
              <w:bottom w:val="nil"/>
              <w:right w:val="nil"/>
            </w:tcBorders>
            <w:shd w:val="clear" w:color="auto" w:fill="auto"/>
            <w:vAlign w:val="bottom"/>
          </w:tcPr>
          <w:p w14:paraId="59E49A03"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A04"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9A05" w14:textId="77777777" w:rsidR="00D7560A" w:rsidRDefault="00D7560A">
            <w:pPr>
              <w:widowControl/>
              <w:jc w:val="left"/>
              <w:rPr>
                <w:rFonts w:ascii="Times New Roman" w:eastAsia="宋体" w:hAnsi="宋体" w:cs="宋体"/>
                <w:kern w:val="0"/>
                <w:sz w:val="24"/>
              </w:rPr>
            </w:pPr>
          </w:p>
        </w:tc>
        <w:tc>
          <w:tcPr>
            <w:tcW w:w="917" w:type="pct"/>
            <w:tcBorders>
              <w:top w:val="nil"/>
              <w:left w:val="nil"/>
              <w:bottom w:val="nil"/>
              <w:right w:val="nil"/>
            </w:tcBorders>
            <w:shd w:val="clear" w:color="auto" w:fill="auto"/>
            <w:vAlign w:val="bottom"/>
          </w:tcPr>
          <w:p w14:paraId="59E49A06"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A07"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A08" w14:textId="77777777" w:rsidR="00D7560A" w:rsidRDefault="00D7560A">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59E49A09"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A0A"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9A0B" w14:textId="77777777" w:rsidR="00D7560A" w:rsidRDefault="00D7560A">
            <w:pPr>
              <w:widowControl/>
              <w:jc w:val="left"/>
              <w:rPr>
                <w:rFonts w:ascii="Times New Roman" w:eastAsia="宋体" w:hAnsi="宋体" w:cs="宋体"/>
                <w:kern w:val="0"/>
                <w:sz w:val="24"/>
              </w:rPr>
            </w:pPr>
          </w:p>
        </w:tc>
        <w:tc>
          <w:tcPr>
            <w:tcW w:w="917" w:type="pct"/>
            <w:tcBorders>
              <w:top w:val="nil"/>
              <w:left w:val="nil"/>
              <w:bottom w:val="nil"/>
              <w:right w:val="nil"/>
            </w:tcBorders>
            <w:shd w:val="clear" w:color="auto" w:fill="auto"/>
            <w:vAlign w:val="bottom"/>
          </w:tcPr>
          <w:p w14:paraId="59E49A0C"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A0D"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A0E" w14:textId="77777777" w:rsidR="00D7560A" w:rsidRDefault="00D7560A">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59E49A0F"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A10"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9A11" w14:textId="77777777" w:rsidR="00D7560A" w:rsidRDefault="00D7560A">
            <w:pPr>
              <w:widowControl/>
              <w:jc w:val="left"/>
              <w:rPr>
                <w:rFonts w:ascii="Times New Roman" w:eastAsia="宋体" w:hAnsi="宋体" w:cs="宋体"/>
                <w:kern w:val="0"/>
                <w:sz w:val="24"/>
              </w:rPr>
            </w:pPr>
          </w:p>
        </w:tc>
        <w:tc>
          <w:tcPr>
            <w:tcW w:w="917" w:type="pct"/>
            <w:tcBorders>
              <w:top w:val="nil"/>
              <w:left w:val="nil"/>
              <w:bottom w:val="nil"/>
              <w:right w:val="nil"/>
            </w:tcBorders>
            <w:shd w:val="clear" w:color="auto" w:fill="auto"/>
            <w:vAlign w:val="bottom"/>
          </w:tcPr>
          <w:p w14:paraId="59E49A12"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A13"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A14" w14:textId="77777777" w:rsidR="00D7560A" w:rsidRDefault="00D7560A">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59E49A15"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A16"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9A17" w14:textId="77777777" w:rsidR="00D7560A" w:rsidRDefault="00D7560A">
            <w:pPr>
              <w:widowControl/>
              <w:jc w:val="left"/>
              <w:rPr>
                <w:rFonts w:ascii="Times New Roman" w:eastAsia="宋体" w:hAnsi="宋体" w:cs="宋体"/>
                <w:kern w:val="0"/>
                <w:sz w:val="24"/>
              </w:rPr>
            </w:pPr>
          </w:p>
        </w:tc>
        <w:tc>
          <w:tcPr>
            <w:tcW w:w="917" w:type="pct"/>
            <w:tcBorders>
              <w:top w:val="nil"/>
              <w:left w:val="nil"/>
              <w:bottom w:val="nil"/>
              <w:right w:val="nil"/>
            </w:tcBorders>
            <w:shd w:val="clear" w:color="auto" w:fill="auto"/>
            <w:vAlign w:val="bottom"/>
          </w:tcPr>
          <w:p w14:paraId="59E49A18"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A19" w14:textId="77777777" w:rsidR="00D7560A" w:rsidRDefault="00D7560A">
            <w:pPr>
              <w:widowControl/>
              <w:jc w:val="left"/>
              <w:rPr>
                <w:rFonts w:ascii="Times New Roman" w:eastAsia="宋体" w:hAnsi="宋体" w:cs="宋体"/>
                <w:kern w:val="0"/>
                <w:sz w:val="24"/>
              </w:rPr>
            </w:pPr>
          </w:p>
        </w:tc>
      </w:tr>
      <w:tr w:rsidR="00D7560A" w14:paraId="59E49A1F"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9A1B" w14:textId="77777777" w:rsidR="00D7560A" w:rsidRDefault="00D7560A">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59E49A1C"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Three Months Ended</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9A1D" w14:textId="77777777" w:rsidR="00D7560A" w:rsidRDefault="00D7560A">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59E49A1E"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Six Months Ended</w:t>
            </w:r>
          </w:p>
        </w:tc>
      </w:tr>
      <w:tr w:rsidR="00D7560A" w14:paraId="59E49A28"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9A20"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59E49A21"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29, 2022</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59E49A22"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59E49A23"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30, 2021</w:t>
            </w: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59E49A24"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59E49A25"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29, 2022</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59E49A26"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59E49A27"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30, 2021</w:t>
            </w:r>
          </w:p>
        </w:tc>
      </w:tr>
      <w:tr w:rsidR="00D7560A" w14:paraId="59E49A2B"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9A29" w14:textId="77777777" w:rsidR="00D7560A" w:rsidRDefault="00D7560A">
            <w:pPr>
              <w:widowControl/>
              <w:jc w:val="left"/>
              <w:rPr>
                <w:rFonts w:ascii="Times New Roman" w:eastAsia="宋体" w:hAnsi="宋体" w:cs="宋体"/>
                <w:kern w:val="0"/>
                <w:sz w:val="24"/>
              </w:rPr>
            </w:pPr>
          </w:p>
        </w:tc>
        <w:tc>
          <w:tcPr>
            <w:tcW w:w="0" w:type="auto"/>
            <w:gridSpan w:val="21"/>
            <w:tcBorders>
              <w:top w:val="single" w:sz="8" w:space="0" w:color="000000"/>
              <w:left w:val="nil"/>
              <w:bottom w:val="nil"/>
              <w:right w:val="nil"/>
            </w:tcBorders>
            <w:shd w:val="clear" w:color="auto" w:fill="auto"/>
            <w:tcMar>
              <w:top w:w="40" w:type="dxa"/>
              <w:left w:w="20" w:type="dxa"/>
              <w:bottom w:w="40" w:type="dxa"/>
              <w:right w:w="20" w:type="dxa"/>
            </w:tcMar>
            <w:vAlign w:val="bottom"/>
          </w:tcPr>
          <w:p w14:paraId="59E49A2A"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(in </w:t>
            </w:r>
            <w:r>
              <w:rPr>
                <w:rFonts w:ascii="Times New Roman" w:eastAsia="宋体" w:hAnsi="Times New Roman" w:cs="Times New Roman"/>
                <w:color w:val="000000"/>
                <w:kern w:val="0"/>
                <w:sz w:val="20"/>
                <w:szCs w:val="20"/>
                <w:lang w:bidi="ar"/>
              </w:rPr>
              <w:t>millions)</w:t>
            </w:r>
          </w:p>
        </w:tc>
      </w:tr>
      <w:tr w:rsidR="00D7560A" w14:paraId="59E49A3C"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9E49A2C"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Operating lease costs</w:t>
            </w: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9E49A2D"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9E49A2E"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9A2F"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A30"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9E49A31"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9E49A32"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86 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9A33"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A34"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9E49A35"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9E49A36"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140 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9A37"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A38"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9E49A39"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9E49A3A"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180 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9A3B" w14:textId="77777777" w:rsidR="00D7560A" w:rsidRDefault="00D7560A">
            <w:pPr>
              <w:widowControl/>
              <w:jc w:val="right"/>
              <w:rPr>
                <w:rFonts w:ascii="Times New Roman" w:eastAsia="宋体" w:hAnsi="宋体" w:cs="宋体"/>
                <w:kern w:val="0"/>
                <w:sz w:val="24"/>
              </w:rPr>
            </w:pPr>
          </w:p>
        </w:tc>
      </w:tr>
      <w:tr w:rsidR="00D7560A" w14:paraId="59E49A49" w14:textId="77777777">
        <w:tc>
          <w:tcPr>
            <w:tcW w:w="0" w:type="auto"/>
            <w:gridSpan w:val="3"/>
            <w:tcBorders>
              <w:top w:val="nil"/>
              <w:left w:val="nil"/>
              <w:bottom w:val="nil"/>
              <w:right w:val="nil"/>
            </w:tcBorders>
            <w:shd w:val="clear" w:color="auto" w:fill="FFFFFF"/>
            <w:tcMar>
              <w:top w:w="40" w:type="dxa"/>
              <w:left w:w="35" w:type="dxa"/>
              <w:bottom w:w="40" w:type="dxa"/>
              <w:right w:w="20" w:type="dxa"/>
            </w:tcMar>
            <w:vAlign w:val="bottom"/>
          </w:tcPr>
          <w:p w14:paraId="59E49A3D"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Variable costs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9A3E"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9A3F"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9A40"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9A41"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9A42"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9A43"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9A44"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9A45"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9A46"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9A47"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9A48" w14:textId="77777777" w:rsidR="00D7560A" w:rsidRDefault="00D7560A">
            <w:pPr>
              <w:widowControl/>
              <w:jc w:val="right"/>
              <w:rPr>
                <w:rFonts w:ascii="Times New Roman" w:eastAsia="宋体" w:hAnsi="宋体" w:cs="宋体"/>
                <w:kern w:val="0"/>
                <w:sz w:val="24"/>
              </w:rPr>
            </w:pPr>
          </w:p>
        </w:tc>
      </w:tr>
      <w:tr w:rsidR="00D7560A" w14:paraId="59E49A5A" w14:textId="77777777">
        <w:tc>
          <w:tcPr>
            <w:tcW w:w="0" w:type="auto"/>
            <w:gridSpan w:val="3"/>
            <w:tcBorders>
              <w:top w:val="nil"/>
              <w:left w:val="nil"/>
              <w:bottom w:val="nil"/>
              <w:right w:val="nil"/>
            </w:tcBorders>
            <w:shd w:val="clear" w:color="auto" w:fill="CCEEFF"/>
            <w:tcMar>
              <w:top w:w="40" w:type="dxa"/>
              <w:left w:w="245" w:type="dxa"/>
              <w:bottom w:w="40" w:type="dxa"/>
              <w:right w:w="20" w:type="dxa"/>
            </w:tcMar>
            <w:vAlign w:val="bottom"/>
          </w:tcPr>
          <w:p w14:paraId="59E49A4A"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Total lease costs</w:t>
            </w: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59E49A4B"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59E49A4C"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91 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59E49A4D"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A4E"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59E49A4F"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59E49A50"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107 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59E49A51"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A52"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59E49A53"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59E49A54"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188 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59E49A55"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A56"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59E49A57"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59E49A58"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227 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59E49A59" w14:textId="77777777" w:rsidR="00D7560A" w:rsidRDefault="00D7560A">
            <w:pPr>
              <w:widowControl/>
              <w:jc w:val="right"/>
              <w:rPr>
                <w:rFonts w:ascii="Times New Roman" w:eastAsia="宋体" w:hAnsi="宋体" w:cs="宋体"/>
                <w:kern w:val="0"/>
                <w:sz w:val="24"/>
              </w:rPr>
            </w:pPr>
          </w:p>
        </w:tc>
      </w:tr>
    </w:tbl>
    <w:p w14:paraId="59E49A5B"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9A5C"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During the six months ended July 29, 2022 and July 30, 2021, sublease income, finance lease costs, and short-term lease costs were immaterial. </w:t>
      </w:r>
    </w:p>
    <w:p w14:paraId="59E49A5D"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9A5E" w14:textId="77777777" w:rsidR="00D7560A" w:rsidRDefault="001E3CAB">
      <w:pPr>
        <w:widowControl/>
        <w:spacing w:after="12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The following table presents supplemental information related to operating leases included in the </w:t>
      </w:r>
      <w:r>
        <w:rPr>
          <w:rFonts w:ascii="Times New Roman" w:eastAsia="宋体" w:hAnsi="Times New Roman" w:cs="Times New Roman"/>
          <w:color w:val="000000"/>
          <w:kern w:val="0"/>
          <w:sz w:val="20"/>
          <w:szCs w:val="20"/>
          <w:lang w:bidi="ar"/>
        </w:rPr>
        <w:t>Condensed Consolidated Statements of Financial Position as of the dates indicated: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9"/>
        <w:gridCol w:w="2264"/>
        <w:gridCol w:w="37"/>
        <w:gridCol w:w="42"/>
        <w:gridCol w:w="2105"/>
        <w:gridCol w:w="36"/>
        <w:gridCol w:w="36"/>
        <w:gridCol w:w="36"/>
        <w:gridCol w:w="36"/>
        <w:gridCol w:w="121"/>
        <w:gridCol w:w="1377"/>
        <w:gridCol w:w="187"/>
        <w:gridCol w:w="36"/>
        <w:gridCol w:w="36"/>
        <w:gridCol w:w="36"/>
        <w:gridCol w:w="121"/>
        <w:gridCol w:w="1378"/>
        <w:gridCol w:w="187"/>
        <w:gridCol w:w="36"/>
        <w:gridCol w:w="36"/>
        <w:gridCol w:w="36"/>
        <w:gridCol w:w="36"/>
        <w:gridCol w:w="36"/>
        <w:gridCol w:w="36"/>
      </w:tblGrid>
      <w:tr w:rsidR="00D7560A" w14:paraId="59E49A73" w14:textId="77777777">
        <w:trPr>
          <w:jc w:val="center"/>
        </w:trPr>
        <w:tc>
          <w:tcPr>
            <w:tcW w:w="50" w:type="pct"/>
            <w:tcBorders>
              <w:top w:val="nil"/>
              <w:left w:val="nil"/>
              <w:bottom w:val="nil"/>
              <w:right w:val="nil"/>
            </w:tcBorders>
            <w:shd w:val="clear" w:color="auto" w:fill="auto"/>
            <w:vAlign w:val="bottom"/>
          </w:tcPr>
          <w:p w14:paraId="59E49A5F" w14:textId="77777777" w:rsidR="00D7560A" w:rsidRDefault="00D7560A">
            <w:pPr>
              <w:widowControl/>
              <w:jc w:val="left"/>
              <w:rPr>
                <w:rFonts w:ascii="Times New Roman" w:eastAsia="宋体" w:hAnsi="宋体" w:cs="宋体"/>
                <w:kern w:val="0"/>
                <w:sz w:val="24"/>
              </w:rPr>
            </w:pPr>
          </w:p>
        </w:tc>
        <w:tc>
          <w:tcPr>
            <w:tcW w:w="1500" w:type="pct"/>
            <w:tcBorders>
              <w:top w:val="nil"/>
              <w:left w:val="nil"/>
              <w:bottom w:val="nil"/>
              <w:right w:val="nil"/>
            </w:tcBorders>
            <w:shd w:val="clear" w:color="auto" w:fill="auto"/>
            <w:vAlign w:val="bottom"/>
          </w:tcPr>
          <w:p w14:paraId="59E49A60"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A61"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9A62" w14:textId="77777777" w:rsidR="00D7560A" w:rsidRDefault="00D7560A">
            <w:pPr>
              <w:widowControl/>
              <w:jc w:val="left"/>
              <w:rPr>
                <w:rFonts w:ascii="Times New Roman" w:eastAsia="宋体" w:hAnsi="宋体" w:cs="宋体"/>
                <w:kern w:val="0"/>
                <w:sz w:val="24"/>
              </w:rPr>
            </w:pPr>
          </w:p>
        </w:tc>
        <w:tc>
          <w:tcPr>
            <w:tcW w:w="1398" w:type="pct"/>
            <w:tcBorders>
              <w:top w:val="nil"/>
              <w:left w:val="nil"/>
              <w:bottom w:val="nil"/>
              <w:right w:val="nil"/>
            </w:tcBorders>
            <w:shd w:val="clear" w:color="auto" w:fill="auto"/>
            <w:vAlign w:val="bottom"/>
          </w:tcPr>
          <w:p w14:paraId="59E49A63"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A64"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A65" w14:textId="77777777" w:rsidR="00D7560A" w:rsidRDefault="00D7560A">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59E49A66"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A67"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9A68" w14:textId="77777777" w:rsidR="00D7560A" w:rsidRDefault="00D7560A">
            <w:pPr>
              <w:widowControl/>
              <w:jc w:val="left"/>
              <w:rPr>
                <w:rFonts w:ascii="Times New Roman" w:eastAsia="宋体" w:hAnsi="宋体" w:cs="宋体"/>
                <w:kern w:val="0"/>
                <w:sz w:val="24"/>
              </w:rPr>
            </w:pPr>
          </w:p>
        </w:tc>
        <w:tc>
          <w:tcPr>
            <w:tcW w:w="911" w:type="pct"/>
            <w:tcBorders>
              <w:top w:val="nil"/>
              <w:left w:val="nil"/>
              <w:bottom w:val="nil"/>
              <w:right w:val="nil"/>
            </w:tcBorders>
            <w:shd w:val="clear" w:color="auto" w:fill="auto"/>
            <w:vAlign w:val="bottom"/>
          </w:tcPr>
          <w:p w14:paraId="59E49A69"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A6A"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A6B" w14:textId="77777777" w:rsidR="00D7560A" w:rsidRDefault="00D7560A">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59E49A6C"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A6D"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9A6E" w14:textId="77777777" w:rsidR="00D7560A" w:rsidRDefault="00D7560A">
            <w:pPr>
              <w:widowControl/>
              <w:jc w:val="left"/>
              <w:rPr>
                <w:rFonts w:ascii="Times New Roman" w:eastAsia="宋体" w:hAnsi="宋体" w:cs="宋体"/>
                <w:kern w:val="0"/>
                <w:sz w:val="24"/>
              </w:rPr>
            </w:pPr>
          </w:p>
        </w:tc>
        <w:tc>
          <w:tcPr>
            <w:tcW w:w="911" w:type="pct"/>
            <w:tcBorders>
              <w:top w:val="nil"/>
              <w:left w:val="nil"/>
              <w:bottom w:val="nil"/>
              <w:right w:val="nil"/>
            </w:tcBorders>
            <w:shd w:val="clear" w:color="auto" w:fill="auto"/>
            <w:vAlign w:val="bottom"/>
          </w:tcPr>
          <w:p w14:paraId="59E49A6F"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A70"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59E49A71"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9A72" w14:textId="77777777" w:rsidR="00D7560A" w:rsidRDefault="00D7560A">
            <w:pPr>
              <w:widowControl/>
              <w:jc w:val="left"/>
              <w:rPr>
                <w:rFonts w:ascii="Times New Roman" w:eastAsia="宋体" w:hAnsi="宋体" w:cs="宋体"/>
                <w:vanish/>
                <w:kern w:val="0"/>
                <w:sz w:val="24"/>
              </w:rPr>
            </w:pPr>
          </w:p>
        </w:tc>
      </w:tr>
      <w:tr w:rsidR="00D7560A" w14:paraId="59E49A7C"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9A74"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9E49A75"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Classification</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9A76"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9E49A77"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29, 2022</w:t>
            </w: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59E49A78"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auto"/>
            <w:tcMar>
              <w:top w:w="40" w:type="dxa"/>
              <w:left w:w="20" w:type="dxa"/>
              <w:bottom w:w="40" w:type="dxa"/>
              <w:right w:w="20" w:type="dxa"/>
            </w:tcMar>
            <w:vAlign w:val="bottom"/>
          </w:tcPr>
          <w:p w14:paraId="59E49A79"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January 28, 2022</w:t>
            </w:r>
          </w:p>
        </w:tc>
        <w:tc>
          <w:tcPr>
            <w:tcW w:w="0" w:type="auto"/>
            <w:gridSpan w:val="3"/>
            <w:tcBorders>
              <w:top w:val="nil"/>
              <w:left w:val="nil"/>
              <w:bottom w:val="nil"/>
              <w:right w:val="nil"/>
            </w:tcBorders>
            <w:shd w:val="clear" w:color="auto" w:fill="auto"/>
            <w:vAlign w:val="bottom"/>
          </w:tcPr>
          <w:p w14:paraId="59E49A7A"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9A7B" w14:textId="77777777" w:rsidR="00D7560A" w:rsidRDefault="00D7560A">
            <w:pPr>
              <w:widowControl/>
              <w:jc w:val="left"/>
              <w:rPr>
                <w:rFonts w:ascii="Times New Roman" w:eastAsia="宋体" w:hAnsi="宋体" w:cs="宋体"/>
                <w:vanish/>
                <w:kern w:val="0"/>
                <w:sz w:val="24"/>
              </w:rPr>
            </w:pPr>
          </w:p>
        </w:tc>
      </w:tr>
      <w:tr w:rsidR="00D7560A" w14:paraId="59E49A87"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9A7D"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59E49A7E"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9A7F" w14:textId="77777777" w:rsidR="00D7560A" w:rsidRDefault="00D7560A">
            <w:pPr>
              <w:widowControl/>
              <w:jc w:val="left"/>
              <w:rPr>
                <w:rFonts w:ascii="Times New Roman" w:eastAsia="宋体" w:hAnsi="宋体" w:cs="宋体"/>
                <w:kern w:val="0"/>
                <w:sz w:val="24"/>
              </w:rPr>
            </w:pPr>
          </w:p>
        </w:tc>
        <w:tc>
          <w:tcPr>
            <w:tcW w:w="0" w:type="auto"/>
            <w:gridSpan w:val="9"/>
            <w:tcBorders>
              <w:top w:val="single" w:sz="8" w:space="0" w:color="000000"/>
              <w:left w:val="nil"/>
              <w:bottom w:val="nil"/>
              <w:right w:val="nil"/>
            </w:tcBorders>
            <w:shd w:val="clear" w:color="auto" w:fill="auto"/>
            <w:tcMar>
              <w:top w:w="40" w:type="dxa"/>
              <w:left w:w="20" w:type="dxa"/>
              <w:bottom w:w="40" w:type="dxa"/>
              <w:right w:w="20" w:type="dxa"/>
            </w:tcMar>
            <w:vAlign w:val="bottom"/>
          </w:tcPr>
          <w:p w14:paraId="59E49A80"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(in millions, except for term and discount rate)</w:t>
            </w:r>
          </w:p>
        </w:tc>
        <w:tc>
          <w:tcPr>
            <w:tcW w:w="0" w:type="auto"/>
            <w:tcBorders>
              <w:top w:val="nil"/>
              <w:left w:val="nil"/>
              <w:bottom w:val="nil"/>
              <w:right w:val="nil"/>
            </w:tcBorders>
            <w:shd w:val="clear" w:color="auto" w:fill="auto"/>
            <w:vAlign w:val="bottom"/>
          </w:tcPr>
          <w:p w14:paraId="59E49A81"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9A82"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9A83"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9A84"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9A85"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9A86" w14:textId="77777777" w:rsidR="00D7560A" w:rsidRDefault="00D7560A">
            <w:pPr>
              <w:widowControl/>
              <w:jc w:val="left"/>
              <w:rPr>
                <w:rFonts w:ascii="Times New Roman" w:eastAsia="宋体" w:hAnsi="宋体" w:cs="宋体"/>
                <w:kern w:val="0"/>
                <w:sz w:val="24"/>
              </w:rPr>
            </w:pPr>
          </w:p>
        </w:tc>
      </w:tr>
      <w:tr w:rsidR="00D7560A" w14:paraId="59E49A92"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9E49A88"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Operating lease right-of-use assets</w:t>
            </w: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9E49A89"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Other </w:t>
            </w:r>
            <w:r>
              <w:rPr>
                <w:rFonts w:ascii="Times New Roman" w:eastAsia="宋体" w:hAnsi="Times New Roman" w:cs="Times New Roman"/>
                <w:color w:val="000000"/>
                <w:kern w:val="0"/>
                <w:sz w:val="20"/>
                <w:szCs w:val="20"/>
                <w:lang w:bidi="ar"/>
              </w:rPr>
              <w:t>non-current assets</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A8A"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9E49A8B"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2"/>
            <w:tcBorders>
              <w:top w:val="nil"/>
              <w:left w:val="nil"/>
              <w:bottom w:val="nil"/>
              <w:right w:val="nil"/>
            </w:tcBorders>
            <w:shd w:val="clear" w:color="auto" w:fill="CCEEFF"/>
            <w:tcMar>
              <w:top w:w="40" w:type="dxa"/>
              <w:left w:w="0" w:type="dxa"/>
              <w:bottom w:w="40" w:type="dxa"/>
              <w:right w:w="140" w:type="dxa"/>
            </w:tcMar>
            <w:vAlign w:val="bottom"/>
          </w:tcPr>
          <w:p w14:paraId="59E49A8C"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784</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A8D"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9E49A8E"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2"/>
            <w:tcBorders>
              <w:top w:val="nil"/>
              <w:left w:val="nil"/>
              <w:bottom w:val="nil"/>
              <w:right w:val="nil"/>
            </w:tcBorders>
            <w:shd w:val="clear" w:color="auto" w:fill="CCEEFF"/>
            <w:tcMar>
              <w:top w:w="40" w:type="dxa"/>
              <w:left w:w="0" w:type="dxa"/>
              <w:bottom w:w="40" w:type="dxa"/>
              <w:right w:w="140" w:type="dxa"/>
            </w:tcMar>
            <w:vAlign w:val="bottom"/>
          </w:tcPr>
          <w:p w14:paraId="59E49A8F"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871</w:t>
            </w:r>
          </w:p>
        </w:tc>
        <w:tc>
          <w:tcPr>
            <w:tcW w:w="0" w:type="auto"/>
            <w:gridSpan w:val="3"/>
            <w:tcBorders>
              <w:top w:val="nil"/>
              <w:left w:val="nil"/>
              <w:bottom w:val="nil"/>
              <w:right w:val="nil"/>
            </w:tcBorders>
            <w:shd w:val="clear" w:color="auto" w:fill="auto"/>
            <w:vAlign w:val="bottom"/>
          </w:tcPr>
          <w:p w14:paraId="59E49A90"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9A91" w14:textId="77777777" w:rsidR="00D7560A" w:rsidRDefault="00D7560A">
            <w:pPr>
              <w:widowControl/>
              <w:jc w:val="left"/>
              <w:rPr>
                <w:rFonts w:ascii="Times New Roman" w:eastAsia="宋体" w:hAnsi="宋体" w:cs="宋体"/>
                <w:vanish/>
                <w:kern w:val="0"/>
                <w:sz w:val="24"/>
              </w:rPr>
            </w:pPr>
          </w:p>
        </w:tc>
      </w:tr>
      <w:tr w:rsidR="00D7560A" w14:paraId="59E49A9B" w14:textId="77777777">
        <w:trPr>
          <w:trHeight w:val="300"/>
          <w:jc w:val="center"/>
        </w:trPr>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9A93"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9A94"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9A95"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9A96"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9A97"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9A98"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59E49A99"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9A9A" w14:textId="77777777" w:rsidR="00D7560A" w:rsidRDefault="00D7560A">
            <w:pPr>
              <w:widowControl/>
              <w:jc w:val="left"/>
              <w:rPr>
                <w:rFonts w:ascii="Times New Roman" w:eastAsia="宋体" w:hAnsi="宋体" w:cs="宋体"/>
                <w:vanish/>
                <w:kern w:val="0"/>
                <w:sz w:val="24"/>
              </w:rPr>
            </w:pPr>
          </w:p>
        </w:tc>
      </w:tr>
      <w:tr w:rsidR="00D7560A" w14:paraId="59E49AA6"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9E49A9C"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Current operating lease liabilities</w:t>
            </w: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9E49A9D"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Accrued and other current liabilities</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A9E"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9E49A9F"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2"/>
            <w:tcBorders>
              <w:top w:val="nil"/>
              <w:left w:val="nil"/>
              <w:bottom w:val="nil"/>
              <w:right w:val="nil"/>
            </w:tcBorders>
            <w:shd w:val="clear" w:color="auto" w:fill="CCEEFF"/>
            <w:tcMar>
              <w:top w:w="40" w:type="dxa"/>
              <w:left w:w="0" w:type="dxa"/>
              <w:bottom w:w="40" w:type="dxa"/>
              <w:right w:w="140" w:type="dxa"/>
            </w:tcMar>
            <w:vAlign w:val="bottom"/>
          </w:tcPr>
          <w:p w14:paraId="59E49AA0"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263</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AA1"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9E49AA2"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2"/>
            <w:tcBorders>
              <w:top w:val="nil"/>
              <w:left w:val="nil"/>
              <w:bottom w:val="nil"/>
              <w:right w:val="nil"/>
            </w:tcBorders>
            <w:shd w:val="clear" w:color="auto" w:fill="CCEEFF"/>
            <w:tcMar>
              <w:top w:w="40" w:type="dxa"/>
              <w:left w:w="0" w:type="dxa"/>
              <w:bottom w:w="40" w:type="dxa"/>
              <w:right w:w="140" w:type="dxa"/>
            </w:tcMar>
            <w:vAlign w:val="bottom"/>
          </w:tcPr>
          <w:p w14:paraId="59E49AA3"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287</w:t>
            </w:r>
          </w:p>
        </w:tc>
        <w:tc>
          <w:tcPr>
            <w:tcW w:w="0" w:type="auto"/>
            <w:gridSpan w:val="3"/>
            <w:tcBorders>
              <w:top w:val="nil"/>
              <w:left w:val="nil"/>
              <w:bottom w:val="nil"/>
              <w:right w:val="nil"/>
            </w:tcBorders>
            <w:shd w:val="clear" w:color="auto" w:fill="auto"/>
            <w:vAlign w:val="bottom"/>
          </w:tcPr>
          <w:p w14:paraId="59E49AA4"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9AA5" w14:textId="77777777" w:rsidR="00D7560A" w:rsidRDefault="00D7560A">
            <w:pPr>
              <w:widowControl/>
              <w:jc w:val="left"/>
              <w:rPr>
                <w:rFonts w:ascii="Times New Roman" w:eastAsia="宋体" w:hAnsi="宋体" w:cs="宋体"/>
                <w:vanish/>
                <w:kern w:val="0"/>
                <w:sz w:val="24"/>
              </w:rPr>
            </w:pPr>
          </w:p>
        </w:tc>
      </w:tr>
      <w:tr w:rsidR="00D7560A" w14:paraId="59E49AAF"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59E49AA7"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Non-current operating lease liabilities</w:t>
            </w: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59E49AA8"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Other non-current liabilities</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9AA9"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140" w:type="dxa"/>
            </w:tcMar>
            <w:vAlign w:val="bottom"/>
          </w:tcPr>
          <w:p w14:paraId="59E49AAA"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640</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9AAB"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140" w:type="dxa"/>
            </w:tcMar>
            <w:vAlign w:val="bottom"/>
          </w:tcPr>
          <w:p w14:paraId="59E49AAC"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720</w:t>
            </w:r>
          </w:p>
        </w:tc>
        <w:tc>
          <w:tcPr>
            <w:tcW w:w="0" w:type="auto"/>
            <w:gridSpan w:val="3"/>
            <w:tcBorders>
              <w:top w:val="nil"/>
              <w:left w:val="nil"/>
              <w:bottom w:val="nil"/>
              <w:right w:val="nil"/>
            </w:tcBorders>
            <w:shd w:val="clear" w:color="auto" w:fill="auto"/>
            <w:vAlign w:val="bottom"/>
          </w:tcPr>
          <w:p w14:paraId="59E49AAD"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9AAE" w14:textId="77777777" w:rsidR="00D7560A" w:rsidRDefault="00D7560A">
            <w:pPr>
              <w:widowControl/>
              <w:jc w:val="left"/>
              <w:rPr>
                <w:rFonts w:ascii="Times New Roman" w:eastAsia="宋体" w:hAnsi="宋体" w:cs="宋体"/>
                <w:vanish/>
                <w:kern w:val="0"/>
                <w:sz w:val="24"/>
              </w:rPr>
            </w:pPr>
          </w:p>
        </w:tc>
      </w:tr>
      <w:tr w:rsidR="00D7560A" w14:paraId="59E49ABA" w14:textId="77777777">
        <w:trPr>
          <w:jc w:val="center"/>
        </w:trPr>
        <w:tc>
          <w:tcPr>
            <w:tcW w:w="0" w:type="auto"/>
            <w:gridSpan w:val="3"/>
            <w:tcBorders>
              <w:top w:val="nil"/>
              <w:left w:val="nil"/>
              <w:bottom w:val="nil"/>
              <w:right w:val="nil"/>
            </w:tcBorders>
            <w:shd w:val="clear" w:color="auto" w:fill="CCEEFF"/>
            <w:tcMar>
              <w:top w:w="40" w:type="dxa"/>
              <w:left w:w="155" w:type="dxa"/>
              <w:bottom w:w="40" w:type="dxa"/>
              <w:right w:w="20" w:type="dxa"/>
            </w:tcMar>
            <w:vAlign w:val="bottom"/>
          </w:tcPr>
          <w:p w14:paraId="59E49AB0"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Total operating lease </w:t>
            </w:r>
            <w:r>
              <w:rPr>
                <w:rFonts w:ascii="Times New Roman" w:eastAsia="宋体" w:hAnsi="Times New Roman" w:cs="Times New Roman"/>
                <w:color w:val="000000"/>
                <w:kern w:val="0"/>
                <w:sz w:val="20"/>
                <w:szCs w:val="20"/>
                <w:lang w:bidi="ar"/>
              </w:rPr>
              <w:t>liabilities</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AB1"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AB2"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59E49AB3"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2"/>
            <w:tcBorders>
              <w:top w:val="single" w:sz="8" w:space="0" w:color="000000"/>
              <w:left w:val="nil"/>
              <w:bottom w:val="double" w:sz="2" w:space="0" w:color="000000"/>
              <w:right w:val="nil"/>
            </w:tcBorders>
            <w:shd w:val="clear" w:color="auto" w:fill="CCEEFF"/>
            <w:tcMar>
              <w:top w:w="40" w:type="dxa"/>
              <w:left w:w="0" w:type="dxa"/>
              <w:bottom w:w="40" w:type="dxa"/>
              <w:right w:w="140" w:type="dxa"/>
            </w:tcMar>
            <w:vAlign w:val="bottom"/>
          </w:tcPr>
          <w:p w14:paraId="59E49AB4"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903</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AB5"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59E49AB6"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2"/>
            <w:tcBorders>
              <w:top w:val="single" w:sz="8" w:space="0" w:color="000000"/>
              <w:left w:val="nil"/>
              <w:bottom w:val="double" w:sz="2" w:space="0" w:color="000000"/>
              <w:right w:val="nil"/>
            </w:tcBorders>
            <w:shd w:val="clear" w:color="auto" w:fill="CCEEFF"/>
            <w:tcMar>
              <w:top w:w="40" w:type="dxa"/>
              <w:left w:w="0" w:type="dxa"/>
              <w:bottom w:w="40" w:type="dxa"/>
              <w:right w:w="140" w:type="dxa"/>
            </w:tcMar>
            <w:vAlign w:val="bottom"/>
          </w:tcPr>
          <w:p w14:paraId="59E49AB7"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1,007</w:t>
            </w:r>
          </w:p>
        </w:tc>
        <w:tc>
          <w:tcPr>
            <w:tcW w:w="0" w:type="auto"/>
            <w:gridSpan w:val="3"/>
            <w:tcBorders>
              <w:top w:val="nil"/>
              <w:left w:val="nil"/>
              <w:bottom w:val="nil"/>
              <w:right w:val="nil"/>
            </w:tcBorders>
            <w:shd w:val="clear" w:color="auto" w:fill="auto"/>
            <w:vAlign w:val="bottom"/>
          </w:tcPr>
          <w:p w14:paraId="59E49AB8"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9AB9" w14:textId="77777777" w:rsidR="00D7560A" w:rsidRDefault="00D7560A">
            <w:pPr>
              <w:widowControl/>
              <w:jc w:val="left"/>
              <w:rPr>
                <w:rFonts w:ascii="Times New Roman" w:eastAsia="宋体" w:hAnsi="宋体" w:cs="宋体"/>
                <w:vanish/>
                <w:kern w:val="0"/>
                <w:sz w:val="24"/>
              </w:rPr>
            </w:pPr>
          </w:p>
        </w:tc>
      </w:tr>
      <w:tr w:rsidR="00D7560A" w14:paraId="59E49AC3" w14:textId="77777777">
        <w:trPr>
          <w:trHeight w:val="300"/>
          <w:jc w:val="center"/>
        </w:trPr>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9ABB"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9ABC"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9ABD" w14:textId="77777777" w:rsidR="00D7560A" w:rsidRDefault="00D7560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59E49ABE"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9ABF" w14:textId="77777777" w:rsidR="00D7560A" w:rsidRDefault="00D7560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59E49AC0"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59E49AC1"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9AC2" w14:textId="77777777" w:rsidR="00D7560A" w:rsidRDefault="00D7560A">
            <w:pPr>
              <w:widowControl/>
              <w:jc w:val="left"/>
              <w:rPr>
                <w:rFonts w:ascii="Times New Roman" w:eastAsia="宋体" w:hAnsi="宋体" w:cs="宋体"/>
                <w:vanish/>
                <w:kern w:val="0"/>
                <w:sz w:val="24"/>
              </w:rPr>
            </w:pPr>
          </w:p>
        </w:tc>
      </w:tr>
      <w:tr w:rsidR="00D7560A" w14:paraId="59E49ACC"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9E49AC4"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Weighted-average remaining lease term (in years)</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AC5"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AC6"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9E49AC7"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5.28</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AC8"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9E49AC9"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5.51</w:t>
            </w:r>
          </w:p>
        </w:tc>
        <w:tc>
          <w:tcPr>
            <w:tcW w:w="0" w:type="auto"/>
            <w:gridSpan w:val="3"/>
            <w:tcBorders>
              <w:top w:val="nil"/>
              <w:left w:val="nil"/>
              <w:bottom w:val="nil"/>
              <w:right w:val="nil"/>
            </w:tcBorders>
            <w:shd w:val="clear" w:color="auto" w:fill="auto"/>
            <w:vAlign w:val="bottom"/>
          </w:tcPr>
          <w:p w14:paraId="59E49ACA"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9ACB" w14:textId="77777777" w:rsidR="00D7560A" w:rsidRDefault="00D7560A">
            <w:pPr>
              <w:widowControl/>
              <w:jc w:val="left"/>
              <w:rPr>
                <w:rFonts w:ascii="Times New Roman" w:eastAsia="宋体" w:hAnsi="宋体" w:cs="宋体"/>
                <w:vanish/>
                <w:kern w:val="0"/>
                <w:sz w:val="24"/>
              </w:rPr>
            </w:pPr>
          </w:p>
        </w:tc>
      </w:tr>
      <w:tr w:rsidR="00D7560A" w14:paraId="59E49AD7"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59E49ACD"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Weighted-average discount rate</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9ACE"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9ACF"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9AD0"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3.15 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9AD1"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9AD2"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9AD3"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3.01 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9AD4"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auto"/>
            <w:vAlign w:val="bottom"/>
          </w:tcPr>
          <w:p w14:paraId="59E49AD5"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9AD6" w14:textId="77777777" w:rsidR="00D7560A" w:rsidRDefault="00D7560A">
            <w:pPr>
              <w:widowControl/>
              <w:jc w:val="left"/>
              <w:rPr>
                <w:rFonts w:ascii="Times New Roman" w:eastAsia="宋体" w:hAnsi="宋体" w:cs="宋体"/>
                <w:vanish/>
                <w:kern w:val="0"/>
                <w:sz w:val="24"/>
              </w:rPr>
            </w:pPr>
          </w:p>
        </w:tc>
      </w:tr>
    </w:tbl>
    <w:p w14:paraId="59E49AD8"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9AD9"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9ADA"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28</w:t>
      </w:r>
    </w:p>
    <w:p w14:paraId="59E49ADB"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9ADC" w14:textId="77777777" w:rsidR="00D7560A" w:rsidRDefault="001E3CAB">
      <w:pPr>
        <w:widowControl/>
        <w:jc w:val="center"/>
      </w:pPr>
      <w:r>
        <w:rPr>
          <w:rFonts w:ascii="宋体" w:eastAsia="宋体" w:hAnsi="宋体" w:cs="宋体"/>
          <w:kern w:val="0"/>
          <w:sz w:val="24"/>
        </w:rPr>
        <w:pict w14:anchorId="59E4C7E7">
          <v:rect id="_x0000_i1052" style="width:6in;height:1.5pt" o:hralign="center" o:hrstd="t" o:hr="t" fillcolor="#a0a0a0" stroked="f"/>
        </w:pict>
      </w:r>
    </w:p>
    <w:p w14:paraId="59E49ADD" w14:textId="77777777" w:rsidR="00D7560A" w:rsidRDefault="001E3CAB">
      <w:pPr>
        <w:widowControl/>
        <w:jc w:val="left"/>
        <w:rPr>
          <w:rFonts w:ascii="宋体" w:eastAsia="宋体" w:hAnsi="宋体" w:cs="宋体"/>
          <w:kern w:val="0"/>
          <w:sz w:val="24"/>
        </w:rPr>
      </w:pPr>
      <w:hyperlink w:anchor="if933dd1d5d004d2495dd7029e3ecad00_13" w:history="1">
        <w:r>
          <w:rPr>
            <w:rStyle w:val="a4"/>
            <w:rFonts w:ascii="Times New Roman" w:eastAsia="宋体" w:hAnsi="Times New Roman" w:cs="Times New Roman"/>
            <w:sz w:val="20"/>
            <w:szCs w:val="20"/>
          </w:rPr>
          <w:t>Table of Contents</w:t>
        </w:r>
      </w:hyperlink>
    </w:p>
    <w:p w14:paraId="59E49ADE"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DELL TECHNOLOGIES INC.</w:t>
      </w:r>
    </w:p>
    <w:p w14:paraId="59E49ADF"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NOTES TO THE CONDENSED CONSOLIDATED FINANCIAL STATEMENTS (Continued)</w:t>
      </w:r>
    </w:p>
    <w:p w14:paraId="59E49AE0"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(unaudited)</w:t>
      </w:r>
    </w:p>
    <w:p w14:paraId="59E49AE1"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9AE2" w14:textId="77777777" w:rsidR="00D7560A" w:rsidRDefault="001E3CAB">
      <w:pPr>
        <w:widowControl/>
        <w:spacing w:after="12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The following table presents supplemental cash flow </w:t>
      </w:r>
      <w:r>
        <w:rPr>
          <w:rFonts w:ascii="Times New Roman" w:eastAsia="宋体" w:hAnsi="Times New Roman" w:cs="Times New Roman"/>
          <w:color w:val="000000"/>
          <w:kern w:val="0"/>
          <w:sz w:val="20"/>
          <w:szCs w:val="20"/>
          <w:lang w:bidi="ar"/>
        </w:rPr>
        <w:t>information related to leases for the periods indicated:</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7"/>
        <w:gridCol w:w="4893"/>
        <w:gridCol w:w="36"/>
        <w:gridCol w:w="120"/>
        <w:gridCol w:w="1475"/>
        <w:gridCol w:w="36"/>
        <w:gridCol w:w="36"/>
        <w:gridCol w:w="36"/>
        <w:gridCol w:w="36"/>
        <w:gridCol w:w="120"/>
        <w:gridCol w:w="1475"/>
        <w:gridCol w:w="36"/>
      </w:tblGrid>
      <w:tr w:rsidR="00D7560A" w14:paraId="59E49AEF" w14:textId="77777777">
        <w:tc>
          <w:tcPr>
            <w:tcW w:w="50" w:type="pct"/>
            <w:tcBorders>
              <w:top w:val="nil"/>
              <w:left w:val="nil"/>
              <w:bottom w:val="nil"/>
              <w:right w:val="nil"/>
            </w:tcBorders>
            <w:shd w:val="clear" w:color="auto" w:fill="auto"/>
            <w:vAlign w:val="bottom"/>
          </w:tcPr>
          <w:p w14:paraId="59E49AE3" w14:textId="77777777" w:rsidR="00D7560A" w:rsidRDefault="00D7560A">
            <w:pPr>
              <w:widowControl/>
              <w:jc w:val="left"/>
              <w:rPr>
                <w:rFonts w:ascii="Times New Roman" w:eastAsia="宋体" w:hAnsi="宋体" w:cs="宋体"/>
                <w:kern w:val="0"/>
                <w:sz w:val="24"/>
              </w:rPr>
            </w:pPr>
          </w:p>
        </w:tc>
        <w:tc>
          <w:tcPr>
            <w:tcW w:w="2971" w:type="pct"/>
            <w:tcBorders>
              <w:top w:val="nil"/>
              <w:left w:val="nil"/>
              <w:bottom w:val="nil"/>
              <w:right w:val="nil"/>
            </w:tcBorders>
            <w:shd w:val="clear" w:color="auto" w:fill="auto"/>
            <w:vAlign w:val="bottom"/>
          </w:tcPr>
          <w:p w14:paraId="59E49AE4"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AE5"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9AE6" w14:textId="77777777" w:rsidR="00D7560A" w:rsidRDefault="00D7560A">
            <w:pPr>
              <w:widowControl/>
              <w:jc w:val="left"/>
              <w:rPr>
                <w:rFonts w:ascii="Times New Roman" w:eastAsia="宋体" w:hAnsi="宋体" w:cs="宋体"/>
                <w:kern w:val="0"/>
                <w:sz w:val="24"/>
              </w:rPr>
            </w:pPr>
          </w:p>
        </w:tc>
        <w:tc>
          <w:tcPr>
            <w:tcW w:w="917" w:type="pct"/>
            <w:tcBorders>
              <w:top w:val="nil"/>
              <w:left w:val="nil"/>
              <w:bottom w:val="nil"/>
              <w:right w:val="nil"/>
            </w:tcBorders>
            <w:shd w:val="clear" w:color="auto" w:fill="auto"/>
            <w:vAlign w:val="bottom"/>
          </w:tcPr>
          <w:p w14:paraId="59E49AE7"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AE8"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AE9" w14:textId="77777777" w:rsidR="00D7560A" w:rsidRDefault="00D7560A">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59E49AEA"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AEB"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9AEC" w14:textId="77777777" w:rsidR="00D7560A" w:rsidRDefault="00D7560A">
            <w:pPr>
              <w:widowControl/>
              <w:jc w:val="left"/>
              <w:rPr>
                <w:rFonts w:ascii="Times New Roman" w:eastAsia="宋体" w:hAnsi="宋体" w:cs="宋体"/>
                <w:kern w:val="0"/>
                <w:sz w:val="24"/>
              </w:rPr>
            </w:pPr>
          </w:p>
        </w:tc>
        <w:tc>
          <w:tcPr>
            <w:tcW w:w="917" w:type="pct"/>
            <w:tcBorders>
              <w:top w:val="nil"/>
              <w:left w:val="nil"/>
              <w:bottom w:val="nil"/>
              <w:right w:val="nil"/>
            </w:tcBorders>
            <w:shd w:val="clear" w:color="auto" w:fill="auto"/>
            <w:vAlign w:val="bottom"/>
          </w:tcPr>
          <w:p w14:paraId="59E49AED"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AEE" w14:textId="77777777" w:rsidR="00D7560A" w:rsidRDefault="00D7560A">
            <w:pPr>
              <w:widowControl/>
              <w:jc w:val="left"/>
              <w:rPr>
                <w:rFonts w:ascii="Times New Roman" w:eastAsia="宋体" w:hAnsi="宋体" w:cs="宋体"/>
                <w:kern w:val="0"/>
                <w:sz w:val="24"/>
              </w:rPr>
            </w:pPr>
          </w:p>
        </w:tc>
      </w:tr>
      <w:tr w:rsidR="00D7560A" w14:paraId="59E49AF2"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9AF0" w14:textId="77777777" w:rsidR="00D7560A" w:rsidRDefault="00D7560A">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59E49AF1"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Six Months Ended</w:t>
            </w:r>
          </w:p>
        </w:tc>
      </w:tr>
      <w:tr w:rsidR="00D7560A" w14:paraId="59E49AF7"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9AF3"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59E49AF4"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29, 2022</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59E49AF5"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59E49AF6"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30, 2021</w:t>
            </w:r>
          </w:p>
        </w:tc>
      </w:tr>
      <w:tr w:rsidR="00D7560A" w14:paraId="59E49AFA"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9AF8" w14:textId="77777777" w:rsidR="00D7560A" w:rsidRDefault="00D7560A">
            <w:pPr>
              <w:widowControl/>
              <w:jc w:val="left"/>
              <w:rPr>
                <w:rFonts w:ascii="Times New Roman" w:eastAsia="宋体" w:hAnsi="宋体" w:cs="宋体"/>
                <w:kern w:val="0"/>
                <w:sz w:val="24"/>
              </w:rPr>
            </w:pPr>
          </w:p>
        </w:tc>
        <w:tc>
          <w:tcPr>
            <w:tcW w:w="0" w:type="auto"/>
            <w:gridSpan w:val="9"/>
            <w:tcBorders>
              <w:top w:val="single" w:sz="8" w:space="0" w:color="000000"/>
              <w:left w:val="nil"/>
              <w:bottom w:val="nil"/>
              <w:right w:val="nil"/>
            </w:tcBorders>
            <w:shd w:val="clear" w:color="auto" w:fill="auto"/>
            <w:tcMar>
              <w:top w:w="40" w:type="dxa"/>
              <w:left w:w="20" w:type="dxa"/>
              <w:bottom w:w="40" w:type="dxa"/>
              <w:right w:w="20" w:type="dxa"/>
            </w:tcMar>
            <w:vAlign w:val="bottom"/>
          </w:tcPr>
          <w:p w14:paraId="59E49AF9"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(in millions)</w:t>
            </w:r>
          </w:p>
        </w:tc>
      </w:tr>
      <w:tr w:rsidR="00D7560A" w14:paraId="59E49B03"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9E49AFB"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Cash paid for amounts included in the measurement of lease liabilities — </w:t>
            </w:r>
            <w:r>
              <w:rPr>
                <w:rFonts w:ascii="Times New Roman" w:eastAsia="宋体" w:hAnsi="Times New Roman" w:cs="Times New Roman"/>
                <w:color w:val="000000"/>
                <w:kern w:val="0"/>
                <w:sz w:val="20"/>
                <w:szCs w:val="20"/>
                <w:lang w:bidi="ar"/>
              </w:rPr>
              <w:br/>
              <w:t>operating cash outflows from operating leases (a)</w:t>
            </w: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9E49AFC"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9E49AFD"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156 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9AFE"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AFF"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9E49B00"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9E49B01"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257 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9B02" w14:textId="77777777" w:rsidR="00D7560A" w:rsidRDefault="00D7560A">
            <w:pPr>
              <w:widowControl/>
              <w:jc w:val="right"/>
              <w:rPr>
                <w:rFonts w:ascii="Times New Roman" w:eastAsia="宋体" w:hAnsi="宋体" w:cs="宋体"/>
                <w:kern w:val="0"/>
                <w:sz w:val="24"/>
              </w:rPr>
            </w:pPr>
          </w:p>
        </w:tc>
      </w:tr>
      <w:tr w:rsidR="00D7560A" w14:paraId="59E49B08" w14:textId="77777777">
        <w:trPr>
          <w:trHeight w:val="30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9B04"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9B05"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9B06"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9B07" w14:textId="77777777" w:rsidR="00D7560A" w:rsidRDefault="00D7560A">
            <w:pPr>
              <w:widowControl/>
              <w:jc w:val="left"/>
              <w:rPr>
                <w:rFonts w:ascii="Times New Roman" w:eastAsia="宋体" w:hAnsi="宋体" w:cs="宋体"/>
                <w:kern w:val="0"/>
                <w:sz w:val="24"/>
              </w:rPr>
            </w:pPr>
          </w:p>
        </w:tc>
      </w:tr>
      <w:tr w:rsidR="00D7560A" w14:paraId="59E49B11" w14:textId="77777777">
        <w:tc>
          <w:tcPr>
            <w:tcW w:w="0" w:type="auto"/>
            <w:gridSpan w:val="3"/>
            <w:tcBorders>
              <w:top w:val="nil"/>
              <w:left w:val="nil"/>
              <w:bottom w:val="nil"/>
              <w:right w:val="nil"/>
            </w:tcBorders>
            <w:shd w:val="clear" w:color="auto" w:fill="CCEEFF"/>
            <w:tcMar>
              <w:top w:w="40" w:type="dxa"/>
              <w:left w:w="35" w:type="dxa"/>
              <w:bottom w:w="40" w:type="dxa"/>
              <w:right w:w="20" w:type="dxa"/>
            </w:tcMar>
            <w:vAlign w:val="bottom"/>
          </w:tcPr>
          <w:p w14:paraId="59E49B09"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Right-of-use assets obtained in exchange for new operating lease liabilities</w:t>
            </w: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9E49B0A"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9E49B0B"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103 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9B0C"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B0D"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9E49B0E"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9E49B0F"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115 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9B10" w14:textId="77777777" w:rsidR="00D7560A" w:rsidRDefault="00D7560A">
            <w:pPr>
              <w:widowControl/>
              <w:jc w:val="right"/>
              <w:rPr>
                <w:rFonts w:ascii="Times New Roman" w:eastAsia="宋体" w:hAnsi="宋体" w:cs="宋体"/>
                <w:kern w:val="0"/>
                <w:sz w:val="24"/>
              </w:rPr>
            </w:pPr>
          </w:p>
        </w:tc>
      </w:tr>
    </w:tbl>
    <w:p w14:paraId="59E49B12"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____________________</w:t>
      </w:r>
    </w:p>
    <w:p w14:paraId="59E49B13"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(a) Cash paid for amounts included in the measurement of lease liabilities - operating cash outflows from operating leases from discontinued operations was $92 million for the six months ended July 30, 2021.</w:t>
      </w:r>
    </w:p>
    <w:p w14:paraId="59E49B14"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9B15" w14:textId="77777777" w:rsidR="00D7560A" w:rsidRDefault="001E3CAB">
      <w:pPr>
        <w:widowControl/>
        <w:spacing w:after="12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The following table presents the future maturity of the Company’s operating lease liabilities under non-cancelable leases and reconciles the undiscounted cash flows for these leases to the lease liability recognized on the Condensed Consolidated Statements</w:t>
      </w:r>
      <w:r>
        <w:rPr>
          <w:rFonts w:ascii="Times New Roman" w:eastAsia="宋体" w:hAnsi="Times New Roman" w:cs="Times New Roman"/>
          <w:color w:val="000000"/>
          <w:kern w:val="0"/>
          <w:sz w:val="20"/>
          <w:szCs w:val="20"/>
          <w:lang w:bidi="ar"/>
        </w:rPr>
        <w:t xml:space="preserve"> of Financial Position as of the date indicated: </w:t>
      </w:r>
    </w:p>
    <w:tbl>
      <w:tblPr>
        <w:tblW w:w="5000" w:type="pct"/>
        <w:jc w:val="center"/>
        <w:tblCellMar>
          <w:top w:w="15" w:type="dxa"/>
          <w:left w:w="15" w:type="dxa"/>
          <w:bottom w:w="15" w:type="dxa"/>
          <w:right w:w="15" w:type="dxa"/>
        </w:tblCellMar>
        <w:tblLook w:val="04A0" w:firstRow="1" w:lastRow="0" w:firstColumn="1" w:lastColumn="0" w:noHBand="0" w:noVBand="1"/>
      </w:tblPr>
      <w:tblGrid>
        <w:gridCol w:w="49"/>
        <w:gridCol w:w="6419"/>
        <w:gridCol w:w="38"/>
        <w:gridCol w:w="121"/>
        <w:gridCol w:w="1456"/>
        <w:gridCol w:w="37"/>
        <w:gridCol w:w="36"/>
        <w:gridCol w:w="36"/>
        <w:gridCol w:w="36"/>
        <w:gridCol w:w="36"/>
        <w:gridCol w:w="36"/>
        <w:gridCol w:w="36"/>
      </w:tblGrid>
      <w:tr w:rsidR="00D7560A" w14:paraId="59E49B1E" w14:textId="77777777">
        <w:trPr>
          <w:jc w:val="center"/>
        </w:trPr>
        <w:tc>
          <w:tcPr>
            <w:tcW w:w="50" w:type="pct"/>
            <w:tcBorders>
              <w:top w:val="nil"/>
              <w:left w:val="nil"/>
              <w:bottom w:val="nil"/>
              <w:right w:val="nil"/>
            </w:tcBorders>
            <w:shd w:val="clear" w:color="auto" w:fill="auto"/>
            <w:vAlign w:val="bottom"/>
          </w:tcPr>
          <w:p w14:paraId="59E49B16" w14:textId="77777777" w:rsidR="00D7560A" w:rsidRDefault="00D7560A">
            <w:pPr>
              <w:widowControl/>
              <w:jc w:val="left"/>
              <w:rPr>
                <w:rFonts w:ascii="Times New Roman" w:eastAsia="宋体" w:hAnsi="宋体" w:cs="宋体"/>
                <w:kern w:val="0"/>
                <w:sz w:val="24"/>
              </w:rPr>
            </w:pPr>
          </w:p>
        </w:tc>
        <w:tc>
          <w:tcPr>
            <w:tcW w:w="3972" w:type="pct"/>
            <w:tcBorders>
              <w:top w:val="nil"/>
              <w:left w:val="nil"/>
              <w:bottom w:val="nil"/>
              <w:right w:val="nil"/>
            </w:tcBorders>
            <w:shd w:val="clear" w:color="auto" w:fill="auto"/>
            <w:vAlign w:val="bottom"/>
          </w:tcPr>
          <w:p w14:paraId="59E49B17"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B18"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9B19" w14:textId="77777777" w:rsidR="00D7560A" w:rsidRDefault="00D7560A">
            <w:pPr>
              <w:widowControl/>
              <w:jc w:val="left"/>
              <w:rPr>
                <w:rFonts w:ascii="Times New Roman" w:eastAsia="宋体" w:hAnsi="宋体" w:cs="宋体"/>
                <w:kern w:val="0"/>
                <w:sz w:val="24"/>
              </w:rPr>
            </w:pPr>
          </w:p>
        </w:tc>
        <w:tc>
          <w:tcPr>
            <w:tcW w:w="917" w:type="pct"/>
            <w:tcBorders>
              <w:top w:val="nil"/>
              <w:left w:val="nil"/>
              <w:bottom w:val="nil"/>
              <w:right w:val="nil"/>
            </w:tcBorders>
            <w:shd w:val="clear" w:color="auto" w:fill="auto"/>
            <w:vAlign w:val="bottom"/>
          </w:tcPr>
          <w:p w14:paraId="59E49B1A"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B1B"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59E49B1C"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9B1D" w14:textId="77777777" w:rsidR="00D7560A" w:rsidRDefault="00D7560A">
            <w:pPr>
              <w:widowControl/>
              <w:jc w:val="left"/>
              <w:rPr>
                <w:rFonts w:ascii="Times New Roman" w:eastAsia="宋体" w:hAnsi="宋体" w:cs="宋体"/>
                <w:vanish/>
                <w:kern w:val="0"/>
                <w:sz w:val="24"/>
              </w:rPr>
            </w:pPr>
          </w:p>
        </w:tc>
      </w:tr>
      <w:tr w:rsidR="00D7560A" w14:paraId="59E49B23"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9B1F"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9E49B20"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29, 2022</w:t>
            </w:r>
          </w:p>
        </w:tc>
        <w:tc>
          <w:tcPr>
            <w:tcW w:w="0" w:type="auto"/>
            <w:gridSpan w:val="3"/>
            <w:tcBorders>
              <w:top w:val="nil"/>
              <w:left w:val="nil"/>
              <w:bottom w:val="nil"/>
              <w:right w:val="nil"/>
            </w:tcBorders>
            <w:shd w:val="clear" w:color="auto" w:fill="auto"/>
            <w:vAlign w:val="bottom"/>
          </w:tcPr>
          <w:p w14:paraId="59E49B21"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9B22" w14:textId="77777777" w:rsidR="00D7560A" w:rsidRDefault="00D7560A">
            <w:pPr>
              <w:widowControl/>
              <w:jc w:val="left"/>
              <w:rPr>
                <w:rFonts w:ascii="Times New Roman" w:eastAsia="宋体" w:hAnsi="宋体" w:cs="宋体"/>
                <w:vanish/>
                <w:kern w:val="0"/>
                <w:sz w:val="24"/>
              </w:rPr>
            </w:pPr>
          </w:p>
        </w:tc>
      </w:tr>
      <w:tr w:rsidR="00D7560A" w14:paraId="59E49B2C"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9B24"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59E49B25"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(in millions)</w:t>
            </w:r>
          </w:p>
        </w:tc>
        <w:tc>
          <w:tcPr>
            <w:tcW w:w="0" w:type="auto"/>
            <w:tcBorders>
              <w:top w:val="nil"/>
              <w:left w:val="nil"/>
              <w:bottom w:val="nil"/>
              <w:right w:val="nil"/>
            </w:tcBorders>
            <w:shd w:val="clear" w:color="auto" w:fill="auto"/>
            <w:vAlign w:val="bottom"/>
          </w:tcPr>
          <w:p w14:paraId="59E49B26"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9B27"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9B28"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9B29"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9B2A"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9B2B" w14:textId="77777777" w:rsidR="00D7560A" w:rsidRDefault="00D7560A">
            <w:pPr>
              <w:widowControl/>
              <w:jc w:val="left"/>
              <w:rPr>
                <w:rFonts w:ascii="Times New Roman" w:eastAsia="宋体" w:hAnsi="宋体" w:cs="宋体"/>
                <w:kern w:val="0"/>
                <w:sz w:val="24"/>
              </w:rPr>
            </w:pPr>
          </w:p>
        </w:tc>
      </w:tr>
      <w:tr w:rsidR="00D7560A" w14:paraId="59E49B33"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9E49B2D"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Fiscal 2023 (remaining six months)</w:t>
            </w: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9E49B2E"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9E49B2F"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133 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9B30"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59E49B31"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9B32" w14:textId="77777777" w:rsidR="00D7560A" w:rsidRDefault="00D7560A">
            <w:pPr>
              <w:widowControl/>
              <w:jc w:val="left"/>
              <w:rPr>
                <w:rFonts w:ascii="Times New Roman" w:eastAsia="宋体" w:hAnsi="宋体" w:cs="宋体"/>
                <w:vanish/>
                <w:kern w:val="0"/>
                <w:sz w:val="24"/>
              </w:rPr>
            </w:pPr>
          </w:p>
        </w:tc>
      </w:tr>
      <w:tr w:rsidR="00D7560A" w14:paraId="59E49B39"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59E49B34"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Fiscal 2024</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9B35"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233 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9B36"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59E49B37"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9B38" w14:textId="77777777" w:rsidR="00D7560A" w:rsidRDefault="00D7560A">
            <w:pPr>
              <w:widowControl/>
              <w:jc w:val="left"/>
              <w:rPr>
                <w:rFonts w:ascii="Times New Roman" w:eastAsia="宋体" w:hAnsi="宋体" w:cs="宋体"/>
                <w:vanish/>
                <w:kern w:val="0"/>
                <w:sz w:val="24"/>
              </w:rPr>
            </w:pPr>
          </w:p>
        </w:tc>
      </w:tr>
      <w:tr w:rsidR="00D7560A" w14:paraId="59E49B3F"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9E49B3A"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Fiscal 2025</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9B3B"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169 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9B3C"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59E49B3D"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9B3E" w14:textId="77777777" w:rsidR="00D7560A" w:rsidRDefault="00D7560A">
            <w:pPr>
              <w:widowControl/>
              <w:jc w:val="left"/>
              <w:rPr>
                <w:rFonts w:ascii="Times New Roman" w:eastAsia="宋体" w:hAnsi="宋体" w:cs="宋体"/>
                <w:vanish/>
                <w:kern w:val="0"/>
                <w:sz w:val="24"/>
              </w:rPr>
            </w:pPr>
          </w:p>
        </w:tc>
      </w:tr>
      <w:tr w:rsidR="00D7560A" w14:paraId="59E49B45"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59E49B40"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Fiscal 2026</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9B41"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132 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9B42"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59E49B43"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9B44" w14:textId="77777777" w:rsidR="00D7560A" w:rsidRDefault="00D7560A">
            <w:pPr>
              <w:widowControl/>
              <w:jc w:val="left"/>
              <w:rPr>
                <w:rFonts w:ascii="Times New Roman" w:eastAsia="宋体" w:hAnsi="宋体" w:cs="宋体"/>
                <w:vanish/>
                <w:kern w:val="0"/>
                <w:sz w:val="24"/>
              </w:rPr>
            </w:pPr>
          </w:p>
        </w:tc>
      </w:tr>
      <w:tr w:rsidR="00D7560A" w14:paraId="59E49B4B"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9E49B46"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Fiscal 2027</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9B47"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104 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9B48"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59E49B49"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9B4A" w14:textId="77777777" w:rsidR="00D7560A" w:rsidRDefault="00D7560A">
            <w:pPr>
              <w:widowControl/>
              <w:jc w:val="left"/>
              <w:rPr>
                <w:rFonts w:ascii="Times New Roman" w:eastAsia="宋体" w:hAnsi="宋体" w:cs="宋体"/>
                <w:vanish/>
                <w:kern w:val="0"/>
                <w:sz w:val="24"/>
              </w:rPr>
            </w:pPr>
          </w:p>
        </w:tc>
      </w:tr>
      <w:tr w:rsidR="00D7560A" w14:paraId="59E49B51"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59E49B4C"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Thereafter</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9B4D"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209 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9B4E"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59E49B4F"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9B50" w14:textId="77777777" w:rsidR="00D7560A" w:rsidRDefault="00D7560A">
            <w:pPr>
              <w:widowControl/>
              <w:jc w:val="left"/>
              <w:rPr>
                <w:rFonts w:ascii="Times New Roman" w:eastAsia="宋体" w:hAnsi="宋体" w:cs="宋体"/>
                <w:vanish/>
                <w:kern w:val="0"/>
                <w:sz w:val="24"/>
              </w:rPr>
            </w:pPr>
          </w:p>
        </w:tc>
      </w:tr>
      <w:tr w:rsidR="00D7560A" w14:paraId="59E49B57" w14:textId="77777777">
        <w:trPr>
          <w:jc w:val="center"/>
        </w:trPr>
        <w:tc>
          <w:tcPr>
            <w:tcW w:w="0" w:type="auto"/>
            <w:gridSpan w:val="3"/>
            <w:tcBorders>
              <w:top w:val="nil"/>
              <w:left w:val="nil"/>
              <w:bottom w:val="nil"/>
              <w:right w:val="nil"/>
            </w:tcBorders>
            <w:shd w:val="clear" w:color="auto" w:fill="CCEEFF"/>
            <w:tcMar>
              <w:top w:w="40" w:type="dxa"/>
              <w:left w:w="155" w:type="dxa"/>
              <w:bottom w:w="40" w:type="dxa"/>
              <w:right w:w="20" w:type="dxa"/>
            </w:tcMar>
            <w:vAlign w:val="bottom"/>
          </w:tcPr>
          <w:p w14:paraId="59E49B52"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Total lease payments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59E49B53"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980 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59E49B54"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59E49B55"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9B56" w14:textId="77777777" w:rsidR="00D7560A" w:rsidRDefault="00D7560A">
            <w:pPr>
              <w:widowControl/>
              <w:jc w:val="left"/>
              <w:rPr>
                <w:rFonts w:ascii="Times New Roman" w:eastAsia="宋体" w:hAnsi="宋体" w:cs="宋体"/>
                <w:vanish/>
                <w:kern w:val="0"/>
                <w:sz w:val="24"/>
              </w:rPr>
            </w:pPr>
          </w:p>
        </w:tc>
      </w:tr>
      <w:tr w:rsidR="00D7560A" w14:paraId="59E49B5D" w14:textId="77777777">
        <w:trPr>
          <w:jc w:val="center"/>
        </w:trPr>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59E49B58"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Less: Imputed interest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9B59"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(77)</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9B5A"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59E49B5B"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9B5C" w14:textId="77777777" w:rsidR="00D7560A" w:rsidRDefault="00D7560A">
            <w:pPr>
              <w:widowControl/>
              <w:jc w:val="left"/>
              <w:rPr>
                <w:rFonts w:ascii="Times New Roman" w:eastAsia="宋体" w:hAnsi="宋体" w:cs="宋体"/>
                <w:vanish/>
                <w:kern w:val="0"/>
                <w:sz w:val="24"/>
              </w:rPr>
            </w:pPr>
          </w:p>
        </w:tc>
      </w:tr>
      <w:tr w:rsidR="00D7560A" w14:paraId="59E49B64" w14:textId="77777777">
        <w:trPr>
          <w:jc w:val="center"/>
        </w:trPr>
        <w:tc>
          <w:tcPr>
            <w:tcW w:w="0" w:type="auto"/>
            <w:gridSpan w:val="3"/>
            <w:tcBorders>
              <w:top w:val="nil"/>
              <w:left w:val="nil"/>
              <w:bottom w:val="nil"/>
              <w:right w:val="nil"/>
            </w:tcBorders>
            <w:shd w:val="clear" w:color="auto" w:fill="CCEEFF"/>
            <w:tcMar>
              <w:top w:w="40" w:type="dxa"/>
              <w:left w:w="515" w:type="dxa"/>
              <w:bottom w:w="40" w:type="dxa"/>
              <w:right w:w="20" w:type="dxa"/>
            </w:tcMar>
            <w:vAlign w:val="bottom"/>
          </w:tcPr>
          <w:p w14:paraId="59E49B5E"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Total</w:t>
            </w: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59E49B5F"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59E49B60"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903 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59E49B61"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59E49B62"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9B63" w14:textId="77777777" w:rsidR="00D7560A" w:rsidRDefault="00D7560A">
            <w:pPr>
              <w:widowControl/>
              <w:jc w:val="left"/>
              <w:rPr>
                <w:rFonts w:ascii="Times New Roman" w:eastAsia="宋体" w:hAnsi="宋体" w:cs="宋体"/>
                <w:vanish/>
                <w:kern w:val="0"/>
                <w:sz w:val="24"/>
              </w:rPr>
            </w:pPr>
          </w:p>
        </w:tc>
      </w:tr>
      <w:tr w:rsidR="00D7560A" w14:paraId="59E49B6B" w14:textId="77777777">
        <w:trPr>
          <w:jc w:val="center"/>
        </w:trPr>
        <w:tc>
          <w:tcPr>
            <w:tcW w:w="0" w:type="auto"/>
            <w:gridSpan w:val="3"/>
            <w:tcBorders>
              <w:top w:val="nil"/>
              <w:left w:val="nil"/>
              <w:bottom w:val="nil"/>
              <w:right w:val="nil"/>
            </w:tcBorders>
            <w:shd w:val="clear" w:color="auto" w:fill="FFFFFF"/>
            <w:tcMar>
              <w:top w:w="40" w:type="dxa"/>
              <w:left w:w="605" w:type="dxa"/>
              <w:bottom w:w="40" w:type="dxa"/>
              <w:right w:w="20" w:type="dxa"/>
            </w:tcMar>
            <w:vAlign w:val="bottom"/>
          </w:tcPr>
          <w:p w14:paraId="59E49B65"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Current operating lease liabilities</w:t>
            </w:r>
          </w:p>
        </w:tc>
        <w:tc>
          <w:tcPr>
            <w:tcW w:w="0" w:type="auto"/>
            <w:tcBorders>
              <w:top w:val="double" w:sz="2" w:space="0" w:color="000000"/>
              <w:left w:val="nil"/>
              <w:bottom w:val="nil"/>
              <w:right w:val="nil"/>
            </w:tcBorders>
            <w:shd w:val="clear" w:color="auto" w:fill="FFFFFF"/>
            <w:tcMar>
              <w:top w:w="40" w:type="dxa"/>
              <w:left w:w="20" w:type="dxa"/>
              <w:bottom w:w="40" w:type="dxa"/>
              <w:right w:w="0" w:type="dxa"/>
            </w:tcMar>
            <w:vAlign w:val="bottom"/>
          </w:tcPr>
          <w:p w14:paraId="59E49B66"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double" w:sz="2" w:space="0" w:color="000000"/>
              <w:left w:val="nil"/>
              <w:bottom w:val="nil"/>
              <w:right w:val="nil"/>
            </w:tcBorders>
            <w:shd w:val="clear" w:color="auto" w:fill="FFFFFF"/>
            <w:tcMar>
              <w:top w:w="40" w:type="dxa"/>
              <w:left w:w="0" w:type="dxa"/>
              <w:bottom w:w="40" w:type="dxa"/>
              <w:right w:w="0" w:type="dxa"/>
            </w:tcMar>
            <w:vAlign w:val="bottom"/>
          </w:tcPr>
          <w:p w14:paraId="59E49B67"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263 </w:t>
            </w:r>
          </w:p>
        </w:tc>
        <w:tc>
          <w:tcPr>
            <w:tcW w:w="0" w:type="auto"/>
            <w:tcBorders>
              <w:top w:val="double" w:sz="2" w:space="0" w:color="000000"/>
              <w:left w:val="nil"/>
              <w:bottom w:val="nil"/>
              <w:right w:val="nil"/>
            </w:tcBorders>
            <w:shd w:val="clear" w:color="auto" w:fill="FFFFFF"/>
            <w:tcMar>
              <w:top w:w="40" w:type="dxa"/>
              <w:left w:w="0" w:type="dxa"/>
              <w:bottom w:w="40" w:type="dxa"/>
              <w:right w:w="20" w:type="dxa"/>
            </w:tcMar>
            <w:vAlign w:val="bottom"/>
          </w:tcPr>
          <w:p w14:paraId="59E49B68"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59E49B69"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9B6A" w14:textId="77777777" w:rsidR="00D7560A" w:rsidRDefault="00D7560A">
            <w:pPr>
              <w:widowControl/>
              <w:jc w:val="left"/>
              <w:rPr>
                <w:rFonts w:ascii="Times New Roman" w:eastAsia="宋体" w:hAnsi="宋体" w:cs="宋体"/>
                <w:vanish/>
                <w:kern w:val="0"/>
                <w:sz w:val="24"/>
              </w:rPr>
            </w:pPr>
          </w:p>
        </w:tc>
      </w:tr>
      <w:tr w:rsidR="00D7560A" w14:paraId="59E49B72" w14:textId="77777777">
        <w:trPr>
          <w:jc w:val="center"/>
        </w:trPr>
        <w:tc>
          <w:tcPr>
            <w:tcW w:w="0" w:type="auto"/>
            <w:gridSpan w:val="3"/>
            <w:tcBorders>
              <w:top w:val="nil"/>
              <w:left w:val="nil"/>
              <w:bottom w:val="nil"/>
              <w:right w:val="nil"/>
            </w:tcBorders>
            <w:shd w:val="clear" w:color="auto" w:fill="CCEEFF"/>
            <w:tcMar>
              <w:top w:w="40" w:type="dxa"/>
              <w:left w:w="605" w:type="dxa"/>
              <w:bottom w:w="40" w:type="dxa"/>
              <w:right w:w="20" w:type="dxa"/>
            </w:tcMar>
            <w:vAlign w:val="bottom"/>
          </w:tcPr>
          <w:p w14:paraId="59E49B6C"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Non-current operating lease liabilities</w:t>
            </w: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9E49B6D"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9E49B6E"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640 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9B6F"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59E49B70"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9B71" w14:textId="77777777" w:rsidR="00D7560A" w:rsidRDefault="00D7560A">
            <w:pPr>
              <w:widowControl/>
              <w:jc w:val="left"/>
              <w:rPr>
                <w:rFonts w:ascii="Times New Roman" w:eastAsia="宋体" w:hAnsi="宋体" w:cs="宋体"/>
                <w:vanish/>
                <w:kern w:val="0"/>
                <w:sz w:val="24"/>
              </w:rPr>
            </w:pPr>
          </w:p>
        </w:tc>
      </w:tr>
    </w:tbl>
    <w:p w14:paraId="59E49B73"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9B74"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As of July 29, 2022, the Company’s undiscounted operating leases that had </w:t>
      </w:r>
      <w:r>
        <w:rPr>
          <w:rFonts w:ascii="Times New Roman" w:eastAsia="宋体" w:hAnsi="Times New Roman" w:cs="Times New Roman"/>
          <w:color w:val="000000"/>
          <w:kern w:val="0"/>
          <w:sz w:val="20"/>
          <w:szCs w:val="20"/>
          <w:lang w:bidi="ar"/>
        </w:rPr>
        <w:t>not yet commenced were immaterial.</w:t>
      </w:r>
    </w:p>
    <w:p w14:paraId="59E49B75"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9B76"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9B77"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29</w:t>
      </w:r>
    </w:p>
    <w:p w14:paraId="59E49B78"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9B79" w14:textId="77777777" w:rsidR="00D7560A" w:rsidRDefault="001E3CAB">
      <w:pPr>
        <w:widowControl/>
        <w:jc w:val="center"/>
      </w:pPr>
      <w:r>
        <w:rPr>
          <w:rFonts w:ascii="宋体" w:eastAsia="宋体" w:hAnsi="宋体" w:cs="宋体"/>
          <w:kern w:val="0"/>
          <w:sz w:val="24"/>
        </w:rPr>
        <w:pict w14:anchorId="59E4C7E8">
          <v:rect id="_x0000_i1053" style="width:6in;height:1.5pt" o:hralign="center" o:hrstd="t" o:hr="t" fillcolor="#a0a0a0" stroked="f"/>
        </w:pict>
      </w:r>
    </w:p>
    <w:p w14:paraId="59E49B7A" w14:textId="77777777" w:rsidR="00D7560A" w:rsidRDefault="001E3CAB">
      <w:pPr>
        <w:widowControl/>
        <w:jc w:val="left"/>
        <w:rPr>
          <w:rFonts w:ascii="宋体" w:eastAsia="宋体" w:hAnsi="宋体" w:cs="宋体"/>
          <w:kern w:val="0"/>
          <w:sz w:val="24"/>
        </w:rPr>
      </w:pPr>
      <w:hyperlink w:anchor="if933dd1d5d004d2495dd7029e3ecad00_13" w:history="1">
        <w:r>
          <w:rPr>
            <w:rStyle w:val="a4"/>
            <w:rFonts w:ascii="Times New Roman" w:eastAsia="宋体" w:hAnsi="Times New Roman" w:cs="Times New Roman"/>
            <w:sz w:val="20"/>
            <w:szCs w:val="20"/>
          </w:rPr>
          <w:t>Table of Contents</w:t>
        </w:r>
      </w:hyperlink>
    </w:p>
    <w:p w14:paraId="59E49B7B"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DELL TECHNOLOGIES INC.</w:t>
      </w:r>
    </w:p>
    <w:p w14:paraId="59E49B7C"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NOTES TO THE CONDENSED CONSOLIDATED FINANCIAL STATEMENTS (Continued)</w:t>
      </w:r>
    </w:p>
    <w:p w14:paraId="59E49B7D"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(unaudited)</w:t>
      </w:r>
    </w:p>
    <w:p w14:paraId="59E49B7E"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9B7F"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NOTE 7 — DEBT</w:t>
      </w:r>
    </w:p>
    <w:p w14:paraId="59E49B80"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9B81" w14:textId="77777777" w:rsidR="00D7560A" w:rsidRDefault="001E3CAB">
      <w:pPr>
        <w:widowControl/>
        <w:spacing w:after="12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The </w:t>
      </w:r>
      <w:r>
        <w:rPr>
          <w:rFonts w:ascii="Times New Roman" w:eastAsia="宋体" w:hAnsi="Times New Roman" w:cs="Times New Roman"/>
          <w:color w:val="000000"/>
          <w:kern w:val="0"/>
          <w:sz w:val="20"/>
          <w:szCs w:val="20"/>
          <w:lang w:bidi="ar"/>
        </w:rPr>
        <w:t>following table summarizes the Company’s outstanding debt as of the dates indicated:</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42"/>
        <w:gridCol w:w="5399"/>
        <w:gridCol w:w="41"/>
        <w:gridCol w:w="120"/>
        <w:gridCol w:w="1217"/>
        <w:gridCol w:w="36"/>
        <w:gridCol w:w="36"/>
        <w:gridCol w:w="36"/>
        <w:gridCol w:w="36"/>
        <w:gridCol w:w="120"/>
        <w:gridCol w:w="1217"/>
        <w:gridCol w:w="36"/>
      </w:tblGrid>
      <w:tr w:rsidR="00D7560A" w14:paraId="59E49B8E" w14:textId="77777777">
        <w:tc>
          <w:tcPr>
            <w:tcW w:w="50" w:type="pct"/>
            <w:tcBorders>
              <w:top w:val="nil"/>
              <w:left w:val="nil"/>
              <w:bottom w:val="nil"/>
              <w:right w:val="nil"/>
            </w:tcBorders>
            <w:shd w:val="clear" w:color="auto" w:fill="auto"/>
            <w:vAlign w:val="bottom"/>
          </w:tcPr>
          <w:p w14:paraId="59E49B82" w14:textId="77777777" w:rsidR="00D7560A" w:rsidRDefault="00D7560A">
            <w:pPr>
              <w:widowControl/>
              <w:jc w:val="left"/>
              <w:rPr>
                <w:rFonts w:ascii="Times New Roman" w:eastAsia="宋体" w:hAnsi="宋体" w:cs="宋体"/>
                <w:kern w:val="0"/>
                <w:sz w:val="24"/>
              </w:rPr>
            </w:pPr>
          </w:p>
        </w:tc>
        <w:tc>
          <w:tcPr>
            <w:tcW w:w="3278" w:type="pct"/>
            <w:tcBorders>
              <w:top w:val="nil"/>
              <w:left w:val="nil"/>
              <w:bottom w:val="nil"/>
              <w:right w:val="nil"/>
            </w:tcBorders>
            <w:shd w:val="clear" w:color="auto" w:fill="auto"/>
            <w:vAlign w:val="bottom"/>
          </w:tcPr>
          <w:p w14:paraId="59E49B83"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B84"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9B85" w14:textId="77777777" w:rsidR="00D7560A" w:rsidRDefault="00D7560A">
            <w:pPr>
              <w:widowControl/>
              <w:jc w:val="left"/>
              <w:rPr>
                <w:rFonts w:ascii="Times New Roman" w:eastAsia="宋体" w:hAnsi="宋体" w:cs="宋体"/>
                <w:kern w:val="0"/>
                <w:sz w:val="24"/>
              </w:rPr>
            </w:pPr>
          </w:p>
        </w:tc>
        <w:tc>
          <w:tcPr>
            <w:tcW w:w="762" w:type="pct"/>
            <w:tcBorders>
              <w:top w:val="nil"/>
              <w:left w:val="nil"/>
              <w:bottom w:val="nil"/>
              <w:right w:val="nil"/>
            </w:tcBorders>
            <w:shd w:val="clear" w:color="auto" w:fill="auto"/>
            <w:vAlign w:val="bottom"/>
          </w:tcPr>
          <w:p w14:paraId="59E49B86"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B87"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B88" w14:textId="77777777" w:rsidR="00D7560A" w:rsidRDefault="00D7560A">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59E49B89"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B8A"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9B8B" w14:textId="77777777" w:rsidR="00D7560A" w:rsidRDefault="00D7560A">
            <w:pPr>
              <w:widowControl/>
              <w:jc w:val="left"/>
              <w:rPr>
                <w:rFonts w:ascii="Times New Roman" w:eastAsia="宋体" w:hAnsi="宋体" w:cs="宋体"/>
                <w:kern w:val="0"/>
                <w:sz w:val="24"/>
              </w:rPr>
            </w:pPr>
          </w:p>
        </w:tc>
        <w:tc>
          <w:tcPr>
            <w:tcW w:w="762" w:type="pct"/>
            <w:tcBorders>
              <w:top w:val="nil"/>
              <w:left w:val="nil"/>
              <w:bottom w:val="nil"/>
              <w:right w:val="nil"/>
            </w:tcBorders>
            <w:shd w:val="clear" w:color="auto" w:fill="auto"/>
            <w:vAlign w:val="bottom"/>
          </w:tcPr>
          <w:p w14:paraId="59E49B8C"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B8D" w14:textId="77777777" w:rsidR="00D7560A" w:rsidRDefault="00D7560A">
            <w:pPr>
              <w:widowControl/>
              <w:jc w:val="left"/>
              <w:rPr>
                <w:rFonts w:ascii="Times New Roman" w:eastAsia="宋体" w:hAnsi="宋体" w:cs="宋体"/>
                <w:kern w:val="0"/>
                <w:sz w:val="24"/>
              </w:rPr>
            </w:pPr>
          </w:p>
        </w:tc>
      </w:tr>
      <w:tr w:rsidR="00D7560A" w14:paraId="59E49B93"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9E49B8F"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9E49B90"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29, 2022</w:t>
            </w: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59E49B91"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auto"/>
            <w:tcMar>
              <w:top w:w="40" w:type="dxa"/>
              <w:left w:w="20" w:type="dxa"/>
              <w:bottom w:w="40" w:type="dxa"/>
              <w:right w:w="20" w:type="dxa"/>
            </w:tcMar>
            <w:vAlign w:val="bottom"/>
          </w:tcPr>
          <w:p w14:paraId="59E49B92"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January 28, 2022</w:t>
            </w:r>
          </w:p>
        </w:tc>
      </w:tr>
      <w:tr w:rsidR="00D7560A" w14:paraId="59E49B96"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9B94" w14:textId="77777777" w:rsidR="00D7560A" w:rsidRDefault="00D7560A">
            <w:pPr>
              <w:widowControl/>
              <w:jc w:val="left"/>
              <w:rPr>
                <w:rFonts w:ascii="Times New Roman" w:eastAsia="宋体" w:hAnsi="宋体" w:cs="宋体"/>
                <w:kern w:val="0"/>
                <w:sz w:val="24"/>
              </w:rPr>
            </w:pPr>
          </w:p>
        </w:tc>
        <w:tc>
          <w:tcPr>
            <w:tcW w:w="0" w:type="auto"/>
            <w:gridSpan w:val="9"/>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59E49B95"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(in millions)</w:t>
            </w:r>
          </w:p>
        </w:tc>
      </w:tr>
      <w:tr w:rsidR="00D7560A" w14:paraId="59E49B9B"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9E49B97"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Senior Notes:</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B98"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B99"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B9A" w14:textId="77777777" w:rsidR="00D7560A" w:rsidRDefault="00D7560A">
            <w:pPr>
              <w:widowControl/>
              <w:jc w:val="left"/>
              <w:rPr>
                <w:rFonts w:ascii="Times New Roman" w:eastAsia="宋体" w:hAnsi="宋体" w:cs="宋体"/>
                <w:kern w:val="0"/>
                <w:sz w:val="24"/>
              </w:rPr>
            </w:pPr>
          </w:p>
        </w:tc>
      </w:tr>
      <w:tr w:rsidR="00D7560A" w14:paraId="59E49BA4"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59E49B9C"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5.45% due June 2023</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9E49B9D"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9E49B9E"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1,000 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9B9F"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9BA0"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9E49BA1"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9E49BA2"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1,000 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9BA3" w14:textId="77777777" w:rsidR="00D7560A" w:rsidRDefault="00D7560A">
            <w:pPr>
              <w:widowControl/>
              <w:jc w:val="right"/>
              <w:rPr>
                <w:rFonts w:ascii="Times New Roman" w:eastAsia="宋体" w:hAnsi="宋体" w:cs="宋体"/>
                <w:kern w:val="0"/>
                <w:sz w:val="24"/>
              </w:rPr>
            </w:pPr>
          </w:p>
        </w:tc>
      </w:tr>
      <w:tr w:rsidR="00D7560A" w14:paraId="59E49BAB"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9E49BA5"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4.00% due July 2024</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9BA6"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1,000 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9BA7"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BA8"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9BA9"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1,000 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9BAA" w14:textId="77777777" w:rsidR="00D7560A" w:rsidRDefault="00D7560A">
            <w:pPr>
              <w:widowControl/>
              <w:jc w:val="right"/>
              <w:rPr>
                <w:rFonts w:ascii="Times New Roman" w:eastAsia="宋体" w:hAnsi="宋体" w:cs="宋体"/>
                <w:kern w:val="0"/>
                <w:sz w:val="24"/>
              </w:rPr>
            </w:pPr>
          </w:p>
        </w:tc>
      </w:tr>
      <w:tr w:rsidR="00D7560A" w14:paraId="59E49BB2"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59E49BAC"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5.85% due July 2025</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9BAD"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1,000 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9BAE"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9BAF"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9BB0"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1,000 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9BB1" w14:textId="77777777" w:rsidR="00D7560A" w:rsidRDefault="00D7560A">
            <w:pPr>
              <w:widowControl/>
              <w:jc w:val="right"/>
              <w:rPr>
                <w:rFonts w:ascii="Times New Roman" w:eastAsia="宋体" w:hAnsi="宋体" w:cs="宋体"/>
                <w:kern w:val="0"/>
                <w:sz w:val="24"/>
              </w:rPr>
            </w:pPr>
          </w:p>
        </w:tc>
      </w:tr>
      <w:tr w:rsidR="00D7560A" w14:paraId="59E49BB9"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9E49BB3"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6.02% due June 2026</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9BB4"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4,500 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9BB5"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BB6"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9BB7"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4,500 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9BB8" w14:textId="77777777" w:rsidR="00D7560A" w:rsidRDefault="00D7560A">
            <w:pPr>
              <w:widowControl/>
              <w:jc w:val="right"/>
              <w:rPr>
                <w:rFonts w:ascii="Times New Roman" w:eastAsia="宋体" w:hAnsi="宋体" w:cs="宋体"/>
                <w:kern w:val="0"/>
                <w:sz w:val="24"/>
              </w:rPr>
            </w:pPr>
          </w:p>
        </w:tc>
      </w:tr>
      <w:tr w:rsidR="00D7560A" w14:paraId="59E49BC0"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59E49BBA"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4.90% due October 2026</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9BBB"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1,750 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9BBC"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9BBD"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9BBE"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1,750 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9BBF" w14:textId="77777777" w:rsidR="00D7560A" w:rsidRDefault="00D7560A">
            <w:pPr>
              <w:widowControl/>
              <w:jc w:val="right"/>
              <w:rPr>
                <w:rFonts w:ascii="Times New Roman" w:eastAsia="宋体" w:hAnsi="宋体" w:cs="宋体"/>
                <w:kern w:val="0"/>
                <w:sz w:val="24"/>
              </w:rPr>
            </w:pPr>
          </w:p>
        </w:tc>
      </w:tr>
      <w:tr w:rsidR="00D7560A" w14:paraId="59E49BC7"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9E49BC1"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6.10% due July 2027</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9BC2"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500 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9BC3"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BC4"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9BC5"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500 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9BC6" w14:textId="77777777" w:rsidR="00D7560A" w:rsidRDefault="00D7560A">
            <w:pPr>
              <w:widowControl/>
              <w:jc w:val="right"/>
              <w:rPr>
                <w:rFonts w:ascii="Times New Roman" w:eastAsia="宋体" w:hAnsi="宋体" w:cs="宋体"/>
                <w:kern w:val="0"/>
                <w:sz w:val="24"/>
              </w:rPr>
            </w:pPr>
          </w:p>
        </w:tc>
      </w:tr>
      <w:tr w:rsidR="00D7560A" w14:paraId="59E49BCE"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59E49BC8"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5.30% due October 2029</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9BC9"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1,750 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9BCA"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9BCB"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9BCC"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1,750 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9BCD" w14:textId="77777777" w:rsidR="00D7560A" w:rsidRDefault="00D7560A">
            <w:pPr>
              <w:widowControl/>
              <w:jc w:val="right"/>
              <w:rPr>
                <w:rFonts w:ascii="Times New Roman" w:eastAsia="宋体" w:hAnsi="宋体" w:cs="宋体"/>
                <w:kern w:val="0"/>
                <w:sz w:val="24"/>
              </w:rPr>
            </w:pPr>
          </w:p>
        </w:tc>
      </w:tr>
      <w:tr w:rsidR="00D7560A" w14:paraId="59E49BD5"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9E49BCF"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6.20% due July 2030</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9BD0"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750 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9BD1"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BD2"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9BD3"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750 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9BD4" w14:textId="77777777" w:rsidR="00D7560A" w:rsidRDefault="00D7560A">
            <w:pPr>
              <w:widowControl/>
              <w:jc w:val="right"/>
              <w:rPr>
                <w:rFonts w:ascii="Times New Roman" w:eastAsia="宋体" w:hAnsi="宋体" w:cs="宋体"/>
                <w:kern w:val="0"/>
                <w:sz w:val="24"/>
              </w:rPr>
            </w:pPr>
          </w:p>
        </w:tc>
      </w:tr>
      <w:tr w:rsidR="00D7560A" w14:paraId="59E49BDC"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59E49BD6"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8.10% due July 2036</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9BD7"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1,000 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9BD8"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9BD9"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9BDA"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1,000 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9BDB" w14:textId="77777777" w:rsidR="00D7560A" w:rsidRDefault="00D7560A">
            <w:pPr>
              <w:widowControl/>
              <w:jc w:val="right"/>
              <w:rPr>
                <w:rFonts w:ascii="Times New Roman" w:eastAsia="宋体" w:hAnsi="宋体" w:cs="宋体"/>
                <w:kern w:val="0"/>
                <w:sz w:val="24"/>
              </w:rPr>
            </w:pPr>
          </w:p>
        </w:tc>
      </w:tr>
      <w:tr w:rsidR="00D7560A" w14:paraId="59E49BE3"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9E49BDD"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3.38% due December 2041</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9BDE"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1,000 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9BDF"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BE0"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9BE1"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1,000 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9BE2" w14:textId="77777777" w:rsidR="00D7560A" w:rsidRDefault="00D7560A">
            <w:pPr>
              <w:widowControl/>
              <w:jc w:val="right"/>
              <w:rPr>
                <w:rFonts w:ascii="Times New Roman" w:eastAsia="宋体" w:hAnsi="宋体" w:cs="宋体"/>
                <w:kern w:val="0"/>
                <w:sz w:val="24"/>
              </w:rPr>
            </w:pPr>
          </w:p>
        </w:tc>
      </w:tr>
      <w:tr w:rsidR="00D7560A" w14:paraId="59E49BEA"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59E49BE4"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8.35% due July 2046</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9BE5"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800 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9BE6"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9BE7"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9BE8"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800 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9BE9" w14:textId="77777777" w:rsidR="00D7560A" w:rsidRDefault="00D7560A">
            <w:pPr>
              <w:widowControl/>
              <w:jc w:val="right"/>
              <w:rPr>
                <w:rFonts w:ascii="Times New Roman" w:eastAsia="宋体" w:hAnsi="宋体" w:cs="宋体"/>
                <w:kern w:val="0"/>
                <w:sz w:val="24"/>
              </w:rPr>
            </w:pPr>
          </w:p>
        </w:tc>
      </w:tr>
      <w:tr w:rsidR="00D7560A" w14:paraId="59E49BF1"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9E49BEB"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3.45% due December 2051</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9BEC"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1,250 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9BED"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BEE"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9BEF"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1,250 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9BF0" w14:textId="77777777" w:rsidR="00D7560A" w:rsidRDefault="00D7560A">
            <w:pPr>
              <w:widowControl/>
              <w:jc w:val="right"/>
              <w:rPr>
                <w:rFonts w:ascii="Times New Roman" w:eastAsia="宋体" w:hAnsi="宋体" w:cs="宋体"/>
                <w:kern w:val="0"/>
                <w:sz w:val="24"/>
              </w:rPr>
            </w:pPr>
          </w:p>
        </w:tc>
      </w:tr>
      <w:tr w:rsidR="00D7560A" w14:paraId="59E49BF6"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59E49BF2"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Legacy Notes and Debentures:</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9BF3"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9BF4"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9BF5" w14:textId="77777777" w:rsidR="00D7560A" w:rsidRDefault="00D7560A">
            <w:pPr>
              <w:widowControl/>
              <w:jc w:val="left"/>
              <w:rPr>
                <w:rFonts w:ascii="Times New Roman" w:eastAsia="宋体" w:hAnsi="宋体" w:cs="宋体"/>
                <w:kern w:val="0"/>
                <w:sz w:val="24"/>
              </w:rPr>
            </w:pPr>
          </w:p>
        </w:tc>
      </w:tr>
      <w:tr w:rsidR="00D7560A" w14:paraId="59E49BFD"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9E49BF7"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7.10% due April 2028</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9BF8"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300 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9BF9"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BFA"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9BFB"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300 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9BFC" w14:textId="77777777" w:rsidR="00D7560A" w:rsidRDefault="00D7560A">
            <w:pPr>
              <w:widowControl/>
              <w:jc w:val="right"/>
              <w:rPr>
                <w:rFonts w:ascii="Times New Roman" w:eastAsia="宋体" w:hAnsi="宋体" w:cs="宋体"/>
                <w:kern w:val="0"/>
                <w:sz w:val="24"/>
              </w:rPr>
            </w:pPr>
          </w:p>
        </w:tc>
      </w:tr>
      <w:tr w:rsidR="00D7560A" w14:paraId="59E49C04"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59E49BFE"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6.50% due April 2038</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9BFF"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388 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9C00"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9C01"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9C02"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388 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9C03" w14:textId="77777777" w:rsidR="00D7560A" w:rsidRDefault="00D7560A">
            <w:pPr>
              <w:widowControl/>
              <w:jc w:val="right"/>
              <w:rPr>
                <w:rFonts w:ascii="Times New Roman" w:eastAsia="宋体" w:hAnsi="宋体" w:cs="宋体"/>
                <w:kern w:val="0"/>
                <w:sz w:val="24"/>
              </w:rPr>
            </w:pPr>
          </w:p>
        </w:tc>
      </w:tr>
      <w:tr w:rsidR="00D7560A" w14:paraId="59E49C0B"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9E49C05"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5.40% due </w:t>
            </w:r>
            <w:r>
              <w:rPr>
                <w:rFonts w:ascii="Times New Roman" w:eastAsia="宋体" w:hAnsi="Times New Roman" w:cs="Times New Roman"/>
                <w:color w:val="000000"/>
                <w:kern w:val="0"/>
                <w:sz w:val="20"/>
                <w:szCs w:val="20"/>
                <w:lang w:bidi="ar"/>
              </w:rPr>
              <w:t>September 2040</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9C06"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264 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9C07"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C08"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9C09"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264 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9C0A" w14:textId="77777777" w:rsidR="00D7560A" w:rsidRDefault="00D7560A">
            <w:pPr>
              <w:widowControl/>
              <w:jc w:val="right"/>
              <w:rPr>
                <w:rFonts w:ascii="Times New Roman" w:eastAsia="宋体" w:hAnsi="宋体" w:cs="宋体"/>
                <w:kern w:val="0"/>
                <w:sz w:val="24"/>
              </w:rPr>
            </w:pPr>
          </w:p>
        </w:tc>
      </w:tr>
      <w:tr w:rsidR="00D7560A" w14:paraId="59E49C12"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59E49C0C"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DFS Debt (Note 5)</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9C0D"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9,640 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9C0E"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9C0F"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9C10"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9,646 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9C11" w14:textId="77777777" w:rsidR="00D7560A" w:rsidRDefault="00D7560A">
            <w:pPr>
              <w:widowControl/>
              <w:jc w:val="right"/>
              <w:rPr>
                <w:rFonts w:ascii="Times New Roman" w:eastAsia="宋体" w:hAnsi="宋体" w:cs="宋体"/>
                <w:kern w:val="0"/>
                <w:sz w:val="24"/>
              </w:rPr>
            </w:pPr>
          </w:p>
        </w:tc>
      </w:tr>
      <w:tr w:rsidR="00D7560A" w14:paraId="59E49C19"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9E49C13"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Other</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9C14"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311 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9C15"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C16"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9C17"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337 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9C18" w14:textId="77777777" w:rsidR="00D7560A" w:rsidRDefault="00D7560A">
            <w:pPr>
              <w:widowControl/>
              <w:jc w:val="right"/>
              <w:rPr>
                <w:rFonts w:ascii="Times New Roman" w:eastAsia="宋体" w:hAnsi="宋体" w:cs="宋体"/>
                <w:kern w:val="0"/>
                <w:sz w:val="24"/>
              </w:rPr>
            </w:pPr>
          </w:p>
        </w:tc>
      </w:tr>
      <w:tr w:rsidR="00D7560A" w14:paraId="59E49C22" w14:textId="77777777">
        <w:tc>
          <w:tcPr>
            <w:tcW w:w="0" w:type="auto"/>
            <w:gridSpan w:val="3"/>
            <w:tcBorders>
              <w:top w:val="nil"/>
              <w:left w:val="nil"/>
              <w:bottom w:val="nil"/>
              <w:right w:val="nil"/>
            </w:tcBorders>
            <w:shd w:val="clear" w:color="auto" w:fill="FFFFFF"/>
            <w:tcMar>
              <w:top w:w="40" w:type="dxa"/>
              <w:left w:w="260" w:type="dxa"/>
              <w:bottom w:w="40" w:type="dxa"/>
              <w:right w:w="20" w:type="dxa"/>
            </w:tcMar>
            <w:vAlign w:val="bottom"/>
          </w:tcPr>
          <w:p w14:paraId="59E49C1A"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Total debt, principal amount</w:t>
            </w: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59E49C1B"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59E49C1C"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27,203 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59E49C1D"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9C1E"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59E49C1F"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59E49C20"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27,235 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59E49C21" w14:textId="77777777" w:rsidR="00D7560A" w:rsidRDefault="00D7560A">
            <w:pPr>
              <w:widowControl/>
              <w:jc w:val="right"/>
              <w:rPr>
                <w:rFonts w:ascii="Times New Roman" w:eastAsia="宋体" w:hAnsi="宋体" w:cs="宋体"/>
                <w:kern w:val="0"/>
                <w:sz w:val="24"/>
              </w:rPr>
            </w:pPr>
          </w:p>
        </w:tc>
      </w:tr>
      <w:tr w:rsidR="00D7560A" w14:paraId="59E49C29" w14:textId="77777777">
        <w:tc>
          <w:tcPr>
            <w:tcW w:w="0" w:type="auto"/>
            <w:gridSpan w:val="3"/>
            <w:tcBorders>
              <w:top w:val="nil"/>
              <w:left w:val="nil"/>
              <w:bottom w:val="nil"/>
              <w:right w:val="nil"/>
            </w:tcBorders>
            <w:shd w:val="clear" w:color="auto" w:fill="CCEEFF"/>
            <w:tcMar>
              <w:top w:w="40" w:type="dxa"/>
              <w:left w:w="365" w:type="dxa"/>
              <w:bottom w:w="40" w:type="dxa"/>
              <w:right w:w="20" w:type="dxa"/>
            </w:tcMar>
            <w:vAlign w:val="bottom"/>
          </w:tcPr>
          <w:p w14:paraId="59E49C23"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Unamortized discount, net of unamortized premium</w:t>
            </w:r>
          </w:p>
        </w:tc>
        <w:tc>
          <w:tcPr>
            <w:tcW w:w="0" w:type="auto"/>
            <w:gridSpan w:val="2"/>
            <w:tcBorders>
              <w:top w:val="double" w:sz="2" w:space="0" w:color="000000"/>
              <w:left w:val="nil"/>
              <w:bottom w:val="nil"/>
              <w:right w:val="nil"/>
            </w:tcBorders>
            <w:shd w:val="clear" w:color="auto" w:fill="CCEEFF"/>
            <w:tcMar>
              <w:top w:w="40" w:type="dxa"/>
              <w:left w:w="20" w:type="dxa"/>
              <w:bottom w:w="40" w:type="dxa"/>
              <w:right w:w="0" w:type="dxa"/>
            </w:tcMar>
            <w:vAlign w:val="bottom"/>
          </w:tcPr>
          <w:p w14:paraId="59E49C24"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(128)</w:t>
            </w:r>
          </w:p>
        </w:tc>
        <w:tc>
          <w:tcPr>
            <w:tcW w:w="0" w:type="auto"/>
            <w:tcBorders>
              <w:top w:val="double" w:sz="2" w:space="0" w:color="000000"/>
              <w:left w:val="nil"/>
              <w:bottom w:val="nil"/>
              <w:right w:val="nil"/>
            </w:tcBorders>
            <w:shd w:val="clear" w:color="auto" w:fill="CCEEFF"/>
            <w:tcMar>
              <w:top w:w="40" w:type="dxa"/>
              <w:left w:w="0" w:type="dxa"/>
              <w:bottom w:w="40" w:type="dxa"/>
              <w:right w:w="20" w:type="dxa"/>
            </w:tcMar>
            <w:vAlign w:val="bottom"/>
          </w:tcPr>
          <w:p w14:paraId="59E49C25"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C26" w14:textId="77777777" w:rsidR="00D7560A" w:rsidRDefault="00D7560A">
            <w:pPr>
              <w:widowControl/>
              <w:jc w:val="left"/>
              <w:rPr>
                <w:rFonts w:ascii="Times New Roman" w:eastAsia="宋体" w:hAnsi="宋体" w:cs="宋体"/>
                <w:kern w:val="0"/>
                <w:sz w:val="24"/>
              </w:rPr>
            </w:pPr>
          </w:p>
        </w:tc>
        <w:tc>
          <w:tcPr>
            <w:tcW w:w="0" w:type="auto"/>
            <w:gridSpan w:val="2"/>
            <w:tcBorders>
              <w:top w:val="double" w:sz="2" w:space="0" w:color="000000"/>
              <w:left w:val="nil"/>
              <w:bottom w:val="nil"/>
              <w:right w:val="nil"/>
            </w:tcBorders>
            <w:shd w:val="clear" w:color="auto" w:fill="CCEEFF"/>
            <w:tcMar>
              <w:top w:w="40" w:type="dxa"/>
              <w:left w:w="20" w:type="dxa"/>
              <w:bottom w:w="40" w:type="dxa"/>
              <w:right w:w="0" w:type="dxa"/>
            </w:tcMar>
            <w:vAlign w:val="bottom"/>
          </w:tcPr>
          <w:p w14:paraId="59E49C27"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(134)</w:t>
            </w:r>
          </w:p>
        </w:tc>
        <w:tc>
          <w:tcPr>
            <w:tcW w:w="0" w:type="auto"/>
            <w:tcBorders>
              <w:top w:val="double" w:sz="2" w:space="0" w:color="000000"/>
              <w:left w:val="nil"/>
              <w:bottom w:val="nil"/>
              <w:right w:val="nil"/>
            </w:tcBorders>
            <w:shd w:val="clear" w:color="auto" w:fill="CCEEFF"/>
            <w:tcMar>
              <w:top w:w="40" w:type="dxa"/>
              <w:left w:w="0" w:type="dxa"/>
              <w:bottom w:w="40" w:type="dxa"/>
              <w:right w:w="20" w:type="dxa"/>
            </w:tcMar>
            <w:vAlign w:val="bottom"/>
          </w:tcPr>
          <w:p w14:paraId="59E49C28" w14:textId="77777777" w:rsidR="00D7560A" w:rsidRDefault="00D7560A">
            <w:pPr>
              <w:widowControl/>
              <w:jc w:val="right"/>
              <w:rPr>
                <w:rFonts w:ascii="Times New Roman" w:eastAsia="宋体" w:hAnsi="宋体" w:cs="宋体"/>
                <w:kern w:val="0"/>
                <w:sz w:val="24"/>
              </w:rPr>
            </w:pPr>
          </w:p>
        </w:tc>
      </w:tr>
      <w:tr w:rsidR="00D7560A" w14:paraId="59E49C30" w14:textId="77777777">
        <w:tc>
          <w:tcPr>
            <w:tcW w:w="0" w:type="auto"/>
            <w:gridSpan w:val="3"/>
            <w:tcBorders>
              <w:top w:val="nil"/>
              <w:left w:val="nil"/>
              <w:bottom w:val="nil"/>
              <w:right w:val="nil"/>
            </w:tcBorders>
            <w:shd w:val="clear" w:color="auto" w:fill="FFFFFF"/>
            <w:tcMar>
              <w:top w:w="40" w:type="dxa"/>
              <w:left w:w="365" w:type="dxa"/>
              <w:bottom w:w="40" w:type="dxa"/>
              <w:right w:w="20" w:type="dxa"/>
            </w:tcMar>
            <w:vAlign w:val="bottom"/>
          </w:tcPr>
          <w:p w14:paraId="59E49C2A"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Debt issuance costs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9C2B"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(141)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9C2C"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9C2D"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9C2E"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(147)</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9C2F" w14:textId="77777777" w:rsidR="00D7560A" w:rsidRDefault="00D7560A">
            <w:pPr>
              <w:widowControl/>
              <w:jc w:val="right"/>
              <w:rPr>
                <w:rFonts w:ascii="Times New Roman" w:eastAsia="宋体" w:hAnsi="宋体" w:cs="宋体"/>
                <w:kern w:val="0"/>
                <w:sz w:val="24"/>
              </w:rPr>
            </w:pPr>
          </w:p>
        </w:tc>
      </w:tr>
      <w:tr w:rsidR="00D7560A" w14:paraId="59E49C39" w14:textId="77777777">
        <w:tc>
          <w:tcPr>
            <w:tcW w:w="0" w:type="auto"/>
            <w:gridSpan w:val="3"/>
            <w:tcBorders>
              <w:top w:val="nil"/>
              <w:left w:val="nil"/>
              <w:bottom w:val="nil"/>
              <w:right w:val="nil"/>
            </w:tcBorders>
            <w:shd w:val="clear" w:color="auto" w:fill="CCEEFF"/>
            <w:tcMar>
              <w:top w:w="40" w:type="dxa"/>
              <w:left w:w="515" w:type="dxa"/>
              <w:bottom w:w="40" w:type="dxa"/>
              <w:right w:w="20" w:type="dxa"/>
            </w:tcMar>
            <w:vAlign w:val="bottom"/>
          </w:tcPr>
          <w:p w14:paraId="59E49C31"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Total debt, carrying value</w:t>
            </w: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59E49C32"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59E49C33"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26,934 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59E49C34"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C35"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59E49C36"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59E49C37"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26,954 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59E49C38" w14:textId="77777777" w:rsidR="00D7560A" w:rsidRDefault="00D7560A">
            <w:pPr>
              <w:widowControl/>
              <w:jc w:val="right"/>
              <w:rPr>
                <w:rFonts w:ascii="Times New Roman" w:eastAsia="宋体" w:hAnsi="宋体" w:cs="宋体"/>
                <w:kern w:val="0"/>
                <w:sz w:val="24"/>
              </w:rPr>
            </w:pPr>
          </w:p>
        </w:tc>
      </w:tr>
      <w:tr w:rsidR="00D7560A" w14:paraId="59E49C42" w14:textId="77777777">
        <w:tc>
          <w:tcPr>
            <w:tcW w:w="0" w:type="auto"/>
            <w:gridSpan w:val="3"/>
            <w:tcBorders>
              <w:top w:val="nil"/>
              <w:left w:val="nil"/>
              <w:bottom w:val="nil"/>
              <w:right w:val="nil"/>
            </w:tcBorders>
            <w:shd w:val="clear" w:color="auto" w:fill="FFFFFF"/>
            <w:tcMar>
              <w:top w:w="40" w:type="dxa"/>
              <w:left w:w="725" w:type="dxa"/>
              <w:bottom w:w="40" w:type="dxa"/>
              <w:right w:w="20" w:type="dxa"/>
            </w:tcMar>
            <w:vAlign w:val="bottom"/>
          </w:tcPr>
          <w:p w14:paraId="59E49C3A"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To</w:t>
            </w:r>
            <w:r>
              <w:rPr>
                <w:rFonts w:ascii="Times New Roman" w:eastAsia="宋体" w:hAnsi="Times New Roman" w:cs="Times New Roman"/>
                <w:color w:val="000000"/>
                <w:kern w:val="0"/>
                <w:sz w:val="20"/>
                <w:szCs w:val="20"/>
                <w:lang w:bidi="ar"/>
              </w:rPr>
              <w:t>tal short-term debt, carrying value</w:t>
            </w:r>
          </w:p>
        </w:tc>
        <w:tc>
          <w:tcPr>
            <w:tcW w:w="0" w:type="auto"/>
            <w:tcBorders>
              <w:top w:val="double" w:sz="2" w:space="0" w:color="000000"/>
              <w:left w:val="nil"/>
              <w:bottom w:val="nil"/>
              <w:right w:val="nil"/>
            </w:tcBorders>
            <w:shd w:val="clear" w:color="auto" w:fill="FFFFFF"/>
            <w:tcMar>
              <w:top w:w="40" w:type="dxa"/>
              <w:left w:w="20" w:type="dxa"/>
              <w:bottom w:w="40" w:type="dxa"/>
              <w:right w:w="0" w:type="dxa"/>
            </w:tcMar>
            <w:vAlign w:val="bottom"/>
          </w:tcPr>
          <w:p w14:paraId="59E49C3B"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double" w:sz="2" w:space="0" w:color="000000"/>
              <w:left w:val="nil"/>
              <w:bottom w:val="nil"/>
              <w:right w:val="nil"/>
            </w:tcBorders>
            <w:shd w:val="clear" w:color="auto" w:fill="FFFFFF"/>
            <w:tcMar>
              <w:top w:w="40" w:type="dxa"/>
              <w:left w:w="0" w:type="dxa"/>
              <w:bottom w:w="40" w:type="dxa"/>
              <w:right w:w="0" w:type="dxa"/>
            </w:tcMar>
            <w:vAlign w:val="bottom"/>
          </w:tcPr>
          <w:p w14:paraId="59E49C3C"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6,647 </w:t>
            </w:r>
          </w:p>
        </w:tc>
        <w:tc>
          <w:tcPr>
            <w:tcW w:w="0" w:type="auto"/>
            <w:tcBorders>
              <w:top w:val="double" w:sz="2" w:space="0" w:color="000000"/>
              <w:left w:val="nil"/>
              <w:bottom w:val="nil"/>
              <w:right w:val="nil"/>
            </w:tcBorders>
            <w:shd w:val="clear" w:color="auto" w:fill="FFFFFF"/>
            <w:tcMar>
              <w:top w:w="40" w:type="dxa"/>
              <w:left w:w="0" w:type="dxa"/>
              <w:bottom w:w="40" w:type="dxa"/>
              <w:right w:w="20" w:type="dxa"/>
            </w:tcMar>
            <w:vAlign w:val="bottom"/>
          </w:tcPr>
          <w:p w14:paraId="59E49C3D"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9C3E" w14:textId="77777777" w:rsidR="00D7560A" w:rsidRDefault="00D7560A">
            <w:pPr>
              <w:widowControl/>
              <w:jc w:val="left"/>
              <w:rPr>
                <w:rFonts w:ascii="Times New Roman" w:eastAsia="宋体" w:hAnsi="宋体" w:cs="宋体"/>
                <w:kern w:val="0"/>
                <w:sz w:val="24"/>
              </w:rPr>
            </w:pPr>
          </w:p>
        </w:tc>
        <w:tc>
          <w:tcPr>
            <w:tcW w:w="0" w:type="auto"/>
            <w:tcBorders>
              <w:top w:val="double" w:sz="2" w:space="0" w:color="000000"/>
              <w:left w:val="nil"/>
              <w:bottom w:val="nil"/>
              <w:right w:val="nil"/>
            </w:tcBorders>
            <w:shd w:val="clear" w:color="auto" w:fill="FFFFFF"/>
            <w:tcMar>
              <w:top w:w="40" w:type="dxa"/>
              <w:left w:w="20" w:type="dxa"/>
              <w:bottom w:w="40" w:type="dxa"/>
              <w:right w:w="0" w:type="dxa"/>
            </w:tcMar>
            <w:vAlign w:val="bottom"/>
          </w:tcPr>
          <w:p w14:paraId="59E49C3F"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double" w:sz="2" w:space="0" w:color="000000"/>
              <w:left w:val="nil"/>
              <w:bottom w:val="nil"/>
              <w:right w:val="nil"/>
            </w:tcBorders>
            <w:shd w:val="clear" w:color="auto" w:fill="FFFFFF"/>
            <w:tcMar>
              <w:top w:w="40" w:type="dxa"/>
              <w:left w:w="0" w:type="dxa"/>
              <w:bottom w:w="40" w:type="dxa"/>
              <w:right w:w="0" w:type="dxa"/>
            </w:tcMar>
            <w:vAlign w:val="bottom"/>
          </w:tcPr>
          <w:p w14:paraId="59E49C40"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5,823 </w:t>
            </w:r>
          </w:p>
        </w:tc>
        <w:tc>
          <w:tcPr>
            <w:tcW w:w="0" w:type="auto"/>
            <w:tcBorders>
              <w:top w:val="double" w:sz="2" w:space="0" w:color="000000"/>
              <w:left w:val="nil"/>
              <w:bottom w:val="nil"/>
              <w:right w:val="nil"/>
            </w:tcBorders>
            <w:shd w:val="clear" w:color="auto" w:fill="FFFFFF"/>
            <w:tcMar>
              <w:top w:w="40" w:type="dxa"/>
              <w:left w:w="0" w:type="dxa"/>
              <w:bottom w:w="40" w:type="dxa"/>
              <w:right w:w="20" w:type="dxa"/>
            </w:tcMar>
            <w:vAlign w:val="bottom"/>
          </w:tcPr>
          <w:p w14:paraId="59E49C41" w14:textId="77777777" w:rsidR="00D7560A" w:rsidRDefault="00D7560A">
            <w:pPr>
              <w:widowControl/>
              <w:jc w:val="right"/>
              <w:rPr>
                <w:rFonts w:ascii="Times New Roman" w:eastAsia="宋体" w:hAnsi="宋体" w:cs="宋体"/>
                <w:kern w:val="0"/>
                <w:sz w:val="24"/>
              </w:rPr>
            </w:pPr>
          </w:p>
        </w:tc>
      </w:tr>
      <w:tr w:rsidR="00D7560A" w14:paraId="59E49C4B" w14:textId="77777777">
        <w:tc>
          <w:tcPr>
            <w:tcW w:w="0" w:type="auto"/>
            <w:gridSpan w:val="3"/>
            <w:tcBorders>
              <w:top w:val="nil"/>
              <w:left w:val="nil"/>
              <w:bottom w:val="nil"/>
              <w:right w:val="nil"/>
            </w:tcBorders>
            <w:shd w:val="clear" w:color="auto" w:fill="CCEEFF"/>
            <w:tcMar>
              <w:top w:w="40" w:type="dxa"/>
              <w:left w:w="725" w:type="dxa"/>
              <w:bottom w:w="40" w:type="dxa"/>
              <w:right w:w="20" w:type="dxa"/>
            </w:tcMar>
            <w:vAlign w:val="bottom"/>
          </w:tcPr>
          <w:p w14:paraId="59E49C43"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Total long-term debt, carrying value</w:t>
            </w: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9E49C44"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9E49C45"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20,287 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9C46"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C47"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9E49C48"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9E49C49"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21,131 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9C4A" w14:textId="77777777" w:rsidR="00D7560A" w:rsidRDefault="00D7560A">
            <w:pPr>
              <w:widowControl/>
              <w:jc w:val="right"/>
              <w:rPr>
                <w:rFonts w:ascii="Times New Roman" w:eastAsia="宋体" w:hAnsi="宋体" w:cs="宋体"/>
                <w:kern w:val="0"/>
                <w:sz w:val="24"/>
              </w:rPr>
            </w:pPr>
          </w:p>
        </w:tc>
      </w:tr>
    </w:tbl>
    <w:p w14:paraId="59E49C4C"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9C4D"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 xml:space="preserve">Commercial Paper Program </w:t>
      </w:r>
    </w:p>
    <w:p w14:paraId="59E49C4E"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9C4F"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On July 18, 2022, the Company established a commercial paper program under which the Company may issue </w:t>
      </w:r>
      <w:r>
        <w:rPr>
          <w:rFonts w:ascii="Times New Roman" w:eastAsia="宋体" w:hAnsi="Times New Roman" w:cs="Times New Roman"/>
          <w:color w:val="000000"/>
          <w:kern w:val="0"/>
          <w:sz w:val="20"/>
          <w:szCs w:val="20"/>
          <w:lang w:bidi="ar"/>
        </w:rPr>
        <w:t>unsecured notes in a maximum aggregate face amount of $5.0 billion outstanding at any time, with maturities up to 397 days from the date of issue. The notes will be sold on customary terms in the U.S. commercial paper market on a private placement basis. T</w:t>
      </w:r>
      <w:r>
        <w:rPr>
          <w:rFonts w:ascii="Times New Roman" w:eastAsia="宋体" w:hAnsi="Times New Roman" w:cs="Times New Roman"/>
          <w:color w:val="000000"/>
          <w:kern w:val="0"/>
          <w:sz w:val="20"/>
          <w:szCs w:val="20"/>
          <w:lang w:bidi="ar"/>
        </w:rPr>
        <w:t>he proceeds of the notes will be used for general corporate purposes. As of July 29, 2022, the Company had no outstanding borrowings under the commercial paper program. Subsequent to July 29, 2022, the Company issued and subsequently repaid notes under thi</w:t>
      </w:r>
      <w:r>
        <w:rPr>
          <w:rFonts w:ascii="Times New Roman" w:eastAsia="宋体" w:hAnsi="Times New Roman" w:cs="Times New Roman"/>
          <w:color w:val="000000"/>
          <w:kern w:val="0"/>
          <w:sz w:val="20"/>
          <w:szCs w:val="20"/>
          <w:lang w:bidi="ar"/>
        </w:rPr>
        <w:t>s program.</w:t>
      </w:r>
    </w:p>
    <w:p w14:paraId="59E49C50"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9C51"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Outstanding Debt</w:t>
      </w:r>
    </w:p>
    <w:p w14:paraId="59E49C52"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9C53"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i/>
          <w:iCs/>
          <w:color w:val="000000"/>
          <w:kern w:val="0"/>
          <w:sz w:val="20"/>
          <w:szCs w:val="20"/>
          <w:lang w:bidi="ar"/>
        </w:rPr>
        <w:t xml:space="preserve">Senior Notes </w:t>
      </w:r>
      <w:r>
        <w:rPr>
          <w:rFonts w:ascii="Times New Roman" w:eastAsia="宋体" w:hAnsi="Times New Roman" w:cs="Times New Roman"/>
          <w:color w:val="000000"/>
          <w:kern w:val="0"/>
          <w:sz w:val="20"/>
          <w:szCs w:val="20"/>
          <w:lang w:bidi="ar"/>
        </w:rPr>
        <w:t xml:space="preserve">— The Company completed private offerings of multiple series of senior notes which were issued on June 1, 2016, June 22, 2016, March 20, 2019, April 9, 2020, and December 13, 2021 in aggregate principal amounts </w:t>
      </w:r>
      <w:r>
        <w:rPr>
          <w:rFonts w:ascii="Times New Roman" w:eastAsia="宋体" w:hAnsi="Times New Roman" w:cs="Times New Roman"/>
          <w:color w:val="000000"/>
          <w:kern w:val="0"/>
          <w:sz w:val="20"/>
          <w:szCs w:val="20"/>
          <w:lang w:bidi="ar"/>
        </w:rPr>
        <w:t>of $20.0 billion, $3.3 billion, $4.5 billion, $2.3 billion, and $2.3 billion respectively (together with the registered senior notes subsequently issued in exchange, the “Senior Notes”).</w:t>
      </w:r>
      <w:r>
        <w:rPr>
          <w:rFonts w:ascii="Times New Roman" w:eastAsia="宋体" w:hAnsi="Times New Roman" w:cs="Times New Roman"/>
          <w:color w:val="000000"/>
          <w:kern w:val="0"/>
          <w:sz w:val="24"/>
          <w:lang w:bidi="ar"/>
        </w:rPr>
        <w:t xml:space="preserve"> </w:t>
      </w:r>
      <w:r>
        <w:rPr>
          <w:rFonts w:ascii="Times New Roman" w:eastAsia="宋体" w:hAnsi="Times New Roman" w:cs="Times New Roman"/>
          <w:color w:val="000000"/>
          <w:kern w:val="0"/>
          <w:sz w:val="20"/>
          <w:szCs w:val="20"/>
          <w:lang w:bidi="ar"/>
        </w:rPr>
        <w:t xml:space="preserve">Interest on these borrowings is payable semiannually. </w:t>
      </w:r>
    </w:p>
    <w:p w14:paraId="59E49C54"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9C55"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9C56"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30</w:t>
      </w:r>
    </w:p>
    <w:p w14:paraId="59E49C57"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9C58" w14:textId="77777777" w:rsidR="00D7560A" w:rsidRDefault="001E3CAB">
      <w:pPr>
        <w:widowControl/>
        <w:jc w:val="center"/>
      </w:pPr>
      <w:r>
        <w:rPr>
          <w:rFonts w:ascii="宋体" w:eastAsia="宋体" w:hAnsi="宋体" w:cs="宋体"/>
          <w:kern w:val="0"/>
          <w:sz w:val="24"/>
        </w:rPr>
        <w:pict w14:anchorId="59E4C7E9">
          <v:rect id="_x0000_i1054" style="width:6in;height:1.5pt" o:hralign="center" o:hrstd="t" o:hr="t" fillcolor="#a0a0a0" stroked="f"/>
        </w:pict>
      </w:r>
    </w:p>
    <w:p w14:paraId="59E49C59" w14:textId="77777777" w:rsidR="00D7560A" w:rsidRDefault="001E3CAB">
      <w:pPr>
        <w:widowControl/>
        <w:jc w:val="left"/>
        <w:rPr>
          <w:rFonts w:ascii="宋体" w:eastAsia="宋体" w:hAnsi="宋体" w:cs="宋体"/>
          <w:kern w:val="0"/>
          <w:sz w:val="24"/>
        </w:rPr>
      </w:pPr>
      <w:hyperlink w:anchor="if933dd1d5d004d2495dd7029e3ecad00_13" w:history="1">
        <w:r>
          <w:rPr>
            <w:rStyle w:val="a4"/>
            <w:rFonts w:ascii="Times New Roman" w:eastAsia="宋体" w:hAnsi="Times New Roman" w:cs="Times New Roman"/>
            <w:sz w:val="20"/>
            <w:szCs w:val="20"/>
          </w:rPr>
          <w:t>Table of Contents</w:t>
        </w:r>
      </w:hyperlink>
    </w:p>
    <w:p w14:paraId="59E49C5A"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DELL TECHNOLOGIES INC.</w:t>
      </w:r>
    </w:p>
    <w:p w14:paraId="59E49C5B"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NOTES TO THE CONDENSED CONSOLIDATED FINANCIAL STATEMENTS (Continued)</w:t>
      </w:r>
    </w:p>
    <w:p w14:paraId="59E49C5C"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(unaudited)</w:t>
      </w:r>
    </w:p>
    <w:p w14:paraId="59E49C5D"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9C5E"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In June 2021, Dell International L.L.C. and EMC Corporation, </w:t>
      </w:r>
      <w:r>
        <w:rPr>
          <w:rFonts w:ascii="Times New Roman" w:eastAsia="宋体" w:hAnsi="Times New Roman" w:cs="Times New Roman"/>
          <w:color w:val="000000"/>
          <w:kern w:val="0"/>
          <w:sz w:val="20"/>
          <w:szCs w:val="20"/>
          <w:lang w:bidi="ar"/>
        </w:rPr>
        <w:t>wholly-owned subsidiaries of Dell Technologies Inc. and issuers of the Senior Notes (the “Issuers”), completed offers to exchange any and all outstanding Senior Notes issued on June 1, 2016, March 20, 2019, and April 9, 2020 for senior notes registered und</w:t>
      </w:r>
      <w:r>
        <w:rPr>
          <w:rFonts w:ascii="Times New Roman" w:eastAsia="宋体" w:hAnsi="Times New Roman" w:cs="Times New Roman"/>
          <w:color w:val="000000"/>
          <w:kern w:val="0"/>
          <w:sz w:val="20"/>
          <w:szCs w:val="20"/>
          <w:lang w:bidi="ar"/>
        </w:rPr>
        <w:t>er the Securities Act of 1933 having terms substantially identical to the terms of the outstanding Senior Notes. The Issuers issued $18.4 billion aggregate principal amount of registered Senior Notes in exchange for the same aggregate principal amount of u</w:t>
      </w:r>
      <w:r>
        <w:rPr>
          <w:rFonts w:ascii="Times New Roman" w:eastAsia="宋体" w:hAnsi="Times New Roman" w:cs="Times New Roman"/>
          <w:color w:val="000000"/>
          <w:kern w:val="0"/>
          <w:sz w:val="20"/>
          <w:szCs w:val="20"/>
          <w:lang w:bidi="ar"/>
        </w:rPr>
        <w:t>nregistered Senior Notes. The aggregate principal amount of unregistered Senior Notes remaining outstanding following the settlement of the exchange offers was approximately $0.1 billion.</w:t>
      </w:r>
    </w:p>
    <w:p w14:paraId="59E49C5F"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9C60"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i/>
          <w:iCs/>
          <w:color w:val="000000"/>
          <w:kern w:val="0"/>
          <w:sz w:val="20"/>
          <w:szCs w:val="20"/>
          <w:lang w:bidi="ar"/>
        </w:rPr>
        <w:t>Legacy Notes and Debentures</w:t>
      </w:r>
      <w:r>
        <w:rPr>
          <w:rFonts w:ascii="Times New Roman" w:eastAsia="宋体" w:hAnsi="Times New Roman" w:cs="Times New Roman"/>
          <w:color w:val="000000"/>
          <w:kern w:val="0"/>
          <w:sz w:val="20"/>
          <w:szCs w:val="20"/>
          <w:lang w:bidi="ar"/>
        </w:rPr>
        <w:t xml:space="preserve"> — The Company has outstanding unsecure</w:t>
      </w:r>
      <w:r>
        <w:rPr>
          <w:rFonts w:ascii="Times New Roman" w:eastAsia="宋体" w:hAnsi="Times New Roman" w:cs="Times New Roman"/>
          <w:color w:val="000000"/>
          <w:kern w:val="0"/>
          <w:sz w:val="20"/>
          <w:szCs w:val="20"/>
          <w:lang w:bidi="ar"/>
        </w:rPr>
        <w:t>d notes and debentures (collectively, the “Legacy Notes and Debentures”) that were issued by Dell Inc. (“Dell”), a wholly-owned subsidiary of Dell Technologies Inc., prior to the acquisition of Dell by Dell Technologies Inc. in the going-private transactio</w:t>
      </w:r>
      <w:r>
        <w:rPr>
          <w:rFonts w:ascii="Times New Roman" w:eastAsia="宋体" w:hAnsi="Times New Roman" w:cs="Times New Roman"/>
          <w:color w:val="000000"/>
          <w:kern w:val="0"/>
          <w:sz w:val="20"/>
          <w:szCs w:val="20"/>
          <w:lang w:bidi="ar"/>
        </w:rPr>
        <w:t>n that closed in October 2013. Interest on these borrowings is payable semiannually.</w:t>
      </w:r>
    </w:p>
    <w:p w14:paraId="59E49C61"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9C62"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i/>
          <w:iCs/>
          <w:color w:val="000000"/>
          <w:kern w:val="0"/>
          <w:sz w:val="20"/>
          <w:szCs w:val="20"/>
          <w:lang w:bidi="ar"/>
        </w:rPr>
        <w:t>DFS Debt</w:t>
      </w:r>
      <w:r>
        <w:rPr>
          <w:rFonts w:ascii="Times New Roman" w:eastAsia="宋体" w:hAnsi="Times New Roman" w:cs="Times New Roman"/>
          <w:color w:val="000000"/>
          <w:kern w:val="0"/>
          <w:sz w:val="20"/>
          <w:szCs w:val="20"/>
          <w:lang w:bidi="ar"/>
        </w:rPr>
        <w:t xml:space="preserve"> — See Note 5 and Note 8 of the Notes to the Condensed Consolidated Financial Statements, respectively, for discussion of DFS debt and the interest rate swap agr</w:t>
      </w:r>
      <w:r>
        <w:rPr>
          <w:rFonts w:ascii="Times New Roman" w:eastAsia="宋体" w:hAnsi="Times New Roman" w:cs="Times New Roman"/>
          <w:color w:val="000000"/>
          <w:kern w:val="0"/>
          <w:sz w:val="20"/>
          <w:szCs w:val="20"/>
          <w:lang w:bidi="ar"/>
        </w:rPr>
        <w:t>eements that hedge a portion of that debt.</w:t>
      </w:r>
    </w:p>
    <w:p w14:paraId="59E49C63"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9C64"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i/>
          <w:iCs/>
          <w:color w:val="000000"/>
          <w:kern w:val="0"/>
          <w:sz w:val="20"/>
          <w:szCs w:val="20"/>
          <w:lang w:bidi="ar"/>
        </w:rPr>
        <w:t>2021 Revolving Credit Facility</w:t>
      </w:r>
      <w:r>
        <w:rPr>
          <w:rFonts w:ascii="Times New Roman" w:eastAsia="宋体" w:hAnsi="Times New Roman" w:cs="Times New Roman"/>
          <w:color w:val="000000"/>
          <w:kern w:val="0"/>
          <w:sz w:val="20"/>
          <w:szCs w:val="20"/>
          <w:lang w:bidi="ar"/>
        </w:rPr>
        <w:t xml:space="preserve"> — The Company’s revolving credit facility, which was entered into on November 1, 2021 (the “2021 Revolving Credit Facility”), matures on November 1, 2026. This facility provides th</w:t>
      </w:r>
      <w:r>
        <w:rPr>
          <w:rFonts w:ascii="Times New Roman" w:eastAsia="宋体" w:hAnsi="Times New Roman" w:cs="Times New Roman"/>
          <w:color w:val="000000"/>
          <w:kern w:val="0"/>
          <w:sz w:val="20"/>
          <w:szCs w:val="20"/>
          <w:lang w:bidi="ar"/>
        </w:rPr>
        <w:t>e Company with revolving commitments in an aggregate principal amount of $5.0 billion for general corporate purposes, including liquidity support for the Company’s commercial paper program, and includes a letter of credit sub-facility of up to $0.5 billion</w:t>
      </w:r>
      <w:r>
        <w:rPr>
          <w:rFonts w:ascii="Times New Roman" w:eastAsia="宋体" w:hAnsi="Times New Roman" w:cs="Times New Roman"/>
          <w:color w:val="000000"/>
          <w:kern w:val="0"/>
          <w:sz w:val="20"/>
          <w:szCs w:val="20"/>
          <w:lang w:bidi="ar"/>
        </w:rPr>
        <w:t xml:space="preserve"> and a swing-line loan sub-facility of up to $0.5 billion. The 2021 Revolving Credit Facility also allows the Company to obtain incremental additional commitments on one or more occasions in minimum amounts of $10 million. </w:t>
      </w:r>
    </w:p>
    <w:p w14:paraId="59E49C65"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9C66"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Borrowings under the 2021 Revo</w:t>
      </w:r>
      <w:r>
        <w:rPr>
          <w:rFonts w:ascii="Times New Roman" w:eastAsia="宋体" w:hAnsi="Times New Roman" w:cs="Times New Roman"/>
          <w:color w:val="000000"/>
          <w:kern w:val="0"/>
          <w:sz w:val="20"/>
          <w:szCs w:val="20"/>
          <w:lang w:bidi="ar"/>
        </w:rPr>
        <w:t>lving Credit Facility bear interest at a rate per annum equal to an applicable margin plus, at the borrowers’ option, either (a) the specified London Interbank Offered Rate (“LIBOR”) or (b) a base rate. The margin applicable to LIBOR and base rate borrowin</w:t>
      </w:r>
      <w:r>
        <w:rPr>
          <w:rFonts w:ascii="Times New Roman" w:eastAsia="宋体" w:hAnsi="Times New Roman" w:cs="Times New Roman"/>
          <w:color w:val="000000"/>
          <w:kern w:val="0"/>
          <w:sz w:val="20"/>
          <w:szCs w:val="20"/>
          <w:lang w:bidi="ar"/>
        </w:rPr>
        <w:t>gs varies based upon the Company’s existing date ratings. The base rate is calculated based upon the greatest of the specified prime rate, the specified federal reserve bank rate, or LIBOR plus 1%.</w:t>
      </w:r>
    </w:p>
    <w:p w14:paraId="59E49C67"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9C68"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The borrowers may voluntarily repay outstanding loans un</w:t>
      </w:r>
      <w:r>
        <w:rPr>
          <w:rFonts w:ascii="Times New Roman" w:eastAsia="宋体" w:hAnsi="Times New Roman" w:cs="Times New Roman"/>
          <w:color w:val="000000"/>
          <w:kern w:val="0"/>
          <w:sz w:val="20"/>
          <w:szCs w:val="20"/>
          <w:lang w:bidi="ar"/>
        </w:rPr>
        <w:t>der the 2021 Revolving Credit Facility at any time without premium or penalty, other than customary breakage costs.</w:t>
      </w:r>
    </w:p>
    <w:p w14:paraId="59E49C69"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9C6A"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As of July 29, 2022, available borrowings under the 2021 Revolving Credit Facility totaled $5.0 billion.</w:t>
      </w:r>
    </w:p>
    <w:p w14:paraId="59E49C6B"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9C6C"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i/>
          <w:iCs/>
          <w:color w:val="000000"/>
          <w:kern w:val="0"/>
          <w:sz w:val="20"/>
          <w:szCs w:val="20"/>
          <w:lang w:bidi="ar"/>
        </w:rPr>
        <w:t>Covenants</w:t>
      </w:r>
      <w:r>
        <w:rPr>
          <w:rFonts w:ascii="Times New Roman" w:eastAsia="宋体" w:hAnsi="Times New Roman" w:cs="Times New Roman"/>
          <w:color w:val="000000"/>
          <w:kern w:val="0"/>
          <w:sz w:val="20"/>
          <w:szCs w:val="20"/>
          <w:lang w:bidi="ar"/>
        </w:rPr>
        <w:t xml:space="preserve"> — The credit agreement governing the 2021 Revolving Credit Facility and the indentures governing the Senior Notes and the Legacy Notes and Debentures impose various limitations, subject to exceptions, on creating certain liens and entering into sale and l</w:t>
      </w:r>
      <w:r>
        <w:rPr>
          <w:rFonts w:ascii="Times New Roman" w:eastAsia="宋体" w:hAnsi="Times New Roman" w:cs="Times New Roman"/>
          <w:color w:val="000000"/>
          <w:kern w:val="0"/>
          <w:sz w:val="20"/>
          <w:szCs w:val="20"/>
          <w:lang w:bidi="ar"/>
        </w:rPr>
        <w:t>ease-back transactions. The foregoing credit agreement and indentures contain customary events of default, including failure to make required payments, failure to comply with covenants, and the occurrence of certain events of bankruptcy and insolvency. The</w:t>
      </w:r>
      <w:r>
        <w:rPr>
          <w:rFonts w:ascii="Times New Roman" w:eastAsia="宋体" w:hAnsi="Times New Roman" w:cs="Times New Roman"/>
          <w:color w:val="000000"/>
          <w:kern w:val="0"/>
          <w:sz w:val="20"/>
          <w:szCs w:val="20"/>
          <w:lang w:bidi="ar"/>
        </w:rPr>
        <w:t xml:space="preserve"> 2021 Revolving Credit Facility is also subject to an interest coverage ratio covenant that is tested at the end of each fiscal quarter with respect to the Company’s preceding four fiscal quarters. The Company was in compliance with this financial covenant</w:t>
      </w:r>
      <w:r>
        <w:rPr>
          <w:rFonts w:ascii="Times New Roman" w:eastAsia="宋体" w:hAnsi="Times New Roman" w:cs="Times New Roman"/>
          <w:color w:val="000000"/>
          <w:kern w:val="0"/>
          <w:sz w:val="20"/>
          <w:szCs w:val="20"/>
          <w:lang w:bidi="ar"/>
        </w:rPr>
        <w:t xml:space="preserve"> as of July 29, 2022.</w:t>
      </w:r>
    </w:p>
    <w:p w14:paraId="59E49C6D"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9C6E"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9C6F"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31</w:t>
      </w:r>
    </w:p>
    <w:p w14:paraId="59E49C70"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9C71" w14:textId="77777777" w:rsidR="00D7560A" w:rsidRDefault="001E3CAB">
      <w:pPr>
        <w:widowControl/>
        <w:jc w:val="center"/>
      </w:pPr>
      <w:r>
        <w:rPr>
          <w:rFonts w:ascii="宋体" w:eastAsia="宋体" w:hAnsi="宋体" w:cs="宋体"/>
          <w:kern w:val="0"/>
          <w:sz w:val="24"/>
        </w:rPr>
        <w:pict w14:anchorId="59E4C7EA">
          <v:rect id="_x0000_i1055" style="width:6in;height:1.5pt" o:hralign="center" o:hrstd="t" o:hr="t" fillcolor="#a0a0a0" stroked="f"/>
        </w:pict>
      </w:r>
    </w:p>
    <w:p w14:paraId="59E49C72" w14:textId="77777777" w:rsidR="00D7560A" w:rsidRDefault="001E3CAB">
      <w:pPr>
        <w:widowControl/>
        <w:jc w:val="left"/>
        <w:rPr>
          <w:rFonts w:ascii="宋体" w:eastAsia="宋体" w:hAnsi="宋体" w:cs="宋体"/>
          <w:kern w:val="0"/>
          <w:sz w:val="24"/>
        </w:rPr>
      </w:pPr>
      <w:hyperlink w:anchor="if933dd1d5d004d2495dd7029e3ecad00_13" w:history="1">
        <w:r>
          <w:rPr>
            <w:rStyle w:val="a4"/>
            <w:rFonts w:ascii="Times New Roman" w:eastAsia="宋体" w:hAnsi="Times New Roman" w:cs="Times New Roman"/>
            <w:sz w:val="20"/>
            <w:szCs w:val="20"/>
          </w:rPr>
          <w:t>Table of Contents</w:t>
        </w:r>
      </w:hyperlink>
    </w:p>
    <w:p w14:paraId="59E49C73"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DELL TECHNOLOGIES INC.</w:t>
      </w:r>
    </w:p>
    <w:p w14:paraId="59E49C74"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NOTES TO THE CONDENSED CONSOLIDATED FINANCIAL STATEMENTS (Continued)</w:t>
      </w:r>
    </w:p>
    <w:p w14:paraId="59E49C75"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(unaudited)</w:t>
      </w:r>
    </w:p>
    <w:p w14:paraId="59E49C76"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9C77"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 xml:space="preserve">Aggregate Future Maturities </w:t>
      </w:r>
    </w:p>
    <w:p w14:paraId="59E49C78"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9C79" w14:textId="77777777" w:rsidR="00D7560A" w:rsidRDefault="001E3CAB">
      <w:pPr>
        <w:widowControl/>
        <w:spacing w:after="12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The following table presents the aggregate future maturities of the Company’s debt as of July 29, 2022 for the periods indicated: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52"/>
        <w:gridCol w:w="1632"/>
        <w:gridCol w:w="39"/>
        <w:gridCol w:w="121"/>
        <w:gridCol w:w="880"/>
        <w:gridCol w:w="36"/>
        <w:gridCol w:w="36"/>
        <w:gridCol w:w="36"/>
        <w:gridCol w:w="36"/>
        <w:gridCol w:w="120"/>
        <w:gridCol w:w="626"/>
        <w:gridCol w:w="36"/>
        <w:gridCol w:w="36"/>
        <w:gridCol w:w="36"/>
        <w:gridCol w:w="36"/>
        <w:gridCol w:w="120"/>
        <w:gridCol w:w="626"/>
        <w:gridCol w:w="36"/>
        <w:gridCol w:w="36"/>
        <w:gridCol w:w="36"/>
        <w:gridCol w:w="36"/>
        <w:gridCol w:w="120"/>
        <w:gridCol w:w="626"/>
        <w:gridCol w:w="36"/>
        <w:gridCol w:w="36"/>
        <w:gridCol w:w="36"/>
        <w:gridCol w:w="36"/>
        <w:gridCol w:w="120"/>
        <w:gridCol w:w="626"/>
        <w:gridCol w:w="36"/>
        <w:gridCol w:w="36"/>
        <w:gridCol w:w="36"/>
        <w:gridCol w:w="36"/>
        <w:gridCol w:w="121"/>
        <w:gridCol w:w="860"/>
        <w:gridCol w:w="36"/>
        <w:gridCol w:w="36"/>
        <w:gridCol w:w="36"/>
        <w:gridCol w:w="36"/>
        <w:gridCol w:w="120"/>
        <w:gridCol w:w="627"/>
        <w:gridCol w:w="36"/>
      </w:tblGrid>
      <w:tr w:rsidR="00D7560A" w14:paraId="59E49CA4" w14:textId="77777777">
        <w:trPr>
          <w:jc w:val="center"/>
        </w:trPr>
        <w:tc>
          <w:tcPr>
            <w:tcW w:w="50" w:type="pct"/>
            <w:tcBorders>
              <w:top w:val="nil"/>
              <w:left w:val="nil"/>
              <w:bottom w:val="nil"/>
              <w:right w:val="nil"/>
            </w:tcBorders>
            <w:shd w:val="clear" w:color="auto" w:fill="auto"/>
            <w:vAlign w:val="bottom"/>
          </w:tcPr>
          <w:p w14:paraId="59E49C7A" w14:textId="77777777" w:rsidR="00D7560A" w:rsidRDefault="00D7560A">
            <w:pPr>
              <w:widowControl/>
              <w:jc w:val="left"/>
              <w:rPr>
                <w:rFonts w:ascii="Times New Roman" w:eastAsia="宋体" w:hAnsi="宋体" w:cs="宋体"/>
                <w:kern w:val="0"/>
                <w:sz w:val="24"/>
              </w:rPr>
            </w:pPr>
          </w:p>
        </w:tc>
        <w:tc>
          <w:tcPr>
            <w:tcW w:w="1136" w:type="pct"/>
            <w:tcBorders>
              <w:top w:val="nil"/>
              <w:left w:val="nil"/>
              <w:bottom w:val="nil"/>
              <w:right w:val="nil"/>
            </w:tcBorders>
            <w:shd w:val="clear" w:color="auto" w:fill="auto"/>
            <w:vAlign w:val="bottom"/>
          </w:tcPr>
          <w:p w14:paraId="59E49C7B"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C7C"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9C7D" w14:textId="77777777" w:rsidR="00D7560A" w:rsidRDefault="00D7560A">
            <w:pPr>
              <w:widowControl/>
              <w:jc w:val="left"/>
              <w:rPr>
                <w:rFonts w:ascii="Times New Roman" w:eastAsia="宋体" w:hAnsi="宋体" w:cs="宋体"/>
                <w:kern w:val="0"/>
                <w:sz w:val="24"/>
              </w:rPr>
            </w:pPr>
          </w:p>
        </w:tc>
        <w:tc>
          <w:tcPr>
            <w:tcW w:w="463" w:type="pct"/>
            <w:tcBorders>
              <w:top w:val="nil"/>
              <w:left w:val="nil"/>
              <w:bottom w:val="nil"/>
              <w:right w:val="nil"/>
            </w:tcBorders>
            <w:shd w:val="clear" w:color="auto" w:fill="auto"/>
            <w:vAlign w:val="bottom"/>
          </w:tcPr>
          <w:p w14:paraId="59E49C7E"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C7F"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C80" w14:textId="77777777" w:rsidR="00D7560A" w:rsidRDefault="00D7560A">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59E49C81"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C82"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9C83" w14:textId="77777777" w:rsidR="00D7560A" w:rsidRDefault="00D7560A">
            <w:pPr>
              <w:widowControl/>
              <w:jc w:val="left"/>
              <w:rPr>
                <w:rFonts w:ascii="Times New Roman" w:eastAsia="宋体" w:hAnsi="宋体" w:cs="宋体"/>
                <w:kern w:val="0"/>
                <w:sz w:val="24"/>
              </w:rPr>
            </w:pPr>
          </w:p>
        </w:tc>
        <w:tc>
          <w:tcPr>
            <w:tcW w:w="463" w:type="pct"/>
            <w:tcBorders>
              <w:top w:val="nil"/>
              <w:left w:val="nil"/>
              <w:bottom w:val="nil"/>
              <w:right w:val="nil"/>
            </w:tcBorders>
            <w:shd w:val="clear" w:color="auto" w:fill="auto"/>
            <w:vAlign w:val="bottom"/>
          </w:tcPr>
          <w:p w14:paraId="59E49C84"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C85"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C86" w14:textId="77777777" w:rsidR="00D7560A" w:rsidRDefault="00D7560A">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59E49C87"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C88"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9C89" w14:textId="77777777" w:rsidR="00D7560A" w:rsidRDefault="00D7560A">
            <w:pPr>
              <w:widowControl/>
              <w:jc w:val="left"/>
              <w:rPr>
                <w:rFonts w:ascii="Times New Roman" w:eastAsia="宋体" w:hAnsi="宋体" w:cs="宋体"/>
                <w:kern w:val="0"/>
                <w:sz w:val="24"/>
              </w:rPr>
            </w:pPr>
          </w:p>
        </w:tc>
        <w:tc>
          <w:tcPr>
            <w:tcW w:w="463" w:type="pct"/>
            <w:tcBorders>
              <w:top w:val="nil"/>
              <w:left w:val="nil"/>
              <w:bottom w:val="nil"/>
              <w:right w:val="nil"/>
            </w:tcBorders>
            <w:shd w:val="clear" w:color="auto" w:fill="auto"/>
            <w:vAlign w:val="bottom"/>
          </w:tcPr>
          <w:p w14:paraId="59E49C8A"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C8B"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C8C" w14:textId="77777777" w:rsidR="00D7560A" w:rsidRDefault="00D7560A">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59E49C8D"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C8E"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9C8F" w14:textId="77777777" w:rsidR="00D7560A" w:rsidRDefault="00D7560A">
            <w:pPr>
              <w:widowControl/>
              <w:jc w:val="left"/>
              <w:rPr>
                <w:rFonts w:ascii="Times New Roman" w:eastAsia="宋体" w:hAnsi="宋体" w:cs="宋体"/>
                <w:kern w:val="0"/>
                <w:sz w:val="24"/>
              </w:rPr>
            </w:pPr>
          </w:p>
        </w:tc>
        <w:tc>
          <w:tcPr>
            <w:tcW w:w="463" w:type="pct"/>
            <w:tcBorders>
              <w:top w:val="nil"/>
              <w:left w:val="nil"/>
              <w:bottom w:val="nil"/>
              <w:right w:val="nil"/>
            </w:tcBorders>
            <w:shd w:val="clear" w:color="auto" w:fill="auto"/>
            <w:vAlign w:val="bottom"/>
          </w:tcPr>
          <w:p w14:paraId="59E49C90"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C91"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C92" w14:textId="77777777" w:rsidR="00D7560A" w:rsidRDefault="00D7560A">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59E49C93"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C94"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9C95" w14:textId="77777777" w:rsidR="00D7560A" w:rsidRDefault="00D7560A">
            <w:pPr>
              <w:widowControl/>
              <w:jc w:val="left"/>
              <w:rPr>
                <w:rFonts w:ascii="Times New Roman" w:eastAsia="宋体" w:hAnsi="宋体" w:cs="宋体"/>
                <w:kern w:val="0"/>
                <w:sz w:val="24"/>
              </w:rPr>
            </w:pPr>
          </w:p>
        </w:tc>
        <w:tc>
          <w:tcPr>
            <w:tcW w:w="463" w:type="pct"/>
            <w:tcBorders>
              <w:top w:val="nil"/>
              <w:left w:val="nil"/>
              <w:bottom w:val="nil"/>
              <w:right w:val="nil"/>
            </w:tcBorders>
            <w:shd w:val="clear" w:color="auto" w:fill="auto"/>
            <w:vAlign w:val="bottom"/>
          </w:tcPr>
          <w:p w14:paraId="59E49C96"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C97"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C98" w14:textId="77777777" w:rsidR="00D7560A" w:rsidRDefault="00D7560A">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59E49C99"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C9A"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9C9B" w14:textId="77777777" w:rsidR="00D7560A" w:rsidRDefault="00D7560A">
            <w:pPr>
              <w:widowControl/>
              <w:jc w:val="left"/>
              <w:rPr>
                <w:rFonts w:ascii="Times New Roman" w:eastAsia="宋体" w:hAnsi="宋体" w:cs="宋体"/>
                <w:kern w:val="0"/>
                <w:sz w:val="24"/>
              </w:rPr>
            </w:pPr>
          </w:p>
        </w:tc>
        <w:tc>
          <w:tcPr>
            <w:tcW w:w="463" w:type="pct"/>
            <w:tcBorders>
              <w:top w:val="nil"/>
              <w:left w:val="nil"/>
              <w:bottom w:val="nil"/>
              <w:right w:val="nil"/>
            </w:tcBorders>
            <w:shd w:val="clear" w:color="auto" w:fill="auto"/>
            <w:vAlign w:val="bottom"/>
          </w:tcPr>
          <w:p w14:paraId="59E49C9C"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C9D"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C9E" w14:textId="77777777" w:rsidR="00D7560A" w:rsidRDefault="00D7560A">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59E49C9F"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CA0"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9CA1" w14:textId="77777777" w:rsidR="00D7560A" w:rsidRDefault="00D7560A">
            <w:pPr>
              <w:widowControl/>
              <w:jc w:val="left"/>
              <w:rPr>
                <w:rFonts w:ascii="Times New Roman" w:eastAsia="宋体" w:hAnsi="宋体" w:cs="宋体"/>
                <w:kern w:val="0"/>
                <w:sz w:val="24"/>
              </w:rPr>
            </w:pPr>
          </w:p>
        </w:tc>
        <w:tc>
          <w:tcPr>
            <w:tcW w:w="463" w:type="pct"/>
            <w:tcBorders>
              <w:top w:val="nil"/>
              <w:left w:val="nil"/>
              <w:bottom w:val="nil"/>
              <w:right w:val="nil"/>
            </w:tcBorders>
            <w:shd w:val="clear" w:color="auto" w:fill="auto"/>
            <w:vAlign w:val="bottom"/>
          </w:tcPr>
          <w:p w14:paraId="59E49CA2"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CA3" w14:textId="77777777" w:rsidR="00D7560A" w:rsidRDefault="00D7560A">
            <w:pPr>
              <w:widowControl/>
              <w:jc w:val="left"/>
              <w:rPr>
                <w:rFonts w:ascii="Times New Roman" w:eastAsia="宋体" w:hAnsi="宋体" w:cs="宋体"/>
                <w:kern w:val="0"/>
                <w:sz w:val="24"/>
              </w:rPr>
            </w:pPr>
          </w:p>
        </w:tc>
      </w:tr>
      <w:tr w:rsidR="00D7560A" w14:paraId="59E49CA7"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9E49CA5"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gridSpan w:val="39"/>
            <w:tcBorders>
              <w:top w:val="nil"/>
              <w:left w:val="nil"/>
              <w:bottom w:val="nil"/>
              <w:right w:val="nil"/>
            </w:tcBorders>
            <w:shd w:val="clear" w:color="auto" w:fill="auto"/>
            <w:tcMar>
              <w:top w:w="40" w:type="dxa"/>
              <w:left w:w="20" w:type="dxa"/>
              <w:bottom w:w="40" w:type="dxa"/>
              <w:right w:w="20" w:type="dxa"/>
            </w:tcMar>
            <w:vAlign w:val="bottom"/>
          </w:tcPr>
          <w:p w14:paraId="59E49CA6"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Maturities by Fiscal Year</w:t>
            </w:r>
          </w:p>
        </w:tc>
      </w:tr>
      <w:tr w:rsidR="00D7560A" w14:paraId="59E49CB6"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9E49CA8"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59E49CA9"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2023 (remai</w:t>
            </w:r>
            <w:r>
              <w:rPr>
                <w:rFonts w:ascii="Times New Roman" w:eastAsia="宋体" w:hAnsi="Times New Roman" w:cs="Times New Roman"/>
                <w:b/>
                <w:bCs/>
                <w:color w:val="000000"/>
                <w:kern w:val="0"/>
                <w:sz w:val="20"/>
                <w:szCs w:val="20"/>
                <w:lang w:bidi="ar"/>
              </w:rPr>
              <w:t>ning six months)</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59E49CAA"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59E49CAB"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2024</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59E49CAC"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59E49CAD"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2025</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59E49CAE"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59E49CAF"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2026</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59E49CB0"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59E49CB1"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2027</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59E49CB2"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59E49CB3"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Thereafter</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59E49CB4"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59E49CB5"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Total</w:t>
            </w:r>
          </w:p>
        </w:tc>
      </w:tr>
      <w:tr w:rsidR="00D7560A" w14:paraId="59E49CB9"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9E49CB7"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gridSpan w:val="39"/>
            <w:tcBorders>
              <w:top w:val="single" w:sz="8" w:space="0" w:color="000000"/>
              <w:left w:val="nil"/>
              <w:bottom w:val="nil"/>
              <w:right w:val="nil"/>
            </w:tcBorders>
            <w:shd w:val="clear" w:color="auto" w:fill="auto"/>
            <w:tcMar>
              <w:top w:w="40" w:type="dxa"/>
              <w:left w:w="20" w:type="dxa"/>
              <w:bottom w:w="40" w:type="dxa"/>
              <w:right w:w="20" w:type="dxa"/>
            </w:tcMar>
            <w:vAlign w:val="bottom"/>
          </w:tcPr>
          <w:p w14:paraId="59E49CB8"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(in millions)</w:t>
            </w:r>
          </w:p>
        </w:tc>
      </w:tr>
      <w:tr w:rsidR="00D7560A" w14:paraId="59E49CD6"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9E49CBA"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Senior Notes</w:t>
            </w: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9E49CBB"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9E49CBC"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9CBD"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CBE"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9E49CBF"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9E49CC0"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1,000 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9CC1"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CC2"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9E49CC3"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9E49CC4"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1,000 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9CC5"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CC6"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9E49CC7"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9E49CC8"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1,000 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9CC9"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CCA"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9E49CCB"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9E49CCC"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6,250 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9CCD"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CCE"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9E49CCF"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9E49CD0"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7,050 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9CD1"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CD2"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9E49CD3"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9E49CD4"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16,300 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9CD5" w14:textId="77777777" w:rsidR="00D7560A" w:rsidRDefault="00D7560A">
            <w:pPr>
              <w:widowControl/>
              <w:jc w:val="right"/>
              <w:rPr>
                <w:rFonts w:ascii="Times New Roman" w:eastAsia="宋体" w:hAnsi="宋体" w:cs="宋体"/>
                <w:kern w:val="0"/>
                <w:sz w:val="24"/>
              </w:rPr>
            </w:pPr>
          </w:p>
        </w:tc>
      </w:tr>
      <w:tr w:rsidR="00D7560A" w14:paraId="59E49CEC"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59E49CD7"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Legacy Notes and Debentures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9CD8"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9CD9"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9CDA"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9CDB"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9CDC"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9CDD"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9CDE"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9CDF"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9CE0"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9CE1"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9CE2"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9CE3"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9CE4"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9CE5"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9CE6"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9CE7"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952 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9CE8"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9CE9"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9CEA"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952 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9CEB" w14:textId="77777777" w:rsidR="00D7560A" w:rsidRDefault="00D7560A">
            <w:pPr>
              <w:widowControl/>
              <w:jc w:val="right"/>
              <w:rPr>
                <w:rFonts w:ascii="Times New Roman" w:eastAsia="宋体" w:hAnsi="宋体" w:cs="宋体"/>
                <w:kern w:val="0"/>
                <w:sz w:val="24"/>
              </w:rPr>
            </w:pPr>
          </w:p>
        </w:tc>
      </w:tr>
      <w:tr w:rsidR="00D7560A" w14:paraId="59E49D02"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9E49CED"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DFS Debt</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9CEE"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3,538 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9CEF"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CF0"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9CF1"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3,027 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9CF2"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CF3"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9CF4"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2,245 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9CF5"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CF6"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9CF7"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263 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9CF8"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CF9"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9CFA"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565</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9CFB"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CFC"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9CFD"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9CFE"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CFF"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9D00"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9,640 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9D01" w14:textId="77777777" w:rsidR="00D7560A" w:rsidRDefault="00D7560A">
            <w:pPr>
              <w:widowControl/>
              <w:jc w:val="right"/>
              <w:rPr>
                <w:rFonts w:ascii="Times New Roman" w:eastAsia="宋体" w:hAnsi="宋体" w:cs="宋体"/>
                <w:kern w:val="0"/>
                <w:sz w:val="24"/>
              </w:rPr>
            </w:pPr>
          </w:p>
        </w:tc>
      </w:tr>
      <w:tr w:rsidR="00D7560A" w14:paraId="59E49D18"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59E49D03"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Other</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9D04"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9D05"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9D06"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9D07"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161 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9D08"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9D09"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9D0A"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107 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9D0B"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9D0C"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9D0D"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9D0E"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9D0F"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9D10"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9D11"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9D12"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9D13"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9D14"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9D15"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9D16"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311 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9D17" w14:textId="77777777" w:rsidR="00D7560A" w:rsidRDefault="00D7560A">
            <w:pPr>
              <w:widowControl/>
              <w:jc w:val="right"/>
              <w:rPr>
                <w:rFonts w:ascii="Times New Roman" w:eastAsia="宋体" w:hAnsi="宋体" w:cs="宋体"/>
                <w:kern w:val="0"/>
                <w:sz w:val="24"/>
              </w:rPr>
            </w:pPr>
          </w:p>
        </w:tc>
      </w:tr>
      <w:tr w:rsidR="00D7560A" w14:paraId="59E49D2E" w14:textId="77777777">
        <w:trPr>
          <w:jc w:val="center"/>
        </w:trPr>
        <w:tc>
          <w:tcPr>
            <w:tcW w:w="0" w:type="auto"/>
            <w:gridSpan w:val="3"/>
            <w:tcBorders>
              <w:top w:val="nil"/>
              <w:left w:val="nil"/>
              <w:bottom w:val="nil"/>
              <w:right w:val="nil"/>
            </w:tcBorders>
            <w:shd w:val="clear" w:color="auto" w:fill="CCEEFF"/>
            <w:tcMar>
              <w:top w:w="40" w:type="dxa"/>
              <w:left w:w="155" w:type="dxa"/>
              <w:bottom w:w="40" w:type="dxa"/>
              <w:right w:w="20" w:type="dxa"/>
            </w:tcMar>
            <w:vAlign w:val="bottom"/>
          </w:tcPr>
          <w:p w14:paraId="59E49D19"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Total maturities, principal amount</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59E49D1A"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3,559</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59E49D1B"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D1C" w14:textId="77777777" w:rsidR="00D7560A" w:rsidRDefault="00D7560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59E49D1D"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4,188 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59E49D1E"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D1F" w14:textId="77777777" w:rsidR="00D7560A" w:rsidRDefault="00D7560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59E49D20"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3,352 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59E49D21"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D22" w14:textId="77777777" w:rsidR="00D7560A" w:rsidRDefault="00D7560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59E49D23"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1,283 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59E49D24"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D25" w14:textId="77777777" w:rsidR="00D7560A" w:rsidRDefault="00D7560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59E49D26"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6,816 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59E49D27"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D28" w14:textId="77777777" w:rsidR="00D7560A" w:rsidRDefault="00D7560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59E49D29"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8,005 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59E49D2A"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D2B" w14:textId="77777777" w:rsidR="00D7560A" w:rsidRDefault="00D7560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59E49D2C"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27,203 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59E49D2D" w14:textId="77777777" w:rsidR="00D7560A" w:rsidRDefault="00D7560A">
            <w:pPr>
              <w:widowControl/>
              <w:jc w:val="right"/>
              <w:rPr>
                <w:rFonts w:ascii="Times New Roman" w:eastAsia="宋体" w:hAnsi="宋体" w:cs="宋体"/>
                <w:kern w:val="0"/>
                <w:sz w:val="24"/>
              </w:rPr>
            </w:pPr>
          </w:p>
        </w:tc>
      </w:tr>
      <w:tr w:rsidR="00D7560A" w14:paraId="59E49D44" w14:textId="77777777">
        <w:trPr>
          <w:jc w:val="center"/>
        </w:trPr>
        <w:tc>
          <w:tcPr>
            <w:tcW w:w="0" w:type="auto"/>
            <w:gridSpan w:val="3"/>
            <w:tcBorders>
              <w:top w:val="nil"/>
              <w:left w:val="nil"/>
              <w:bottom w:val="nil"/>
              <w:right w:val="nil"/>
            </w:tcBorders>
            <w:shd w:val="clear" w:color="auto" w:fill="FFFFFF"/>
            <w:tcMar>
              <w:top w:w="40" w:type="dxa"/>
              <w:left w:w="260" w:type="dxa"/>
              <w:bottom w:w="40" w:type="dxa"/>
              <w:right w:w="20" w:type="dxa"/>
            </w:tcMar>
            <w:vAlign w:val="bottom"/>
          </w:tcPr>
          <w:p w14:paraId="59E49D2F"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Associated carrying value adjustments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9D30"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9D31"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9D32"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9D33"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9D34"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9D35"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9D36"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9D37"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9D38"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9D39"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(8)</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9D3A"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9D3B"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9D3C"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9D3D"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9D3E"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9D3F"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(187)</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9D40"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9D41"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9D42"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(269)</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9D43" w14:textId="77777777" w:rsidR="00D7560A" w:rsidRDefault="00D7560A">
            <w:pPr>
              <w:widowControl/>
              <w:jc w:val="right"/>
              <w:rPr>
                <w:rFonts w:ascii="Times New Roman" w:eastAsia="宋体" w:hAnsi="宋体" w:cs="宋体"/>
                <w:kern w:val="0"/>
                <w:sz w:val="24"/>
              </w:rPr>
            </w:pPr>
          </w:p>
        </w:tc>
      </w:tr>
      <w:tr w:rsidR="00D7560A" w14:paraId="59E49D61" w14:textId="77777777">
        <w:trPr>
          <w:jc w:val="center"/>
        </w:trPr>
        <w:tc>
          <w:tcPr>
            <w:tcW w:w="0" w:type="auto"/>
            <w:gridSpan w:val="3"/>
            <w:tcBorders>
              <w:top w:val="nil"/>
              <w:left w:val="nil"/>
              <w:bottom w:val="nil"/>
              <w:right w:val="nil"/>
            </w:tcBorders>
            <w:shd w:val="clear" w:color="auto" w:fill="CCEEFF"/>
            <w:tcMar>
              <w:top w:w="40" w:type="dxa"/>
              <w:left w:w="155" w:type="dxa"/>
              <w:bottom w:w="40" w:type="dxa"/>
              <w:right w:w="20" w:type="dxa"/>
            </w:tcMar>
            <w:vAlign w:val="bottom"/>
          </w:tcPr>
          <w:p w14:paraId="59E49D45"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Total maturities, carrying</w:t>
            </w:r>
            <w:r>
              <w:rPr>
                <w:rFonts w:ascii="Times New Roman" w:eastAsia="宋体" w:hAnsi="Times New Roman" w:cs="Times New Roman"/>
                <w:color w:val="000000"/>
                <w:kern w:val="0"/>
                <w:sz w:val="20"/>
                <w:szCs w:val="20"/>
                <w:lang w:bidi="ar"/>
              </w:rPr>
              <w:t xml:space="preserve"> value amount</w:t>
            </w: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59E49D46"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59E49D47"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3,556 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59E49D48"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D49"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59E49D4A"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59E49D4B"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4,181 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59E49D4C"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D4D"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59E49D4E"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59E49D4F"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3,342 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59E49D50"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D51"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59E49D52"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59E49D53"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1,275 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59E49D54"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D55"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59E49D56"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59E49D57"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6,762 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59E49D58"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D59"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59E49D5A"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59E49D5B"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7,818 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59E49D5C"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D5D"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59E49D5E"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59E49D5F"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26,934 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59E49D60" w14:textId="77777777" w:rsidR="00D7560A" w:rsidRDefault="00D7560A">
            <w:pPr>
              <w:widowControl/>
              <w:jc w:val="right"/>
              <w:rPr>
                <w:rFonts w:ascii="Times New Roman" w:eastAsia="宋体" w:hAnsi="宋体" w:cs="宋体"/>
                <w:kern w:val="0"/>
                <w:sz w:val="24"/>
              </w:rPr>
            </w:pPr>
          </w:p>
        </w:tc>
      </w:tr>
    </w:tbl>
    <w:p w14:paraId="59E49D62" w14:textId="77777777" w:rsidR="00D7560A" w:rsidRDefault="001E3CAB">
      <w:pPr>
        <w:widowControl/>
        <w:spacing w:before="100"/>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9D63" w14:textId="77777777" w:rsidR="00D7560A" w:rsidRDefault="001E3CAB">
      <w:pPr>
        <w:widowControl/>
        <w:spacing w:before="100"/>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9D64"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9D65"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32</w:t>
      </w:r>
    </w:p>
    <w:p w14:paraId="59E49D66"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9D67" w14:textId="77777777" w:rsidR="00D7560A" w:rsidRDefault="001E3CAB">
      <w:pPr>
        <w:widowControl/>
        <w:jc w:val="center"/>
      </w:pPr>
      <w:r>
        <w:rPr>
          <w:rFonts w:ascii="宋体" w:eastAsia="宋体" w:hAnsi="宋体" w:cs="宋体"/>
          <w:kern w:val="0"/>
          <w:sz w:val="24"/>
        </w:rPr>
        <w:pict w14:anchorId="59E4C7EB">
          <v:rect id="_x0000_i1056" style="width:6in;height:1.5pt" o:hralign="center" o:hrstd="t" o:hr="t" fillcolor="#a0a0a0" stroked="f"/>
        </w:pict>
      </w:r>
    </w:p>
    <w:p w14:paraId="59E49D68" w14:textId="77777777" w:rsidR="00D7560A" w:rsidRDefault="001E3CAB">
      <w:pPr>
        <w:widowControl/>
        <w:jc w:val="left"/>
        <w:rPr>
          <w:rFonts w:ascii="宋体" w:eastAsia="宋体" w:hAnsi="宋体" w:cs="宋体"/>
          <w:kern w:val="0"/>
          <w:sz w:val="24"/>
        </w:rPr>
      </w:pPr>
      <w:hyperlink w:anchor="if933dd1d5d004d2495dd7029e3ecad00_13" w:history="1">
        <w:r>
          <w:rPr>
            <w:rStyle w:val="a4"/>
            <w:rFonts w:ascii="Times New Roman" w:eastAsia="宋体" w:hAnsi="Times New Roman" w:cs="Times New Roman"/>
            <w:sz w:val="20"/>
            <w:szCs w:val="20"/>
          </w:rPr>
          <w:t>Table of Contents</w:t>
        </w:r>
      </w:hyperlink>
    </w:p>
    <w:p w14:paraId="59E49D69"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DELL TECHNOLOGIES INC.</w:t>
      </w:r>
    </w:p>
    <w:p w14:paraId="59E49D6A"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NOTES TO THE CONDENSED CONSOLIDATED FINANCIAL STATEMENTS (Continued)</w:t>
      </w:r>
    </w:p>
    <w:p w14:paraId="59E49D6B"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(unaudited)</w:t>
      </w:r>
    </w:p>
    <w:p w14:paraId="59E49D6C"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9D6D"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 xml:space="preserve">NOTE 8 — DERIVATIVE INSTRUMENTS AND HEDGING ACTIVITIES </w:t>
      </w:r>
    </w:p>
    <w:p w14:paraId="59E49D6E"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9D6F"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As part of its risk management strategy, the Company uses derivative instruments, primarily foreign currency forward and option contracts and interest rate swaps, to hedge certain fore</w:t>
      </w:r>
      <w:r>
        <w:rPr>
          <w:rFonts w:ascii="Times New Roman" w:eastAsia="宋体" w:hAnsi="Times New Roman" w:cs="Times New Roman"/>
          <w:color w:val="000000"/>
          <w:kern w:val="0"/>
          <w:sz w:val="20"/>
          <w:szCs w:val="20"/>
          <w:lang w:bidi="ar"/>
        </w:rPr>
        <w:t>ign currency and interest rate exposures, respectively.</w:t>
      </w:r>
    </w:p>
    <w:p w14:paraId="59E49D70"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9D71"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The Company’s objective is to offset gains and losses resulting from these exposures with gains and losses on the derivative contracts used to hedge the exposures, thereby reducing volatility of ear</w:t>
      </w:r>
      <w:r>
        <w:rPr>
          <w:rFonts w:ascii="Times New Roman" w:eastAsia="宋体" w:hAnsi="Times New Roman" w:cs="Times New Roman"/>
          <w:color w:val="000000"/>
          <w:kern w:val="0"/>
          <w:sz w:val="20"/>
          <w:szCs w:val="20"/>
          <w:lang w:bidi="ar"/>
        </w:rPr>
        <w:t>nings and protecting the fair values of assets and liabilities. The earnings effects of the derivative instruments are presented in the same income statement line items as the earnings effects of the hedged items. For derivatives designated as cash flow he</w:t>
      </w:r>
      <w:r>
        <w:rPr>
          <w:rFonts w:ascii="Times New Roman" w:eastAsia="宋体" w:hAnsi="Times New Roman" w:cs="Times New Roman"/>
          <w:color w:val="000000"/>
          <w:kern w:val="0"/>
          <w:sz w:val="20"/>
          <w:szCs w:val="20"/>
          <w:lang w:bidi="ar"/>
        </w:rPr>
        <w:t>dges, the Company assesses hedge effectiveness both at the onset of the hedge and at regular intervals throughout the life of the derivative. The Company does not have any derivatives designated as fair value hedges.</w:t>
      </w:r>
    </w:p>
    <w:p w14:paraId="59E49D72"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9D73"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Foreign Exchange Risk</w:t>
      </w:r>
    </w:p>
    <w:p w14:paraId="59E49D74"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9D75"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The Company u</w:t>
      </w:r>
      <w:r>
        <w:rPr>
          <w:rFonts w:ascii="Times New Roman" w:eastAsia="宋体" w:hAnsi="Times New Roman" w:cs="Times New Roman"/>
          <w:color w:val="000000"/>
          <w:kern w:val="0"/>
          <w:sz w:val="20"/>
          <w:szCs w:val="20"/>
          <w:lang w:bidi="ar"/>
        </w:rPr>
        <w:t>ses foreign currency forward and option contracts designated as cash flow hedges to protect against the foreign currency exchange rate risks inherent in its forecasted transactions denominated in currencies other than the U.S. Dollar. Hedge accounting is a</w:t>
      </w:r>
      <w:r>
        <w:rPr>
          <w:rFonts w:ascii="Times New Roman" w:eastAsia="宋体" w:hAnsi="Times New Roman" w:cs="Times New Roman"/>
          <w:color w:val="000000"/>
          <w:kern w:val="0"/>
          <w:sz w:val="20"/>
          <w:szCs w:val="20"/>
          <w:lang w:bidi="ar"/>
        </w:rPr>
        <w:t>pplied based upon the criteria established by accounting guidance for derivative instruments and hedging activities. The risk of loss associated with purchased options is limited to premium amounts paid for the option contracts. The risk of loss associated</w:t>
      </w:r>
      <w:r>
        <w:rPr>
          <w:rFonts w:ascii="Times New Roman" w:eastAsia="宋体" w:hAnsi="Times New Roman" w:cs="Times New Roman"/>
          <w:color w:val="000000"/>
          <w:kern w:val="0"/>
          <w:sz w:val="20"/>
          <w:szCs w:val="20"/>
          <w:lang w:bidi="ar"/>
        </w:rPr>
        <w:t xml:space="preserve"> with forward contracts is equal to the exchange rate differential from the time the contract is entered into until the time it is settled. The majority of these contracts typically expire in twelve months or less.</w:t>
      </w:r>
    </w:p>
    <w:p w14:paraId="59E49D76"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9D77"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During three and six months ended July </w:t>
      </w:r>
      <w:r>
        <w:rPr>
          <w:rFonts w:ascii="Times New Roman" w:eastAsia="宋体" w:hAnsi="Times New Roman" w:cs="Times New Roman"/>
          <w:color w:val="000000"/>
          <w:kern w:val="0"/>
          <w:sz w:val="20"/>
          <w:szCs w:val="20"/>
          <w:lang w:bidi="ar"/>
        </w:rPr>
        <w:t>29, 2022 and July 30, 2021, the Company did not discontinue any cash flow hedges related to foreign exchange contracts that had a material impact on the Company’s results of operations due to the probability that the forecasted cash flows would not occur.</w:t>
      </w:r>
    </w:p>
    <w:p w14:paraId="59E49D78"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9D79"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The Company uses forward contracts to hedge monetary assets and liabilities denominated in a foreign currency. These contracts generally expire in three months or less, are considered economic hedges, and are not designated for hedge accounting. The chan</w:t>
      </w:r>
      <w:r>
        <w:rPr>
          <w:rFonts w:ascii="Times New Roman" w:eastAsia="宋体" w:hAnsi="Times New Roman" w:cs="Times New Roman"/>
          <w:color w:val="000000"/>
          <w:kern w:val="0"/>
          <w:sz w:val="20"/>
          <w:szCs w:val="20"/>
          <w:lang w:bidi="ar"/>
        </w:rPr>
        <w:t>ge in the fair value of these instruments represents a natural hedge as their gains and losses offset the changes in the underlying fair value of the monetary assets and liabilities due to movements in currency exchange rates.</w:t>
      </w:r>
    </w:p>
    <w:p w14:paraId="59E49D7A"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9D7B"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In connection with expanded</w:t>
      </w:r>
      <w:r>
        <w:rPr>
          <w:rFonts w:ascii="Times New Roman" w:eastAsia="宋体" w:hAnsi="Times New Roman" w:cs="Times New Roman"/>
          <w:color w:val="000000"/>
          <w:kern w:val="0"/>
          <w:sz w:val="20"/>
          <w:szCs w:val="20"/>
          <w:lang w:bidi="ar"/>
        </w:rPr>
        <w:t xml:space="preserve"> offerings of DFS in Europe, forward contracts are used to hedge financing receivables denominated in foreign currencies other than Euro. These contracts are not designated for hedge accounting and most expire within three years or less.</w:t>
      </w:r>
    </w:p>
    <w:p w14:paraId="59E49D7C"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9D7D"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Interest Rate Ri</w:t>
      </w:r>
      <w:r>
        <w:rPr>
          <w:rFonts w:ascii="Times New Roman" w:eastAsia="宋体" w:hAnsi="Times New Roman" w:cs="Times New Roman"/>
          <w:b/>
          <w:bCs/>
          <w:color w:val="000000"/>
          <w:kern w:val="0"/>
          <w:sz w:val="20"/>
          <w:szCs w:val="20"/>
          <w:lang w:bidi="ar"/>
        </w:rPr>
        <w:t>sk</w:t>
      </w:r>
    </w:p>
    <w:p w14:paraId="59E49D7E"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9D7F"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The Company uses interest rate swaps to hedge the variability in cash flows related to the interest rate payments on structured financing debt. The interest rate swaps economically convert the variable rate on the structured financing debt to a </w:t>
      </w:r>
      <w:r>
        <w:rPr>
          <w:rFonts w:ascii="Times New Roman" w:eastAsia="宋体" w:hAnsi="Times New Roman" w:cs="Times New Roman"/>
          <w:color w:val="000000"/>
          <w:kern w:val="0"/>
          <w:sz w:val="20"/>
          <w:szCs w:val="20"/>
          <w:lang w:bidi="ar"/>
        </w:rPr>
        <w:t>fixed interest rate to match the underlying fixed rate being received on fixed-term customer leases and loans. These contracts are not designated for hedge accounting and most expire within four years or less.</w:t>
      </w:r>
    </w:p>
    <w:p w14:paraId="59E49D80" w14:textId="77777777" w:rsidR="00D7560A" w:rsidRDefault="001E3CAB">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59E49D81"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Interest rate swaps are utilized to manage t</w:t>
      </w:r>
      <w:r>
        <w:rPr>
          <w:rFonts w:ascii="Times New Roman" w:eastAsia="宋体" w:hAnsi="Times New Roman" w:cs="Times New Roman"/>
          <w:color w:val="000000"/>
          <w:kern w:val="0"/>
          <w:sz w:val="20"/>
          <w:szCs w:val="20"/>
          <w:lang w:bidi="ar"/>
        </w:rPr>
        <w:t>he interest rate risk, at a portfolio level, associated with DFS operations in Europe. The interest rate swaps economically convert the fixed rate on financing receivables to a three-month Euribor floating rate in order to match the floating rate nature of</w:t>
      </w:r>
      <w:r>
        <w:rPr>
          <w:rFonts w:ascii="Times New Roman" w:eastAsia="宋体" w:hAnsi="Times New Roman" w:cs="Times New Roman"/>
          <w:color w:val="000000"/>
          <w:kern w:val="0"/>
          <w:sz w:val="20"/>
          <w:szCs w:val="20"/>
          <w:lang w:bidi="ar"/>
        </w:rPr>
        <w:t xml:space="preserve"> the banks’ funding pool. These contracts are not designated for hedge accounting and most expire within five years or less.</w:t>
      </w:r>
    </w:p>
    <w:p w14:paraId="59E49D82"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9D83"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D0D0D"/>
          <w:kern w:val="0"/>
          <w:sz w:val="20"/>
          <w:szCs w:val="20"/>
          <w:lang w:bidi="ar"/>
        </w:rPr>
        <w:t>The Company utilizes cross-currency amortizing swaps to hedge the currency and interest rate risk exposure associated with the Eu</w:t>
      </w:r>
      <w:r>
        <w:rPr>
          <w:rFonts w:ascii="Times New Roman" w:eastAsia="宋体" w:hAnsi="Times New Roman" w:cs="Times New Roman"/>
          <w:color w:val="0D0D0D"/>
          <w:kern w:val="0"/>
          <w:sz w:val="20"/>
          <w:szCs w:val="20"/>
          <w:lang w:bidi="ar"/>
        </w:rPr>
        <w:t>ropean securitization program.  The cross-currency swaps combine a Euro-based interest rate swap with a British Pound or U.S. Dollar foreign exchange forward contract in which the Company pays a fixed or floating British Pound or U.S. Dollar amount and rec</w:t>
      </w:r>
      <w:r>
        <w:rPr>
          <w:rFonts w:ascii="Times New Roman" w:eastAsia="宋体" w:hAnsi="Times New Roman" w:cs="Times New Roman"/>
          <w:color w:val="0D0D0D"/>
          <w:kern w:val="0"/>
          <w:sz w:val="20"/>
          <w:szCs w:val="20"/>
          <w:lang w:bidi="ar"/>
        </w:rPr>
        <w:t xml:space="preserve">eives a fixed or floating amount in Euros linked to the one-month Euribor.  The notional value of the swaps amortizes in line with the expected cash flows and run-off of the securitized assets.  The swaps are not designated for hedge accounting and expire </w:t>
      </w:r>
      <w:r>
        <w:rPr>
          <w:rFonts w:ascii="Times New Roman" w:eastAsia="宋体" w:hAnsi="Times New Roman" w:cs="Times New Roman"/>
          <w:color w:val="0D0D0D"/>
          <w:kern w:val="0"/>
          <w:sz w:val="20"/>
          <w:szCs w:val="20"/>
          <w:lang w:bidi="ar"/>
        </w:rPr>
        <w:t xml:space="preserve">within </w:t>
      </w:r>
      <w:r>
        <w:rPr>
          <w:rFonts w:ascii="Times New Roman" w:eastAsia="宋体" w:hAnsi="Times New Roman" w:cs="Times New Roman"/>
          <w:color w:val="000000"/>
          <w:kern w:val="0"/>
          <w:sz w:val="20"/>
          <w:szCs w:val="20"/>
          <w:lang w:bidi="ar"/>
        </w:rPr>
        <w:t>five years</w:t>
      </w:r>
      <w:r>
        <w:rPr>
          <w:rFonts w:ascii="Times New Roman" w:eastAsia="宋体" w:hAnsi="Times New Roman" w:cs="Times New Roman"/>
          <w:color w:val="0D0D0D"/>
          <w:kern w:val="0"/>
          <w:sz w:val="20"/>
          <w:szCs w:val="20"/>
          <w:lang w:bidi="ar"/>
        </w:rPr>
        <w:t xml:space="preserve"> or less.</w:t>
      </w:r>
    </w:p>
    <w:p w14:paraId="59E49D84"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9D85"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9D86"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33</w:t>
      </w:r>
    </w:p>
    <w:p w14:paraId="59E49D87"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9D88" w14:textId="77777777" w:rsidR="00D7560A" w:rsidRDefault="001E3CAB">
      <w:pPr>
        <w:widowControl/>
        <w:jc w:val="center"/>
      </w:pPr>
      <w:r>
        <w:rPr>
          <w:rFonts w:ascii="宋体" w:eastAsia="宋体" w:hAnsi="宋体" w:cs="宋体"/>
          <w:kern w:val="0"/>
          <w:sz w:val="24"/>
        </w:rPr>
        <w:pict w14:anchorId="59E4C7EC">
          <v:rect id="_x0000_i1057" style="width:6in;height:1.5pt" o:hralign="center" o:hrstd="t" o:hr="t" fillcolor="#a0a0a0" stroked="f"/>
        </w:pict>
      </w:r>
    </w:p>
    <w:p w14:paraId="59E49D89" w14:textId="77777777" w:rsidR="00D7560A" w:rsidRDefault="001E3CAB">
      <w:pPr>
        <w:widowControl/>
        <w:jc w:val="left"/>
        <w:rPr>
          <w:rFonts w:ascii="宋体" w:eastAsia="宋体" w:hAnsi="宋体" w:cs="宋体"/>
          <w:kern w:val="0"/>
          <w:sz w:val="24"/>
        </w:rPr>
      </w:pPr>
      <w:hyperlink w:anchor="if933dd1d5d004d2495dd7029e3ecad00_13" w:history="1">
        <w:r>
          <w:rPr>
            <w:rStyle w:val="a4"/>
            <w:rFonts w:ascii="Times New Roman" w:eastAsia="宋体" w:hAnsi="Times New Roman" w:cs="Times New Roman"/>
            <w:sz w:val="20"/>
            <w:szCs w:val="20"/>
          </w:rPr>
          <w:t>Table of Contents</w:t>
        </w:r>
      </w:hyperlink>
    </w:p>
    <w:p w14:paraId="59E49D8A"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DELL TECHNOLOGIES INC.</w:t>
      </w:r>
    </w:p>
    <w:p w14:paraId="59E49D8B"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NOTES TO THE CONDENSED CONSOLIDATED FINANCIAL STATEMENTS (Continued)</w:t>
      </w:r>
    </w:p>
    <w:p w14:paraId="59E49D8C"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(unaudited)</w:t>
      </w:r>
    </w:p>
    <w:p w14:paraId="59E49D8D"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9D8E"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Derivative Instruments</w:t>
      </w:r>
    </w:p>
    <w:p w14:paraId="59E49D8F"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9D90" w14:textId="77777777" w:rsidR="00D7560A" w:rsidRDefault="001E3CAB">
      <w:pPr>
        <w:widowControl/>
        <w:spacing w:after="12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The </w:t>
      </w:r>
      <w:r>
        <w:rPr>
          <w:rFonts w:ascii="Times New Roman" w:eastAsia="宋体" w:hAnsi="Times New Roman" w:cs="Times New Roman"/>
          <w:color w:val="000000"/>
          <w:kern w:val="0"/>
          <w:sz w:val="20"/>
          <w:szCs w:val="20"/>
          <w:lang w:bidi="ar"/>
        </w:rPr>
        <w:t>following table presents the notional amounts of outstanding derivative instruments as of the dates indicated: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4888"/>
        <w:gridCol w:w="38"/>
        <w:gridCol w:w="120"/>
        <w:gridCol w:w="1475"/>
        <w:gridCol w:w="36"/>
        <w:gridCol w:w="36"/>
        <w:gridCol w:w="36"/>
        <w:gridCol w:w="36"/>
        <w:gridCol w:w="120"/>
        <w:gridCol w:w="1475"/>
        <w:gridCol w:w="36"/>
      </w:tblGrid>
      <w:tr w:rsidR="00D7560A" w14:paraId="59E49D9D" w14:textId="77777777">
        <w:trPr>
          <w:jc w:val="center"/>
        </w:trPr>
        <w:tc>
          <w:tcPr>
            <w:tcW w:w="50" w:type="pct"/>
            <w:tcBorders>
              <w:top w:val="nil"/>
              <w:left w:val="nil"/>
              <w:bottom w:val="nil"/>
              <w:right w:val="nil"/>
            </w:tcBorders>
            <w:shd w:val="clear" w:color="auto" w:fill="auto"/>
            <w:vAlign w:val="bottom"/>
          </w:tcPr>
          <w:p w14:paraId="59E49D91" w14:textId="77777777" w:rsidR="00D7560A" w:rsidRDefault="00D7560A">
            <w:pPr>
              <w:widowControl/>
              <w:jc w:val="left"/>
              <w:rPr>
                <w:rFonts w:ascii="Times New Roman" w:eastAsia="宋体" w:hAnsi="宋体" w:cs="宋体"/>
                <w:kern w:val="0"/>
                <w:sz w:val="24"/>
              </w:rPr>
            </w:pPr>
          </w:p>
        </w:tc>
        <w:tc>
          <w:tcPr>
            <w:tcW w:w="2971" w:type="pct"/>
            <w:tcBorders>
              <w:top w:val="nil"/>
              <w:left w:val="nil"/>
              <w:bottom w:val="nil"/>
              <w:right w:val="nil"/>
            </w:tcBorders>
            <w:shd w:val="clear" w:color="auto" w:fill="auto"/>
            <w:vAlign w:val="bottom"/>
          </w:tcPr>
          <w:p w14:paraId="59E49D92"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D93"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9D94" w14:textId="77777777" w:rsidR="00D7560A" w:rsidRDefault="00D7560A">
            <w:pPr>
              <w:widowControl/>
              <w:jc w:val="left"/>
              <w:rPr>
                <w:rFonts w:ascii="Times New Roman" w:eastAsia="宋体" w:hAnsi="宋体" w:cs="宋体"/>
                <w:kern w:val="0"/>
                <w:sz w:val="24"/>
              </w:rPr>
            </w:pPr>
          </w:p>
        </w:tc>
        <w:tc>
          <w:tcPr>
            <w:tcW w:w="917" w:type="pct"/>
            <w:tcBorders>
              <w:top w:val="nil"/>
              <w:left w:val="nil"/>
              <w:bottom w:val="nil"/>
              <w:right w:val="nil"/>
            </w:tcBorders>
            <w:shd w:val="clear" w:color="auto" w:fill="auto"/>
            <w:vAlign w:val="bottom"/>
          </w:tcPr>
          <w:p w14:paraId="59E49D95"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D96"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D97" w14:textId="77777777" w:rsidR="00D7560A" w:rsidRDefault="00D7560A">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59E49D98"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D99"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9D9A" w14:textId="77777777" w:rsidR="00D7560A" w:rsidRDefault="00D7560A">
            <w:pPr>
              <w:widowControl/>
              <w:jc w:val="left"/>
              <w:rPr>
                <w:rFonts w:ascii="Times New Roman" w:eastAsia="宋体" w:hAnsi="宋体" w:cs="宋体"/>
                <w:kern w:val="0"/>
                <w:sz w:val="24"/>
              </w:rPr>
            </w:pPr>
          </w:p>
        </w:tc>
        <w:tc>
          <w:tcPr>
            <w:tcW w:w="917" w:type="pct"/>
            <w:tcBorders>
              <w:top w:val="nil"/>
              <w:left w:val="nil"/>
              <w:bottom w:val="nil"/>
              <w:right w:val="nil"/>
            </w:tcBorders>
            <w:shd w:val="clear" w:color="auto" w:fill="auto"/>
            <w:vAlign w:val="bottom"/>
          </w:tcPr>
          <w:p w14:paraId="59E49D9B"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D9C" w14:textId="77777777" w:rsidR="00D7560A" w:rsidRDefault="00D7560A">
            <w:pPr>
              <w:widowControl/>
              <w:jc w:val="left"/>
              <w:rPr>
                <w:rFonts w:ascii="Times New Roman" w:eastAsia="宋体" w:hAnsi="宋体" w:cs="宋体"/>
                <w:kern w:val="0"/>
                <w:sz w:val="24"/>
              </w:rPr>
            </w:pPr>
          </w:p>
        </w:tc>
      </w:tr>
      <w:tr w:rsidR="00D7560A" w14:paraId="59E49DA2" w14:textId="77777777">
        <w:trPr>
          <w:jc w:val="center"/>
        </w:trPr>
        <w:tc>
          <w:tcPr>
            <w:tcW w:w="0" w:type="auto"/>
            <w:gridSpan w:val="3"/>
            <w:tcBorders>
              <w:top w:val="nil"/>
              <w:left w:val="nil"/>
              <w:bottom w:val="nil"/>
              <w:right w:val="nil"/>
            </w:tcBorders>
            <w:shd w:val="clear" w:color="auto" w:fill="auto"/>
            <w:tcMar>
              <w:top w:w="40" w:type="dxa"/>
              <w:left w:w="132" w:type="dxa"/>
              <w:bottom w:w="40" w:type="dxa"/>
              <w:right w:w="132" w:type="dxa"/>
            </w:tcMar>
            <w:vAlign w:val="bottom"/>
          </w:tcPr>
          <w:p w14:paraId="59E49D9E"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9E49D9F"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29, 2022</w:t>
            </w: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59E49DA0"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auto"/>
            <w:tcMar>
              <w:top w:w="40" w:type="dxa"/>
              <w:left w:w="20" w:type="dxa"/>
              <w:bottom w:w="40" w:type="dxa"/>
              <w:right w:w="20" w:type="dxa"/>
            </w:tcMar>
            <w:vAlign w:val="bottom"/>
          </w:tcPr>
          <w:p w14:paraId="59E49DA1"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January 28, 2022</w:t>
            </w:r>
          </w:p>
        </w:tc>
      </w:tr>
      <w:tr w:rsidR="00D7560A" w14:paraId="59E49DA5"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9E49DA3"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gridSpan w:val="9"/>
            <w:tcBorders>
              <w:top w:val="single" w:sz="8" w:space="0" w:color="000000"/>
              <w:left w:val="nil"/>
              <w:bottom w:val="nil"/>
              <w:right w:val="nil"/>
            </w:tcBorders>
            <w:shd w:val="clear" w:color="auto" w:fill="auto"/>
            <w:tcMar>
              <w:top w:w="40" w:type="dxa"/>
              <w:left w:w="20" w:type="dxa"/>
              <w:bottom w:w="40" w:type="dxa"/>
              <w:right w:w="20" w:type="dxa"/>
            </w:tcMar>
            <w:vAlign w:val="bottom"/>
          </w:tcPr>
          <w:p w14:paraId="59E49DA4"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(in millions)</w:t>
            </w:r>
          </w:p>
        </w:tc>
      </w:tr>
      <w:tr w:rsidR="00D7560A" w14:paraId="59E49DAA"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9E49DA6"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i/>
                <w:iCs/>
                <w:color w:val="000000"/>
                <w:kern w:val="0"/>
                <w:sz w:val="20"/>
                <w:szCs w:val="20"/>
                <w:lang w:bidi="ar"/>
              </w:rPr>
              <w:t>Foreign exchange contracts:</w:t>
            </w: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9E49DA7"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DA8"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9E49DA9"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r>
      <w:tr w:rsidR="00D7560A" w14:paraId="59E49DB3" w14:textId="77777777">
        <w:trPr>
          <w:jc w:val="center"/>
        </w:trPr>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59E49DAB"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Designated as cash flow hedging </w:t>
            </w:r>
            <w:r>
              <w:rPr>
                <w:rFonts w:ascii="Times New Roman" w:eastAsia="宋体" w:hAnsi="Times New Roman" w:cs="Times New Roman"/>
                <w:color w:val="000000"/>
                <w:kern w:val="0"/>
                <w:sz w:val="20"/>
                <w:szCs w:val="20"/>
                <w:lang w:bidi="ar"/>
              </w:rPr>
              <w:t>instruments</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9E49DAC"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9E49DAD"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8,653 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9DAE"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9DAF"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9E49DB0"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9E49DB1"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7,879 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9DB2" w14:textId="77777777" w:rsidR="00D7560A" w:rsidRDefault="00D7560A">
            <w:pPr>
              <w:widowControl/>
              <w:jc w:val="right"/>
              <w:rPr>
                <w:rFonts w:ascii="Times New Roman" w:eastAsia="宋体" w:hAnsi="宋体" w:cs="宋体"/>
                <w:kern w:val="0"/>
                <w:sz w:val="24"/>
              </w:rPr>
            </w:pPr>
          </w:p>
        </w:tc>
      </w:tr>
      <w:tr w:rsidR="00D7560A" w14:paraId="59E49DBA" w14:textId="77777777">
        <w:trPr>
          <w:jc w:val="center"/>
        </w:trPr>
        <w:tc>
          <w:tcPr>
            <w:tcW w:w="0" w:type="auto"/>
            <w:gridSpan w:val="3"/>
            <w:tcBorders>
              <w:top w:val="nil"/>
              <w:left w:val="nil"/>
              <w:bottom w:val="nil"/>
              <w:right w:val="nil"/>
            </w:tcBorders>
            <w:shd w:val="clear" w:color="auto" w:fill="CCEEFF"/>
            <w:tcMar>
              <w:top w:w="40" w:type="dxa"/>
              <w:left w:w="155" w:type="dxa"/>
              <w:bottom w:w="40" w:type="dxa"/>
              <w:right w:w="20" w:type="dxa"/>
            </w:tcMar>
            <w:vAlign w:val="bottom"/>
          </w:tcPr>
          <w:p w14:paraId="59E49DB4"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Non-designated as hedging instruments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9DB5"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6,470 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9DB6"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DB7"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9DB8"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8,713 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9DB9" w14:textId="77777777" w:rsidR="00D7560A" w:rsidRDefault="00D7560A">
            <w:pPr>
              <w:widowControl/>
              <w:jc w:val="right"/>
              <w:rPr>
                <w:rFonts w:ascii="Times New Roman" w:eastAsia="宋体" w:hAnsi="宋体" w:cs="宋体"/>
                <w:kern w:val="0"/>
                <w:sz w:val="24"/>
              </w:rPr>
            </w:pPr>
          </w:p>
        </w:tc>
      </w:tr>
      <w:tr w:rsidR="00D7560A" w14:paraId="59E49DC3" w14:textId="77777777">
        <w:trPr>
          <w:jc w:val="center"/>
        </w:trPr>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59E49DBB"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Total</w:t>
            </w: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59E49DBC"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59E49DBD"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15,123 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59E49DBE"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9DBF"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59E49DC0"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59E49DC1"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16,592 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59E49DC2" w14:textId="77777777" w:rsidR="00D7560A" w:rsidRDefault="00D7560A">
            <w:pPr>
              <w:widowControl/>
              <w:jc w:val="right"/>
              <w:rPr>
                <w:rFonts w:ascii="Times New Roman" w:eastAsia="宋体" w:hAnsi="宋体" w:cs="宋体"/>
                <w:kern w:val="0"/>
                <w:sz w:val="24"/>
              </w:rPr>
            </w:pPr>
          </w:p>
        </w:tc>
      </w:tr>
      <w:tr w:rsidR="00D7560A" w14:paraId="59E49DC8"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9E49DC4"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i/>
                <w:iCs/>
                <w:color w:val="000000"/>
                <w:kern w:val="0"/>
                <w:sz w:val="20"/>
                <w:szCs w:val="20"/>
                <w:lang w:bidi="ar"/>
              </w:rPr>
              <w:t>Interest rate contracts:</w:t>
            </w: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59E49DC5"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DC6" w14:textId="77777777" w:rsidR="00D7560A" w:rsidRDefault="00D7560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59E49DC7" w14:textId="77777777" w:rsidR="00D7560A" w:rsidRDefault="00D7560A">
            <w:pPr>
              <w:widowControl/>
              <w:jc w:val="left"/>
              <w:rPr>
                <w:rFonts w:ascii="Times New Roman" w:eastAsia="宋体" w:hAnsi="宋体" w:cs="宋体"/>
                <w:kern w:val="0"/>
                <w:sz w:val="24"/>
              </w:rPr>
            </w:pPr>
          </w:p>
        </w:tc>
      </w:tr>
      <w:tr w:rsidR="00D7560A" w14:paraId="59E49DD1" w14:textId="77777777">
        <w:trPr>
          <w:jc w:val="center"/>
        </w:trPr>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59E49DC9"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Non-designated as hedging instruments</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9E49DCA"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9E49DCB"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5,637 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9DCC"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9DCD"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9E49DCE"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9E49DCF"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6,715 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9DD0" w14:textId="77777777" w:rsidR="00D7560A" w:rsidRDefault="00D7560A">
            <w:pPr>
              <w:widowControl/>
              <w:jc w:val="right"/>
              <w:rPr>
                <w:rFonts w:ascii="Times New Roman" w:eastAsia="宋体" w:hAnsi="宋体" w:cs="宋体"/>
                <w:kern w:val="0"/>
                <w:sz w:val="24"/>
              </w:rPr>
            </w:pPr>
          </w:p>
        </w:tc>
      </w:tr>
    </w:tbl>
    <w:p w14:paraId="59E49DD2" w14:textId="77777777" w:rsidR="00D7560A" w:rsidRDefault="001E3CAB">
      <w:pPr>
        <w:widowControl/>
        <w:ind w:left="360" w:hanging="360"/>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9DD3" w14:textId="77777777" w:rsidR="00D7560A" w:rsidRDefault="001E3CAB">
      <w:pPr>
        <w:widowControl/>
        <w:spacing w:after="12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The following tables present the effect of derivative instruments designated as hedging instruments on the Condensed Consolidated </w:t>
      </w:r>
      <w:r>
        <w:rPr>
          <w:rFonts w:ascii="Times New Roman" w:eastAsia="宋体" w:hAnsi="Times New Roman" w:cs="Times New Roman"/>
          <w:color w:val="000000"/>
          <w:kern w:val="0"/>
          <w:sz w:val="20"/>
          <w:szCs w:val="20"/>
          <w:lang w:bidi="ar"/>
        </w:rPr>
        <w:t>Statements of Financial Position and the Condensed Consolidated Statements of Income for the periods indicated:</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41"/>
        <w:gridCol w:w="2301"/>
        <w:gridCol w:w="36"/>
        <w:gridCol w:w="36"/>
        <w:gridCol w:w="36"/>
        <w:gridCol w:w="36"/>
        <w:gridCol w:w="121"/>
        <w:gridCol w:w="1470"/>
        <w:gridCol w:w="36"/>
        <w:gridCol w:w="36"/>
        <w:gridCol w:w="36"/>
        <w:gridCol w:w="36"/>
        <w:gridCol w:w="40"/>
        <w:gridCol w:w="2304"/>
        <w:gridCol w:w="36"/>
        <w:gridCol w:w="36"/>
        <w:gridCol w:w="36"/>
        <w:gridCol w:w="36"/>
        <w:gridCol w:w="121"/>
        <w:gridCol w:w="1470"/>
        <w:gridCol w:w="36"/>
      </w:tblGrid>
      <w:tr w:rsidR="00D7560A" w14:paraId="59E49DE9" w14:textId="77777777">
        <w:tc>
          <w:tcPr>
            <w:tcW w:w="50" w:type="pct"/>
            <w:tcBorders>
              <w:top w:val="nil"/>
              <w:left w:val="nil"/>
              <w:bottom w:val="nil"/>
              <w:right w:val="nil"/>
            </w:tcBorders>
            <w:shd w:val="clear" w:color="auto" w:fill="auto"/>
            <w:vAlign w:val="bottom"/>
          </w:tcPr>
          <w:p w14:paraId="59E49DD4" w14:textId="77777777" w:rsidR="00D7560A" w:rsidRDefault="00D7560A">
            <w:pPr>
              <w:widowControl/>
              <w:jc w:val="left"/>
              <w:rPr>
                <w:rFonts w:ascii="Times New Roman" w:eastAsia="宋体" w:hAnsi="宋体" w:cs="宋体"/>
                <w:kern w:val="0"/>
                <w:sz w:val="24"/>
              </w:rPr>
            </w:pPr>
          </w:p>
        </w:tc>
        <w:tc>
          <w:tcPr>
            <w:tcW w:w="1427" w:type="pct"/>
            <w:tcBorders>
              <w:top w:val="nil"/>
              <w:left w:val="nil"/>
              <w:bottom w:val="nil"/>
              <w:right w:val="nil"/>
            </w:tcBorders>
            <w:shd w:val="clear" w:color="auto" w:fill="auto"/>
            <w:vAlign w:val="bottom"/>
          </w:tcPr>
          <w:p w14:paraId="59E49DD5"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DD6"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DD7" w14:textId="77777777" w:rsidR="00D7560A" w:rsidRDefault="00D7560A">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59E49DD8"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DD9"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9DDA" w14:textId="77777777" w:rsidR="00D7560A" w:rsidRDefault="00D7560A">
            <w:pPr>
              <w:widowControl/>
              <w:jc w:val="left"/>
              <w:rPr>
                <w:rFonts w:ascii="Times New Roman" w:eastAsia="宋体" w:hAnsi="宋体" w:cs="宋体"/>
                <w:kern w:val="0"/>
                <w:sz w:val="24"/>
              </w:rPr>
            </w:pPr>
          </w:p>
        </w:tc>
        <w:tc>
          <w:tcPr>
            <w:tcW w:w="917" w:type="pct"/>
            <w:tcBorders>
              <w:top w:val="nil"/>
              <w:left w:val="nil"/>
              <w:bottom w:val="nil"/>
              <w:right w:val="nil"/>
            </w:tcBorders>
            <w:shd w:val="clear" w:color="auto" w:fill="auto"/>
            <w:vAlign w:val="bottom"/>
          </w:tcPr>
          <w:p w14:paraId="59E49DDB"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DDC"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DDD" w14:textId="77777777" w:rsidR="00D7560A" w:rsidRDefault="00D7560A">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59E49DDE"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DDF"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9DE0" w14:textId="77777777" w:rsidR="00D7560A" w:rsidRDefault="00D7560A">
            <w:pPr>
              <w:widowControl/>
              <w:jc w:val="left"/>
              <w:rPr>
                <w:rFonts w:ascii="Times New Roman" w:eastAsia="宋体" w:hAnsi="宋体" w:cs="宋体"/>
                <w:kern w:val="0"/>
                <w:sz w:val="24"/>
              </w:rPr>
            </w:pPr>
          </w:p>
        </w:tc>
        <w:tc>
          <w:tcPr>
            <w:tcW w:w="1427" w:type="pct"/>
            <w:tcBorders>
              <w:top w:val="nil"/>
              <w:left w:val="nil"/>
              <w:bottom w:val="nil"/>
              <w:right w:val="nil"/>
            </w:tcBorders>
            <w:shd w:val="clear" w:color="auto" w:fill="auto"/>
            <w:vAlign w:val="bottom"/>
          </w:tcPr>
          <w:p w14:paraId="59E49DE1"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DE2"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DE3" w14:textId="77777777" w:rsidR="00D7560A" w:rsidRDefault="00D7560A">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59E49DE4"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DE5"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9DE6" w14:textId="77777777" w:rsidR="00D7560A" w:rsidRDefault="00D7560A">
            <w:pPr>
              <w:widowControl/>
              <w:jc w:val="left"/>
              <w:rPr>
                <w:rFonts w:ascii="Times New Roman" w:eastAsia="宋体" w:hAnsi="宋体" w:cs="宋体"/>
                <w:kern w:val="0"/>
                <w:sz w:val="24"/>
              </w:rPr>
            </w:pPr>
          </w:p>
        </w:tc>
        <w:tc>
          <w:tcPr>
            <w:tcW w:w="917" w:type="pct"/>
            <w:tcBorders>
              <w:top w:val="nil"/>
              <w:left w:val="nil"/>
              <w:bottom w:val="nil"/>
              <w:right w:val="nil"/>
            </w:tcBorders>
            <w:shd w:val="clear" w:color="auto" w:fill="auto"/>
            <w:vAlign w:val="bottom"/>
          </w:tcPr>
          <w:p w14:paraId="59E49DE7"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DE8" w14:textId="77777777" w:rsidR="00D7560A" w:rsidRDefault="00D7560A">
            <w:pPr>
              <w:widowControl/>
              <w:jc w:val="left"/>
              <w:rPr>
                <w:rFonts w:ascii="Times New Roman" w:eastAsia="宋体" w:hAnsi="宋体" w:cs="宋体"/>
                <w:kern w:val="0"/>
                <w:sz w:val="24"/>
              </w:rPr>
            </w:pPr>
          </w:p>
        </w:tc>
      </w:tr>
      <w:tr w:rsidR="00D7560A" w14:paraId="59E49DF1"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9E49DEA"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Derivatives in Cash Flow Hedging Relationships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9DEB"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9E49DEC"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Gain (Loss) Recognized in Accumulated OCI, Net of Tax, on Derivatives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9DED"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9E49DEE"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Location of Gain (Loss) Reclassified from Accumulated OCI into Income</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9DEF"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9E49DF0"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Gain (Loss) Reclassified from Accumulated OCI into Income</w:t>
            </w:r>
          </w:p>
        </w:tc>
      </w:tr>
      <w:tr w:rsidR="00D7560A" w14:paraId="59E49DF9" w14:textId="77777777">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59E49DF2"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9DF3"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59E49DF4"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(in millions)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9DF5"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59E49DF6"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9DF7"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59E49DF8"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(in millions)</w:t>
            </w:r>
          </w:p>
        </w:tc>
      </w:tr>
      <w:tr w:rsidR="00D7560A" w14:paraId="59E49DFB" w14:textId="77777777">
        <w:tc>
          <w:tcPr>
            <w:tcW w:w="0" w:type="auto"/>
            <w:gridSpan w:val="21"/>
            <w:tcBorders>
              <w:top w:val="nil"/>
              <w:left w:val="nil"/>
              <w:bottom w:val="nil"/>
              <w:right w:val="nil"/>
            </w:tcBorders>
            <w:shd w:val="clear" w:color="auto" w:fill="CCEEFF"/>
            <w:tcMar>
              <w:top w:w="40" w:type="dxa"/>
              <w:left w:w="20" w:type="dxa"/>
              <w:bottom w:w="40" w:type="dxa"/>
              <w:right w:w="20" w:type="dxa"/>
            </w:tcMar>
            <w:vAlign w:val="bottom"/>
          </w:tcPr>
          <w:p w14:paraId="59E49DFA"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i/>
                <w:iCs/>
                <w:color w:val="000000"/>
                <w:kern w:val="0"/>
                <w:sz w:val="20"/>
                <w:szCs w:val="20"/>
                <w:lang w:bidi="ar"/>
              </w:rPr>
              <w:t>For the three months ended July 29, 2022</w:t>
            </w:r>
          </w:p>
        </w:tc>
      </w:tr>
      <w:tr w:rsidR="00D7560A" w14:paraId="59E49E05" w14:textId="77777777">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9DFC"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9DFD"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9DFE"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9DFF"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59E49E00"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Total net revenue</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9E01"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9E49E02"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9E49E03"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307 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9E04" w14:textId="77777777" w:rsidR="00D7560A" w:rsidRDefault="00D7560A">
            <w:pPr>
              <w:widowControl/>
              <w:jc w:val="right"/>
              <w:rPr>
                <w:rFonts w:ascii="Times New Roman" w:eastAsia="宋体" w:hAnsi="宋体" w:cs="宋体"/>
                <w:kern w:val="0"/>
                <w:sz w:val="24"/>
              </w:rPr>
            </w:pPr>
          </w:p>
        </w:tc>
      </w:tr>
      <w:tr w:rsidR="00D7560A" w14:paraId="59E49E10"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9E49E06"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Foreign exchange contracts</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E07"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9E49E08"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9E49E09"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166 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9E0A"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E0B"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9E49E0C"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Total cost of net revenue</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E0D"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9E0E"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9E0F" w14:textId="77777777" w:rsidR="00D7560A" w:rsidRDefault="00D7560A">
            <w:pPr>
              <w:widowControl/>
              <w:jc w:val="right"/>
              <w:rPr>
                <w:rFonts w:ascii="Times New Roman" w:eastAsia="宋体" w:hAnsi="宋体" w:cs="宋体"/>
                <w:kern w:val="0"/>
                <w:sz w:val="24"/>
              </w:rPr>
            </w:pPr>
          </w:p>
        </w:tc>
      </w:tr>
      <w:tr w:rsidR="00D7560A" w14:paraId="59E49E1A"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59E49E11"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Interest rate contracts</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9E12"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9E13"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9E14"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9E15"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59E49E16"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Interest and other, net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9E17"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9E18"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9E19" w14:textId="77777777" w:rsidR="00D7560A" w:rsidRDefault="00D7560A">
            <w:pPr>
              <w:widowControl/>
              <w:jc w:val="right"/>
              <w:rPr>
                <w:rFonts w:ascii="Times New Roman" w:eastAsia="宋体" w:hAnsi="宋体" w:cs="宋体"/>
                <w:kern w:val="0"/>
                <w:sz w:val="24"/>
              </w:rPr>
            </w:pPr>
          </w:p>
        </w:tc>
      </w:tr>
      <w:tr w:rsidR="00D7560A" w14:paraId="59E49E26"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9E49E1B"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Total</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E1C"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59E49E1D"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59E49E1E"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166 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59E49E1F"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E20"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E21"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E22"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59E49E23"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59E49E24"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306 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59E49E25" w14:textId="77777777" w:rsidR="00D7560A" w:rsidRDefault="00D7560A">
            <w:pPr>
              <w:widowControl/>
              <w:jc w:val="right"/>
              <w:rPr>
                <w:rFonts w:ascii="Times New Roman" w:eastAsia="宋体" w:hAnsi="宋体" w:cs="宋体"/>
                <w:kern w:val="0"/>
                <w:sz w:val="24"/>
              </w:rPr>
            </w:pPr>
          </w:p>
        </w:tc>
      </w:tr>
      <w:tr w:rsidR="00D7560A" w14:paraId="59E49E2E" w14:textId="77777777">
        <w:trPr>
          <w:trHeight w:val="280"/>
        </w:trPr>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9E27"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9E28" w14:textId="77777777" w:rsidR="00D7560A" w:rsidRDefault="00D7560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59E49E29"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9E2A"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9E2B"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9E2C" w14:textId="77777777" w:rsidR="00D7560A" w:rsidRDefault="00D7560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59E49E2D" w14:textId="77777777" w:rsidR="00D7560A" w:rsidRDefault="00D7560A">
            <w:pPr>
              <w:widowControl/>
              <w:jc w:val="left"/>
              <w:rPr>
                <w:rFonts w:ascii="Times New Roman" w:eastAsia="宋体" w:hAnsi="宋体" w:cs="宋体"/>
                <w:kern w:val="0"/>
                <w:sz w:val="24"/>
              </w:rPr>
            </w:pPr>
          </w:p>
        </w:tc>
      </w:tr>
      <w:tr w:rsidR="00D7560A" w14:paraId="59E49E30" w14:textId="77777777">
        <w:tc>
          <w:tcPr>
            <w:tcW w:w="0" w:type="auto"/>
            <w:gridSpan w:val="21"/>
            <w:tcBorders>
              <w:top w:val="nil"/>
              <w:left w:val="nil"/>
              <w:bottom w:val="nil"/>
              <w:right w:val="nil"/>
            </w:tcBorders>
            <w:shd w:val="clear" w:color="auto" w:fill="CCEEFF"/>
            <w:tcMar>
              <w:top w:w="40" w:type="dxa"/>
              <w:left w:w="20" w:type="dxa"/>
              <w:bottom w:w="40" w:type="dxa"/>
              <w:right w:w="20" w:type="dxa"/>
            </w:tcMar>
            <w:vAlign w:val="bottom"/>
          </w:tcPr>
          <w:p w14:paraId="59E49E2F"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i/>
                <w:iCs/>
                <w:color w:val="000000"/>
                <w:kern w:val="0"/>
                <w:sz w:val="20"/>
                <w:szCs w:val="20"/>
                <w:lang w:bidi="ar"/>
              </w:rPr>
              <w:t>For the three months ended July 30, 2021</w:t>
            </w:r>
          </w:p>
        </w:tc>
      </w:tr>
      <w:tr w:rsidR="00D7560A" w14:paraId="59E49E3A" w14:textId="77777777">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9E31"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9E32"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9E33"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9E34"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59E49E35"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Total net revenue</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9E36"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9E49E37"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9E49E38"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9E39" w14:textId="77777777" w:rsidR="00D7560A" w:rsidRDefault="00D7560A">
            <w:pPr>
              <w:widowControl/>
              <w:jc w:val="right"/>
              <w:rPr>
                <w:rFonts w:ascii="Times New Roman" w:eastAsia="宋体" w:hAnsi="宋体" w:cs="宋体"/>
                <w:kern w:val="0"/>
                <w:sz w:val="24"/>
              </w:rPr>
            </w:pPr>
          </w:p>
        </w:tc>
      </w:tr>
      <w:tr w:rsidR="00D7560A" w14:paraId="59E49E45"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9E49E3B"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Foreign exchange contracts</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E3C"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9E49E3D"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9E49E3E"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9E3F"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E40"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9E49E41"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Total cost of net revenue</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E42"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9E43"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9E44" w14:textId="77777777" w:rsidR="00D7560A" w:rsidRDefault="00D7560A">
            <w:pPr>
              <w:widowControl/>
              <w:jc w:val="right"/>
              <w:rPr>
                <w:rFonts w:ascii="Times New Roman" w:eastAsia="宋体" w:hAnsi="宋体" w:cs="宋体"/>
                <w:kern w:val="0"/>
                <w:sz w:val="24"/>
              </w:rPr>
            </w:pPr>
          </w:p>
        </w:tc>
      </w:tr>
      <w:tr w:rsidR="00D7560A" w14:paraId="59E49E4F"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59E49E46"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Interest rate contracts</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9E47"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9E48"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9E49"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9E4A"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59E49E4B"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Interest and </w:t>
            </w:r>
            <w:r>
              <w:rPr>
                <w:rFonts w:ascii="Times New Roman" w:eastAsia="宋体" w:hAnsi="Times New Roman" w:cs="Times New Roman"/>
                <w:color w:val="000000"/>
                <w:kern w:val="0"/>
                <w:sz w:val="20"/>
                <w:szCs w:val="20"/>
                <w:lang w:bidi="ar"/>
              </w:rPr>
              <w:t>other, net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9E4C"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9E4D"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9E4E" w14:textId="77777777" w:rsidR="00D7560A" w:rsidRDefault="00D7560A">
            <w:pPr>
              <w:widowControl/>
              <w:jc w:val="right"/>
              <w:rPr>
                <w:rFonts w:ascii="Times New Roman" w:eastAsia="宋体" w:hAnsi="宋体" w:cs="宋体"/>
                <w:kern w:val="0"/>
                <w:sz w:val="24"/>
              </w:rPr>
            </w:pPr>
          </w:p>
        </w:tc>
      </w:tr>
      <w:tr w:rsidR="00D7560A" w14:paraId="59E49E5B"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9E49E50"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Total</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E51"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59E49E52"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59E49E53"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65 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59E49E54"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E55"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9E49E56"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Income from discontinued operations</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E57"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9E49E58"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9E49E59"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9E5A" w14:textId="77777777" w:rsidR="00D7560A" w:rsidRDefault="00D7560A">
            <w:pPr>
              <w:widowControl/>
              <w:jc w:val="right"/>
              <w:rPr>
                <w:rFonts w:ascii="Times New Roman" w:eastAsia="宋体" w:hAnsi="宋体" w:cs="宋体"/>
                <w:kern w:val="0"/>
                <w:sz w:val="24"/>
              </w:rPr>
            </w:pPr>
          </w:p>
        </w:tc>
      </w:tr>
      <w:tr w:rsidR="00D7560A" w14:paraId="59E49E65" w14:textId="77777777">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9E5C"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9E5D" w14:textId="77777777" w:rsidR="00D7560A" w:rsidRDefault="00D7560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59E49E5E"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9E5F"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59E49E60"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Total</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9E61"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59E49E62"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59E49E63"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(13)</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59E49E64" w14:textId="77777777" w:rsidR="00D7560A" w:rsidRDefault="00D7560A">
            <w:pPr>
              <w:widowControl/>
              <w:jc w:val="right"/>
              <w:rPr>
                <w:rFonts w:ascii="Times New Roman" w:eastAsia="宋体" w:hAnsi="宋体" w:cs="宋体"/>
                <w:kern w:val="0"/>
                <w:sz w:val="24"/>
              </w:rPr>
            </w:pPr>
          </w:p>
        </w:tc>
      </w:tr>
    </w:tbl>
    <w:p w14:paraId="59E49E66"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9E67"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34</w:t>
      </w:r>
    </w:p>
    <w:p w14:paraId="59E49E68"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9E69" w14:textId="77777777" w:rsidR="00D7560A" w:rsidRDefault="001E3CAB">
      <w:pPr>
        <w:widowControl/>
        <w:jc w:val="center"/>
      </w:pPr>
      <w:r>
        <w:rPr>
          <w:rFonts w:ascii="宋体" w:eastAsia="宋体" w:hAnsi="宋体" w:cs="宋体"/>
          <w:kern w:val="0"/>
          <w:sz w:val="24"/>
        </w:rPr>
        <w:pict w14:anchorId="59E4C7ED">
          <v:rect id="_x0000_i1058" style="width:6in;height:1.5pt" o:hralign="center" o:hrstd="t" o:hr="t" fillcolor="#a0a0a0" stroked="f"/>
        </w:pict>
      </w:r>
    </w:p>
    <w:p w14:paraId="59E49E6A" w14:textId="77777777" w:rsidR="00D7560A" w:rsidRDefault="001E3CAB">
      <w:pPr>
        <w:widowControl/>
        <w:jc w:val="left"/>
        <w:rPr>
          <w:rFonts w:ascii="宋体" w:eastAsia="宋体" w:hAnsi="宋体" w:cs="宋体"/>
          <w:kern w:val="0"/>
          <w:sz w:val="24"/>
        </w:rPr>
      </w:pPr>
      <w:hyperlink w:anchor="if933dd1d5d004d2495dd7029e3ecad00_13" w:history="1">
        <w:r>
          <w:rPr>
            <w:rStyle w:val="a4"/>
            <w:rFonts w:ascii="Times New Roman" w:eastAsia="宋体" w:hAnsi="Times New Roman" w:cs="Times New Roman"/>
            <w:sz w:val="20"/>
            <w:szCs w:val="20"/>
          </w:rPr>
          <w:t>Table of Contents</w:t>
        </w:r>
      </w:hyperlink>
    </w:p>
    <w:p w14:paraId="59E49E6B"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DELL TECHNOLOGIES INC.</w:t>
      </w:r>
    </w:p>
    <w:p w14:paraId="59E49E6C"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NOTES TO THE CONDENSED CONSOLIDATED FINANCIAL STATEMENTS (Continued)</w:t>
      </w:r>
    </w:p>
    <w:p w14:paraId="59E49E6D"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(unaudited)</w:t>
      </w:r>
    </w:p>
    <w:p w14:paraId="59E49E6E"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41"/>
        <w:gridCol w:w="2301"/>
        <w:gridCol w:w="36"/>
        <w:gridCol w:w="36"/>
        <w:gridCol w:w="36"/>
        <w:gridCol w:w="36"/>
        <w:gridCol w:w="121"/>
        <w:gridCol w:w="1470"/>
        <w:gridCol w:w="36"/>
        <w:gridCol w:w="36"/>
        <w:gridCol w:w="36"/>
        <w:gridCol w:w="36"/>
        <w:gridCol w:w="40"/>
        <w:gridCol w:w="2304"/>
        <w:gridCol w:w="36"/>
        <w:gridCol w:w="36"/>
        <w:gridCol w:w="36"/>
        <w:gridCol w:w="36"/>
        <w:gridCol w:w="121"/>
        <w:gridCol w:w="1470"/>
        <w:gridCol w:w="36"/>
      </w:tblGrid>
      <w:tr w:rsidR="00D7560A" w14:paraId="59E49E84" w14:textId="77777777">
        <w:tc>
          <w:tcPr>
            <w:tcW w:w="50" w:type="pct"/>
            <w:tcBorders>
              <w:top w:val="nil"/>
              <w:left w:val="nil"/>
              <w:bottom w:val="nil"/>
              <w:right w:val="nil"/>
            </w:tcBorders>
            <w:shd w:val="clear" w:color="auto" w:fill="auto"/>
            <w:vAlign w:val="bottom"/>
          </w:tcPr>
          <w:p w14:paraId="59E49E6F" w14:textId="77777777" w:rsidR="00D7560A" w:rsidRDefault="00D7560A">
            <w:pPr>
              <w:widowControl/>
              <w:jc w:val="left"/>
              <w:rPr>
                <w:rFonts w:ascii="Times New Roman" w:eastAsia="宋体" w:hAnsi="宋体" w:cs="宋体"/>
                <w:kern w:val="0"/>
                <w:sz w:val="24"/>
              </w:rPr>
            </w:pPr>
          </w:p>
        </w:tc>
        <w:tc>
          <w:tcPr>
            <w:tcW w:w="1427" w:type="pct"/>
            <w:tcBorders>
              <w:top w:val="nil"/>
              <w:left w:val="nil"/>
              <w:bottom w:val="nil"/>
              <w:right w:val="nil"/>
            </w:tcBorders>
            <w:shd w:val="clear" w:color="auto" w:fill="auto"/>
            <w:vAlign w:val="bottom"/>
          </w:tcPr>
          <w:p w14:paraId="59E49E70"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E71"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E72" w14:textId="77777777" w:rsidR="00D7560A" w:rsidRDefault="00D7560A">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59E49E73"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E74"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9E75" w14:textId="77777777" w:rsidR="00D7560A" w:rsidRDefault="00D7560A">
            <w:pPr>
              <w:widowControl/>
              <w:jc w:val="left"/>
              <w:rPr>
                <w:rFonts w:ascii="Times New Roman" w:eastAsia="宋体" w:hAnsi="宋体" w:cs="宋体"/>
                <w:kern w:val="0"/>
                <w:sz w:val="24"/>
              </w:rPr>
            </w:pPr>
          </w:p>
        </w:tc>
        <w:tc>
          <w:tcPr>
            <w:tcW w:w="917" w:type="pct"/>
            <w:tcBorders>
              <w:top w:val="nil"/>
              <w:left w:val="nil"/>
              <w:bottom w:val="nil"/>
              <w:right w:val="nil"/>
            </w:tcBorders>
            <w:shd w:val="clear" w:color="auto" w:fill="auto"/>
            <w:vAlign w:val="bottom"/>
          </w:tcPr>
          <w:p w14:paraId="59E49E76"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E77"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E78" w14:textId="77777777" w:rsidR="00D7560A" w:rsidRDefault="00D7560A">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59E49E79"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E7A"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9E7B" w14:textId="77777777" w:rsidR="00D7560A" w:rsidRDefault="00D7560A">
            <w:pPr>
              <w:widowControl/>
              <w:jc w:val="left"/>
              <w:rPr>
                <w:rFonts w:ascii="Times New Roman" w:eastAsia="宋体" w:hAnsi="宋体" w:cs="宋体"/>
                <w:kern w:val="0"/>
                <w:sz w:val="24"/>
              </w:rPr>
            </w:pPr>
          </w:p>
        </w:tc>
        <w:tc>
          <w:tcPr>
            <w:tcW w:w="1427" w:type="pct"/>
            <w:tcBorders>
              <w:top w:val="nil"/>
              <w:left w:val="nil"/>
              <w:bottom w:val="nil"/>
              <w:right w:val="nil"/>
            </w:tcBorders>
            <w:shd w:val="clear" w:color="auto" w:fill="auto"/>
            <w:vAlign w:val="bottom"/>
          </w:tcPr>
          <w:p w14:paraId="59E49E7C"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E7D"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E7E" w14:textId="77777777" w:rsidR="00D7560A" w:rsidRDefault="00D7560A">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59E49E7F"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E80"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9E81" w14:textId="77777777" w:rsidR="00D7560A" w:rsidRDefault="00D7560A">
            <w:pPr>
              <w:widowControl/>
              <w:jc w:val="left"/>
              <w:rPr>
                <w:rFonts w:ascii="Times New Roman" w:eastAsia="宋体" w:hAnsi="宋体" w:cs="宋体"/>
                <w:kern w:val="0"/>
                <w:sz w:val="24"/>
              </w:rPr>
            </w:pPr>
          </w:p>
        </w:tc>
        <w:tc>
          <w:tcPr>
            <w:tcW w:w="917" w:type="pct"/>
            <w:tcBorders>
              <w:top w:val="nil"/>
              <w:left w:val="nil"/>
              <w:bottom w:val="nil"/>
              <w:right w:val="nil"/>
            </w:tcBorders>
            <w:shd w:val="clear" w:color="auto" w:fill="auto"/>
            <w:vAlign w:val="bottom"/>
          </w:tcPr>
          <w:p w14:paraId="59E49E82"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E83" w14:textId="77777777" w:rsidR="00D7560A" w:rsidRDefault="00D7560A">
            <w:pPr>
              <w:widowControl/>
              <w:jc w:val="left"/>
              <w:rPr>
                <w:rFonts w:ascii="Times New Roman" w:eastAsia="宋体" w:hAnsi="宋体" w:cs="宋体"/>
                <w:kern w:val="0"/>
                <w:sz w:val="24"/>
              </w:rPr>
            </w:pPr>
          </w:p>
        </w:tc>
      </w:tr>
      <w:tr w:rsidR="00D7560A" w14:paraId="59E49E8C"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9E49E85"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Derivatives in Cash Flow Hedging Relationships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9E86"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9E49E87"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Gain (Loss) Recognized in Accumulated OCI, Net of Tax, on Derivatives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9E88"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9E49E89"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Location of Gain (Loss) Reclassified from Accumulated OCI into Income</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9E8A"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9E49E8B"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Gain (Loss) Reclassified from Accumulated OCI into Income</w:t>
            </w:r>
          </w:p>
        </w:tc>
      </w:tr>
      <w:tr w:rsidR="00D7560A" w14:paraId="59E49E94" w14:textId="77777777">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59E49E8D"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9E8E"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59E49E8F"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(in millions)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9E90"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59E49E91"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9E92"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59E49E93"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(in millions)</w:t>
            </w:r>
          </w:p>
        </w:tc>
      </w:tr>
      <w:tr w:rsidR="00D7560A" w14:paraId="59E49EA8" w14:textId="77777777">
        <w:trPr>
          <w:hidden/>
        </w:trPr>
        <w:tc>
          <w:tcPr>
            <w:tcW w:w="0" w:type="auto"/>
            <w:gridSpan w:val="3"/>
            <w:tcBorders>
              <w:top w:val="nil"/>
              <w:left w:val="nil"/>
              <w:bottom w:val="nil"/>
              <w:right w:val="nil"/>
            </w:tcBorders>
            <w:shd w:val="clear" w:color="auto" w:fill="auto"/>
            <w:vAlign w:val="bottom"/>
          </w:tcPr>
          <w:p w14:paraId="59E49E95" w14:textId="77777777" w:rsidR="00D7560A" w:rsidRDefault="00D7560A">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59E49E96"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9E97"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9E98"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9E99"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9E9A"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9E9B"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9E9C"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9E9D"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9E9E"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9E9F"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9EA0"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9EA1"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9EA2"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9EA3"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9EA4"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9EA5"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9EA6"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9EA7" w14:textId="77777777" w:rsidR="00D7560A" w:rsidRDefault="00D7560A">
            <w:pPr>
              <w:widowControl/>
              <w:jc w:val="left"/>
              <w:rPr>
                <w:rFonts w:ascii="Times New Roman" w:eastAsia="宋体" w:hAnsi="宋体" w:cs="宋体"/>
                <w:kern w:val="0"/>
                <w:sz w:val="24"/>
              </w:rPr>
            </w:pPr>
          </w:p>
        </w:tc>
      </w:tr>
      <w:tr w:rsidR="00D7560A" w14:paraId="59E49EB0" w14:textId="77777777">
        <w:trPr>
          <w:hidden/>
        </w:trPr>
        <w:tc>
          <w:tcPr>
            <w:tcW w:w="0" w:type="auto"/>
            <w:gridSpan w:val="3"/>
            <w:tcBorders>
              <w:top w:val="nil"/>
              <w:left w:val="nil"/>
              <w:bottom w:val="nil"/>
              <w:right w:val="nil"/>
            </w:tcBorders>
            <w:shd w:val="clear" w:color="auto" w:fill="auto"/>
            <w:vAlign w:val="bottom"/>
          </w:tcPr>
          <w:p w14:paraId="59E49EA9"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9EAA"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9EAB"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9EAC"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9EAD"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9EAE"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9EAF" w14:textId="77777777" w:rsidR="00D7560A" w:rsidRDefault="00D7560A">
            <w:pPr>
              <w:widowControl/>
              <w:jc w:val="left"/>
              <w:rPr>
                <w:rFonts w:ascii="Times New Roman" w:eastAsia="宋体" w:hAnsi="宋体" w:cs="宋体"/>
                <w:vanish/>
                <w:kern w:val="0"/>
                <w:sz w:val="24"/>
              </w:rPr>
            </w:pPr>
          </w:p>
        </w:tc>
      </w:tr>
      <w:tr w:rsidR="00D7560A" w14:paraId="59E49EB8" w14:textId="77777777">
        <w:trPr>
          <w:hidden/>
        </w:trPr>
        <w:tc>
          <w:tcPr>
            <w:tcW w:w="0" w:type="auto"/>
            <w:gridSpan w:val="3"/>
            <w:tcBorders>
              <w:top w:val="nil"/>
              <w:left w:val="nil"/>
              <w:bottom w:val="nil"/>
              <w:right w:val="nil"/>
            </w:tcBorders>
            <w:shd w:val="clear" w:color="auto" w:fill="auto"/>
            <w:vAlign w:val="bottom"/>
          </w:tcPr>
          <w:p w14:paraId="59E49EB1"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9EB2"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9EB3"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9EB4"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9EB5"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9EB6"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9EB7" w14:textId="77777777" w:rsidR="00D7560A" w:rsidRDefault="00D7560A">
            <w:pPr>
              <w:widowControl/>
              <w:jc w:val="left"/>
              <w:rPr>
                <w:rFonts w:ascii="Times New Roman" w:eastAsia="宋体" w:hAnsi="宋体" w:cs="宋体"/>
                <w:vanish/>
                <w:kern w:val="0"/>
                <w:sz w:val="24"/>
              </w:rPr>
            </w:pPr>
          </w:p>
        </w:tc>
      </w:tr>
      <w:tr w:rsidR="00D7560A" w14:paraId="59E49EC0" w14:textId="77777777">
        <w:trPr>
          <w:hidden/>
        </w:trPr>
        <w:tc>
          <w:tcPr>
            <w:tcW w:w="0" w:type="auto"/>
            <w:gridSpan w:val="3"/>
            <w:tcBorders>
              <w:top w:val="nil"/>
              <w:left w:val="nil"/>
              <w:bottom w:val="nil"/>
              <w:right w:val="nil"/>
            </w:tcBorders>
            <w:shd w:val="clear" w:color="auto" w:fill="auto"/>
            <w:vAlign w:val="bottom"/>
          </w:tcPr>
          <w:p w14:paraId="59E49EB9"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9EBA"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9EBB"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9EBC"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9EBD"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9EBE"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9EBF" w14:textId="77777777" w:rsidR="00D7560A" w:rsidRDefault="00D7560A">
            <w:pPr>
              <w:widowControl/>
              <w:jc w:val="left"/>
              <w:rPr>
                <w:rFonts w:ascii="Times New Roman" w:eastAsia="宋体" w:hAnsi="宋体" w:cs="宋体"/>
                <w:vanish/>
                <w:kern w:val="0"/>
                <w:sz w:val="24"/>
              </w:rPr>
            </w:pPr>
          </w:p>
        </w:tc>
      </w:tr>
      <w:tr w:rsidR="00D7560A" w14:paraId="59E49EC8" w14:textId="77777777">
        <w:trPr>
          <w:hidden/>
        </w:trPr>
        <w:tc>
          <w:tcPr>
            <w:tcW w:w="0" w:type="auto"/>
            <w:gridSpan w:val="3"/>
            <w:tcBorders>
              <w:top w:val="nil"/>
              <w:left w:val="nil"/>
              <w:bottom w:val="nil"/>
              <w:right w:val="nil"/>
            </w:tcBorders>
            <w:shd w:val="clear" w:color="auto" w:fill="auto"/>
            <w:vAlign w:val="bottom"/>
          </w:tcPr>
          <w:p w14:paraId="59E49EC1"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9EC2"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9EC3"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9EC4"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9EC5"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9EC6"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9EC7" w14:textId="77777777" w:rsidR="00D7560A" w:rsidRDefault="00D7560A">
            <w:pPr>
              <w:widowControl/>
              <w:jc w:val="left"/>
              <w:rPr>
                <w:rFonts w:ascii="Times New Roman" w:eastAsia="宋体" w:hAnsi="宋体" w:cs="宋体"/>
                <w:vanish/>
                <w:kern w:val="0"/>
                <w:sz w:val="24"/>
              </w:rPr>
            </w:pPr>
          </w:p>
        </w:tc>
      </w:tr>
      <w:tr w:rsidR="00D7560A" w14:paraId="59E49ED0" w14:textId="77777777">
        <w:trPr>
          <w:hidden/>
        </w:trPr>
        <w:tc>
          <w:tcPr>
            <w:tcW w:w="0" w:type="auto"/>
            <w:gridSpan w:val="3"/>
            <w:tcBorders>
              <w:top w:val="nil"/>
              <w:left w:val="nil"/>
              <w:bottom w:val="nil"/>
              <w:right w:val="nil"/>
            </w:tcBorders>
            <w:shd w:val="clear" w:color="auto" w:fill="auto"/>
            <w:vAlign w:val="bottom"/>
          </w:tcPr>
          <w:p w14:paraId="59E49EC9"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9ECA"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9ECB"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9ECC"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9ECD"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9ECE"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9ECF" w14:textId="77777777" w:rsidR="00D7560A" w:rsidRDefault="00D7560A">
            <w:pPr>
              <w:widowControl/>
              <w:jc w:val="left"/>
              <w:rPr>
                <w:rFonts w:ascii="Times New Roman" w:eastAsia="宋体" w:hAnsi="宋体" w:cs="宋体"/>
                <w:vanish/>
                <w:kern w:val="0"/>
                <w:sz w:val="24"/>
              </w:rPr>
            </w:pPr>
          </w:p>
        </w:tc>
      </w:tr>
      <w:tr w:rsidR="00D7560A" w14:paraId="59E49EE4" w14:textId="77777777">
        <w:trPr>
          <w:hidden/>
        </w:trPr>
        <w:tc>
          <w:tcPr>
            <w:tcW w:w="0" w:type="auto"/>
            <w:gridSpan w:val="3"/>
            <w:tcBorders>
              <w:top w:val="nil"/>
              <w:left w:val="nil"/>
              <w:bottom w:val="nil"/>
              <w:right w:val="nil"/>
            </w:tcBorders>
            <w:shd w:val="clear" w:color="auto" w:fill="auto"/>
            <w:vAlign w:val="bottom"/>
          </w:tcPr>
          <w:p w14:paraId="59E49ED1" w14:textId="77777777" w:rsidR="00D7560A" w:rsidRDefault="00D7560A">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59E49ED2"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9ED3"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9ED4"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9ED5"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9ED6"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9ED7"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9ED8"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9ED9"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9EDA"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9EDB"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9EDC"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9EDD"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9EDE"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9EDF"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9EE0"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9EE1"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9EE2"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9EE3" w14:textId="77777777" w:rsidR="00D7560A" w:rsidRDefault="00D7560A">
            <w:pPr>
              <w:widowControl/>
              <w:jc w:val="left"/>
              <w:rPr>
                <w:rFonts w:ascii="Times New Roman" w:eastAsia="宋体" w:hAnsi="宋体" w:cs="宋体"/>
                <w:kern w:val="0"/>
                <w:sz w:val="24"/>
              </w:rPr>
            </w:pPr>
          </w:p>
        </w:tc>
      </w:tr>
      <w:tr w:rsidR="00D7560A" w14:paraId="59E49EEC" w14:textId="77777777">
        <w:trPr>
          <w:hidden/>
        </w:trPr>
        <w:tc>
          <w:tcPr>
            <w:tcW w:w="0" w:type="auto"/>
            <w:gridSpan w:val="3"/>
            <w:tcBorders>
              <w:top w:val="nil"/>
              <w:left w:val="nil"/>
              <w:bottom w:val="nil"/>
              <w:right w:val="nil"/>
            </w:tcBorders>
            <w:shd w:val="clear" w:color="auto" w:fill="auto"/>
            <w:vAlign w:val="bottom"/>
          </w:tcPr>
          <w:p w14:paraId="59E49EE5"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9EE6"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9EE7"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9EE8"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9EE9"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9EEA"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9EEB" w14:textId="77777777" w:rsidR="00D7560A" w:rsidRDefault="00D7560A">
            <w:pPr>
              <w:widowControl/>
              <w:jc w:val="left"/>
              <w:rPr>
                <w:rFonts w:ascii="Times New Roman" w:eastAsia="宋体" w:hAnsi="宋体" w:cs="宋体"/>
                <w:vanish/>
                <w:kern w:val="0"/>
                <w:sz w:val="24"/>
              </w:rPr>
            </w:pPr>
          </w:p>
        </w:tc>
      </w:tr>
      <w:tr w:rsidR="00D7560A" w14:paraId="59E49EF4" w14:textId="77777777">
        <w:trPr>
          <w:hidden/>
        </w:trPr>
        <w:tc>
          <w:tcPr>
            <w:tcW w:w="0" w:type="auto"/>
            <w:gridSpan w:val="3"/>
            <w:tcBorders>
              <w:top w:val="nil"/>
              <w:left w:val="nil"/>
              <w:bottom w:val="nil"/>
              <w:right w:val="nil"/>
            </w:tcBorders>
            <w:shd w:val="clear" w:color="auto" w:fill="auto"/>
            <w:vAlign w:val="bottom"/>
          </w:tcPr>
          <w:p w14:paraId="59E49EED"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9EEE"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9EEF"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9EF0"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9EF1"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9EF2"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9EF3" w14:textId="77777777" w:rsidR="00D7560A" w:rsidRDefault="00D7560A">
            <w:pPr>
              <w:widowControl/>
              <w:jc w:val="left"/>
              <w:rPr>
                <w:rFonts w:ascii="Times New Roman" w:eastAsia="宋体" w:hAnsi="宋体" w:cs="宋体"/>
                <w:vanish/>
                <w:kern w:val="0"/>
                <w:sz w:val="24"/>
              </w:rPr>
            </w:pPr>
          </w:p>
        </w:tc>
      </w:tr>
      <w:tr w:rsidR="00D7560A" w14:paraId="59E49EFC" w14:textId="77777777">
        <w:trPr>
          <w:hidden/>
        </w:trPr>
        <w:tc>
          <w:tcPr>
            <w:tcW w:w="0" w:type="auto"/>
            <w:gridSpan w:val="3"/>
            <w:tcBorders>
              <w:top w:val="nil"/>
              <w:left w:val="nil"/>
              <w:bottom w:val="nil"/>
              <w:right w:val="nil"/>
            </w:tcBorders>
            <w:shd w:val="clear" w:color="auto" w:fill="auto"/>
            <w:vAlign w:val="bottom"/>
          </w:tcPr>
          <w:p w14:paraId="59E49EF5"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9EF6"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9EF7"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9EF8"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9EF9"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9EFA"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9EFB" w14:textId="77777777" w:rsidR="00D7560A" w:rsidRDefault="00D7560A">
            <w:pPr>
              <w:widowControl/>
              <w:jc w:val="left"/>
              <w:rPr>
                <w:rFonts w:ascii="Times New Roman" w:eastAsia="宋体" w:hAnsi="宋体" w:cs="宋体"/>
                <w:vanish/>
                <w:kern w:val="0"/>
                <w:sz w:val="24"/>
              </w:rPr>
            </w:pPr>
          </w:p>
        </w:tc>
      </w:tr>
      <w:tr w:rsidR="00D7560A" w14:paraId="59E49F04" w14:textId="77777777">
        <w:trPr>
          <w:hidden/>
        </w:trPr>
        <w:tc>
          <w:tcPr>
            <w:tcW w:w="0" w:type="auto"/>
            <w:gridSpan w:val="3"/>
            <w:tcBorders>
              <w:top w:val="nil"/>
              <w:left w:val="nil"/>
              <w:bottom w:val="nil"/>
              <w:right w:val="nil"/>
            </w:tcBorders>
            <w:shd w:val="clear" w:color="auto" w:fill="auto"/>
            <w:vAlign w:val="bottom"/>
          </w:tcPr>
          <w:p w14:paraId="59E49EFD"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9EFE"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9EFF"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9F00"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9F01"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9F02"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9F03" w14:textId="77777777" w:rsidR="00D7560A" w:rsidRDefault="00D7560A">
            <w:pPr>
              <w:widowControl/>
              <w:jc w:val="left"/>
              <w:rPr>
                <w:rFonts w:ascii="Times New Roman" w:eastAsia="宋体" w:hAnsi="宋体" w:cs="宋体"/>
                <w:vanish/>
                <w:kern w:val="0"/>
                <w:sz w:val="24"/>
              </w:rPr>
            </w:pPr>
          </w:p>
        </w:tc>
      </w:tr>
      <w:tr w:rsidR="00D7560A" w14:paraId="59E49F0C" w14:textId="77777777">
        <w:trPr>
          <w:hidden/>
        </w:trPr>
        <w:tc>
          <w:tcPr>
            <w:tcW w:w="0" w:type="auto"/>
            <w:gridSpan w:val="3"/>
            <w:tcBorders>
              <w:top w:val="nil"/>
              <w:left w:val="nil"/>
              <w:bottom w:val="nil"/>
              <w:right w:val="nil"/>
            </w:tcBorders>
            <w:shd w:val="clear" w:color="auto" w:fill="auto"/>
            <w:vAlign w:val="bottom"/>
          </w:tcPr>
          <w:p w14:paraId="59E49F05"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9F06"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9F07"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9F08"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9F09"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9F0A"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9F0B" w14:textId="77777777" w:rsidR="00D7560A" w:rsidRDefault="00D7560A">
            <w:pPr>
              <w:widowControl/>
              <w:jc w:val="left"/>
              <w:rPr>
                <w:rFonts w:ascii="Times New Roman" w:eastAsia="宋体" w:hAnsi="宋体" w:cs="宋体"/>
                <w:vanish/>
                <w:kern w:val="0"/>
                <w:sz w:val="24"/>
              </w:rPr>
            </w:pPr>
          </w:p>
        </w:tc>
      </w:tr>
      <w:tr w:rsidR="00D7560A" w14:paraId="59E49F14" w14:textId="77777777">
        <w:trPr>
          <w:hidden/>
        </w:trPr>
        <w:tc>
          <w:tcPr>
            <w:tcW w:w="0" w:type="auto"/>
            <w:gridSpan w:val="3"/>
            <w:tcBorders>
              <w:top w:val="nil"/>
              <w:left w:val="nil"/>
              <w:bottom w:val="nil"/>
              <w:right w:val="nil"/>
            </w:tcBorders>
            <w:shd w:val="clear" w:color="auto" w:fill="auto"/>
            <w:vAlign w:val="bottom"/>
          </w:tcPr>
          <w:p w14:paraId="59E49F0D"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9F0E"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9F0F"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9F10"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9F11"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9F12"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9F13" w14:textId="77777777" w:rsidR="00D7560A" w:rsidRDefault="00D7560A">
            <w:pPr>
              <w:widowControl/>
              <w:jc w:val="left"/>
              <w:rPr>
                <w:rFonts w:ascii="Times New Roman" w:eastAsia="宋体" w:hAnsi="宋体" w:cs="宋体"/>
                <w:vanish/>
                <w:kern w:val="0"/>
                <w:sz w:val="24"/>
              </w:rPr>
            </w:pPr>
          </w:p>
        </w:tc>
      </w:tr>
      <w:tr w:rsidR="00D7560A" w14:paraId="59E49F16" w14:textId="77777777">
        <w:tc>
          <w:tcPr>
            <w:tcW w:w="0" w:type="auto"/>
            <w:gridSpan w:val="21"/>
            <w:tcBorders>
              <w:top w:val="nil"/>
              <w:left w:val="nil"/>
              <w:bottom w:val="nil"/>
              <w:right w:val="nil"/>
            </w:tcBorders>
            <w:shd w:val="clear" w:color="auto" w:fill="CCEEFF"/>
            <w:tcMar>
              <w:top w:w="40" w:type="dxa"/>
              <w:left w:w="20" w:type="dxa"/>
              <w:bottom w:w="40" w:type="dxa"/>
              <w:right w:w="20" w:type="dxa"/>
            </w:tcMar>
            <w:vAlign w:val="bottom"/>
          </w:tcPr>
          <w:p w14:paraId="59E49F15"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i/>
                <w:iCs/>
                <w:color w:val="000000"/>
                <w:kern w:val="0"/>
                <w:sz w:val="20"/>
                <w:szCs w:val="20"/>
                <w:lang w:bidi="ar"/>
              </w:rPr>
              <w:t>For the six months ended July 29, 2022</w:t>
            </w:r>
          </w:p>
        </w:tc>
      </w:tr>
      <w:tr w:rsidR="00D7560A" w14:paraId="59E49F1F" w14:textId="77777777">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9F17"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9F18"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9F19"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9F1A"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59E49F1B"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Total net revenue</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9F1C"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9F1D"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430 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9F1E" w14:textId="77777777" w:rsidR="00D7560A" w:rsidRDefault="00D7560A">
            <w:pPr>
              <w:widowControl/>
              <w:jc w:val="right"/>
              <w:rPr>
                <w:rFonts w:ascii="Times New Roman" w:eastAsia="宋体" w:hAnsi="宋体" w:cs="宋体"/>
                <w:kern w:val="0"/>
                <w:sz w:val="24"/>
              </w:rPr>
            </w:pPr>
          </w:p>
        </w:tc>
      </w:tr>
      <w:tr w:rsidR="00D7560A" w14:paraId="59E49F29"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9E49F20"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Foreign exchange contracts</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F21"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9F22"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538 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9F23"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F24"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9E49F25"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Total cost of net </w:t>
            </w:r>
            <w:r>
              <w:rPr>
                <w:rFonts w:ascii="Times New Roman" w:eastAsia="宋体" w:hAnsi="Times New Roman" w:cs="Times New Roman"/>
                <w:color w:val="000000"/>
                <w:kern w:val="0"/>
                <w:sz w:val="20"/>
                <w:szCs w:val="20"/>
                <w:lang w:bidi="ar"/>
              </w:rPr>
              <w:t>revenue</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F26"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9F27"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(28)</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9F28" w14:textId="77777777" w:rsidR="00D7560A" w:rsidRDefault="00D7560A">
            <w:pPr>
              <w:widowControl/>
              <w:jc w:val="right"/>
              <w:rPr>
                <w:rFonts w:ascii="Times New Roman" w:eastAsia="宋体" w:hAnsi="宋体" w:cs="宋体"/>
                <w:kern w:val="0"/>
                <w:sz w:val="24"/>
              </w:rPr>
            </w:pPr>
          </w:p>
        </w:tc>
      </w:tr>
      <w:tr w:rsidR="00D7560A" w14:paraId="59E49F33"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59E49F2A"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Interest rate contracts</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9F2B"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9F2C"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9F2D"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9F2E"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59E49F2F"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Interest and other, net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9F30"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9F31"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9F32" w14:textId="77777777" w:rsidR="00D7560A" w:rsidRDefault="00D7560A">
            <w:pPr>
              <w:widowControl/>
              <w:jc w:val="right"/>
              <w:rPr>
                <w:rFonts w:ascii="Times New Roman" w:eastAsia="宋体" w:hAnsi="宋体" w:cs="宋体"/>
                <w:kern w:val="0"/>
                <w:sz w:val="24"/>
              </w:rPr>
            </w:pPr>
          </w:p>
        </w:tc>
      </w:tr>
      <w:tr w:rsidR="00D7560A" w14:paraId="59E49F3F"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9E49F34"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Total</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F35"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59E49F36"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59E49F37"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538 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59E49F38"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F39"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9E49F3A"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Total</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F3B"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59E49F3C"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59E49F3D"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402 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59E49F3E" w14:textId="77777777" w:rsidR="00D7560A" w:rsidRDefault="00D7560A">
            <w:pPr>
              <w:widowControl/>
              <w:jc w:val="right"/>
              <w:rPr>
                <w:rFonts w:ascii="Times New Roman" w:eastAsia="宋体" w:hAnsi="宋体" w:cs="宋体"/>
                <w:kern w:val="0"/>
                <w:sz w:val="24"/>
              </w:rPr>
            </w:pPr>
          </w:p>
        </w:tc>
      </w:tr>
      <w:tr w:rsidR="00D7560A" w14:paraId="59E49F47" w14:textId="77777777">
        <w:trPr>
          <w:trHeight w:val="280"/>
        </w:trPr>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9F40"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9F41" w14:textId="77777777" w:rsidR="00D7560A" w:rsidRDefault="00D7560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59E49F42"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9F43"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9F44"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9F45" w14:textId="77777777" w:rsidR="00D7560A" w:rsidRDefault="00D7560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59E49F46" w14:textId="77777777" w:rsidR="00D7560A" w:rsidRDefault="00D7560A">
            <w:pPr>
              <w:widowControl/>
              <w:jc w:val="left"/>
              <w:rPr>
                <w:rFonts w:ascii="Times New Roman" w:eastAsia="宋体" w:hAnsi="宋体" w:cs="宋体"/>
                <w:kern w:val="0"/>
                <w:sz w:val="24"/>
              </w:rPr>
            </w:pPr>
          </w:p>
        </w:tc>
      </w:tr>
      <w:tr w:rsidR="00D7560A" w14:paraId="59E49F49" w14:textId="77777777">
        <w:tc>
          <w:tcPr>
            <w:tcW w:w="0" w:type="auto"/>
            <w:gridSpan w:val="21"/>
            <w:tcBorders>
              <w:top w:val="nil"/>
              <w:left w:val="nil"/>
              <w:bottom w:val="nil"/>
              <w:right w:val="nil"/>
            </w:tcBorders>
            <w:shd w:val="clear" w:color="auto" w:fill="CCEEFF"/>
            <w:tcMar>
              <w:top w:w="40" w:type="dxa"/>
              <w:left w:w="20" w:type="dxa"/>
              <w:bottom w:w="40" w:type="dxa"/>
              <w:right w:w="20" w:type="dxa"/>
            </w:tcMar>
            <w:vAlign w:val="bottom"/>
          </w:tcPr>
          <w:p w14:paraId="59E49F48"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i/>
                <w:iCs/>
                <w:color w:val="000000"/>
                <w:kern w:val="0"/>
                <w:sz w:val="20"/>
                <w:szCs w:val="20"/>
                <w:lang w:bidi="ar"/>
              </w:rPr>
              <w:t>For the six months ended July 30, 2021</w:t>
            </w:r>
          </w:p>
        </w:tc>
      </w:tr>
      <w:tr w:rsidR="00D7560A" w14:paraId="59E49F53" w14:textId="77777777">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9F4A"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9F4B"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9F4C"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9F4D"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59E49F4E"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Total net revenue</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9F4F"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9E49F50"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9E49F51"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(37)</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9F52" w14:textId="77777777" w:rsidR="00D7560A" w:rsidRDefault="00D7560A">
            <w:pPr>
              <w:widowControl/>
              <w:jc w:val="right"/>
              <w:rPr>
                <w:rFonts w:ascii="Times New Roman" w:eastAsia="宋体" w:hAnsi="宋体" w:cs="宋体"/>
                <w:kern w:val="0"/>
                <w:sz w:val="24"/>
              </w:rPr>
            </w:pPr>
          </w:p>
        </w:tc>
      </w:tr>
      <w:tr w:rsidR="00D7560A" w14:paraId="59E49F5E"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9E49F54"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Foreign exchange contracts</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F55"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9E49F56"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9E49F57"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9F58"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F59"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9E49F5A"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Total cost of net revenue</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F5B"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9F5C"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9F5D" w14:textId="77777777" w:rsidR="00D7560A" w:rsidRDefault="00D7560A">
            <w:pPr>
              <w:widowControl/>
              <w:jc w:val="right"/>
              <w:rPr>
                <w:rFonts w:ascii="Times New Roman" w:eastAsia="宋体" w:hAnsi="宋体" w:cs="宋体"/>
                <w:kern w:val="0"/>
                <w:sz w:val="24"/>
              </w:rPr>
            </w:pPr>
          </w:p>
        </w:tc>
      </w:tr>
      <w:tr w:rsidR="00D7560A" w14:paraId="59E49F68"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59E49F5F"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Interest rate contracts</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9F60"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9F61"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9F62"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9F63"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59E49F64"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Interest and other, net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9F65"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9F66"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9F67" w14:textId="77777777" w:rsidR="00D7560A" w:rsidRDefault="00D7560A">
            <w:pPr>
              <w:widowControl/>
              <w:jc w:val="right"/>
              <w:rPr>
                <w:rFonts w:ascii="Times New Roman" w:eastAsia="宋体" w:hAnsi="宋体" w:cs="宋体"/>
                <w:kern w:val="0"/>
                <w:sz w:val="24"/>
              </w:rPr>
            </w:pPr>
          </w:p>
        </w:tc>
      </w:tr>
      <w:tr w:rsidR="00D7560A" w14:paraId="59E49F74"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9E49F69"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Total</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F6A"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59E49F6B"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59E49F6C"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64 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59E49F6D"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F6E"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9E49F6F"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Income from discontinued operations</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F70"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9E49F71"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9E49F72"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9F73" w14:textId="77777777" w:rsidR="00D7560A" w:rsidRDefault="00D7560A">
            <w:pPr>
              <w:widowControl/>
              <w:jc w:val="right"/>
              <w:rPr>
                <w:rFonts w:ascii="Times New Roman" w:eastAsia="宋体" w:hAnsi="宋体" w:cs="宋体"/>
                <w:kern w:val="0"/>
                <w:sz w:val="24"/>
              </w:rPr>
            </w:pPr>
          </w:p>
        </w:tc>
      </w:tr>
      <w:tr w:rsidR="00D7560A" w14:paraId="59E49F7E" w14:textId="77777777">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9F75"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9F76" w14:textId="77777777" w:rsidR="00D7560A" w:rsidRDefault="00D7560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59E49F77"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9F78"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59E49F79"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Total</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9F7A"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59E49F7B"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59E49F7C"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(40)</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59E49F7D" w14:textId="77777777" w:rsidR="00D7560A" w:rsidRDefault="00D7560A">
            <w:pPr>
              <w:widowControl/>
              <w:jc w:val="right"/>
              <w:rPr>
                <w:rFonts w:ascii="Times New Roman" w:eastAsia="宋体" w:hAnsi="宋体" w:cs="宋体"/>
                <w:kern w:val="0"/>
                <w:sz w:val="24"/>
              </w:rPr>
            </w:pPr>
          </w:p>
        </w:tc>
      </w:tr>
    </w:tbl>
    <w:p w14:paraId="59E49F7F"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9F80" w14:textId="77777777" w:rsidR="00D7560A" w:rsidRDefault="001E3CAB">
      <w:pPr>
        <w:widowControl/>
        <w:spacing w:after="12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The following table presents the effect of derivative instruments not designated as hedging instruments on the Condensed Consolidated Statements of Income as of the dates indicated:</w:t>
      </w:r>
    </w:p>
    <w:tbl>
      <w:tblPr>
        <w:tblW w:w="4905" w:type="pct"/>
        <w:jc w:val="center"/>
        <w:tblCellMar>
          <w:top w:w="15" w:type="dxa"/>
          <w:left w:w="15" w:type="dxa"/>
          <w:bottom w:w="15" w:type="dxa"/>
          <w:right w:w="15" w:type="dxa"/>
        </w:tblCellMar>
        <w:tblLook w:val="04A0" w:firstRow="1" w:lastRow="0" w:firstColumn="1" w:lastColumn="0" w:noHBand="0" w:noVBand="1"/>
      </w:tblPr>
      <w:tblGrid>
        <w:gridCol w:w="37"/>
        <w:gridCol w:w="1899"/>
        <w:gridCol w:w="36"/>
        <w:gridCol w:w="120"/>
        <w:gridCol w:w="852"/>
        <w:gridCol w:w="36"/>
        <w:gridCol w:w="36"/>
        <w:gridCol w:w="36"/>
        <w:gridCol w:w="36"/>
        <w:gridCol w:w="120"/>
        <w:gridCol w:w="852"/>
        <w:gridCol w:w="36"/>
        <w:gridCol w:w="36"/>
        <w:gridCol w:w="36"/>
        <w:gridCol w:w="36"/>
        <w:gridCol w:w="120"/>
        <w:gridCol w:w="852"/>
        <w:gridCol w:w="36"/>
        <w:gridCol w:w="36"/>
        <w:gridCol w:w="36"/>
        <w:gridCol w:w="36"/>
        <w:gridCol w:w="120"/>
        <w:gridCol w:w="852"/>
        <w:gridCol w:w="36"/>
        <w:gridCol w:w="36"/>
        <w:gridCol w:w="36"/>
        <w:gridCol w:w="36"/>
        <w:gridCol w:w="47"/>
        <w:gridCol w:w="1658"/>
        <w:gridCol w:w="37"/>
      </w:tblGrid>
      <w:tr w:rsidR="00D7560A" w14:paraId="59E49F9F" w14:textId="77777777">
        <w:trPr>
          <w:jc w:val="center"/>
        </w:trPr>
        <w:tc>
          <w:tcPr>
            <w:tcW w:w="50" w:type="pct"/>
            <w:tcBorders>
              <w:top w:val="nil"/>
              <w:left w:val="nil"/>
              <w:bottom w:val="nil"/>
              <w:right w:val="nil"/>
            </w:tcBorders>
            <w:shd w:val="clear" w:color="auto" w:fill="auto"/>
            <w:vAlign w:val="bottom"/>
          </w:tcPr>
          <w:p w14:paraId="59E49F81" w14:textId="77777777" w:rsidR="00D7560A" w:rsidRDefault="00D7560A">
            <w:pPr>
              <w:widowControl/>
              <w:jc w:val="left"/>
              <w:rPr>
                <w:rFonts w:ascii="Times New Roman" w:eastAsia="宋体" w:hAnsi="宋体" w:cs="宋体"/>
                <w:kern w:val="0"/>
                <w:sz w:val="24"/>
              </w:rPr>
            </w:pPr>
          </w:p>
        </w:tc>
        <w:tc>
          <w:tcPr>
            <w:tcW w:w="1219" w:type="pct"/>
            <w:tcBorders>
              <w:top w:val="nil"/>
              <w:left w:val="nil"/>
              <w:bottom w:val="nil"/>
              <w:right w:val="nil"/>
            </w:tcBorders>
            <w:shd w:val="clear" w:color="auto" w:fill="auto"/>
            <w:vAlign w:val="bottom"/>
          </w:tcPr>
          <w:p w14:paraId="59E49F82"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F83"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9F84" w14:textId="77777777" w:rsidR="00D7560A" w:rsidRDefault="00D7560A">
            <w:pPr>
              <w:widowControl/>
              <w:jc w:val="left"/>
              <w:rPr>
                <w:rFonts w:ascii="Times New Roman" w:eastAsia="宋体" w:hAnsi="宋体" w:cs="宋体"/>
                <w:kern w:val="0"/>
                <w:sz w:val="24"/>
              </w:rPr>
            </w:pPr>
          </w:p>
        </w:tc>
        <w:tc>
          <w:tcPr>
            <w:tcW w:w="563" w:type="pct"/>
            <w:tcBorders>
              <w:top w:val="nil"/>
              <w:left w:val="nil"/>
              <w:bottom w:val="nil"/>
              <w:right w:val="nil"/>
            </w:tcBorders>
            <w:shd w:val="clear" w:color="auto" w:fill="auto"/>
            <w:vAlign w:val="bottom"/>
          </w:tcPr>
          <w:p w14:paraId="59E49F85"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F86"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F87" w14:textId="77777777" w:rsidR="00D7560A" w:rsidRDefault="00D7560A">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59E49F88"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F89"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9F8A" w14:textId="77777777" w:rsidR="00D7560A" w:rsidRDefault="00D7560A">
            <w:pPr>
              <w:widowControl/>
              <w:jc w:val="left"/>
              <w:rPr>
                <w:rFonts w:ascii="Times New Roman" w:eastAsia="宋体" w:hAnsi="宋体" w:cs="宋体"/>
                <w:kern w:val="0"/>
                <w:sz w:val="24"/>
              </w:rPr>
            </w:pPr>
          </w:p>
        </w:tc>
        <w:tc>
          <w:tcPr>
            <w:tcW w:w="563" w:type="pct"/>
            <w:tcBorders>
              <w:top w:val="nil"/>
              <w:left w:val="nil"/>
              <w:bottom w:val="nil"/>
              <w:right w:val="nil"/>
            </w:tcBorders>
            <w:shd w:val="clear" w:color="auto" w:fill="auto"/>
            <w:vAlign w:val="bottom"/>
          </w:tcPr>
          <w:p w14:paraId="59E49F8B"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F8C"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F8D" w14:textId="77777777" w:rsidR="00D7560A" w:rsidRDefault="00D7560A">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59E49F8E"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F8F"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9F90" w14:textId="77777777" w:rsidR="00D7560A" w:rsidRDefault="00D7560A">
            <w:pPr>
              <w:widowControl/>
              <w:jc w:val="left"/>
              <w:rPr>
                <w:rFonts w:ascii="Times New Roman" w:eastAsia="宋体" w:hAnsi="宋体" w:cs="宋体"/>
                <w:kern w:val="0"/>
                <w:sz w:val="24"/>
              </w:rPr>
            </w:pPr>
          </w:p>
        </w:tc>
        <w:tc>
          <w:tcPr>
            <w:tcW w:w="563" w:type="pct"/>
            <w:tcBorders>
              <w:top w:val="nil"/>
              <w:left w:val="nil"/>
              <w:bottom w:val="nil"/>
              <w:right w:val="nil"/>
            </w:tcBorders>
            <w:shd w:val="clear" w:color="auto" w:fill="auto"/>
            <w:vAlign w:val="bottom"/>
          </w:tcPr>
          <w:p w14:paraId="59E49F91"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F92"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F93" w14:textId="77777777" w:rsidR="00D7560A" w:rsidRDefault="00D7560A">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59E49F94"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F95"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9F96" w14:textId="77777777" w:rsidR="00D7560A" w:rsidRDefault="00D7560A">
            <w:pPr>
              <w:widowControl/>
              <w:jc w:val="left"/>
              <w:rPr>
                <w:rFonts w:ascii="Times New Roman" w:eastAsia="宋体" w:hAnsi="宋体" w:cs="宋体"/>
                <w:kern w:val="0"/>
                <w:sz w:val="24"/>
              </w:rPr>
            </w:pPr>
          </w:p>
        </w:tc>
        <w:tc>
          <w:tcPr>
            <w:tcW w:w="563" w:type="pct"/>
            <w:tcBorders>
              <w:top w:val="nil"/>
              <w:left w:val="nil"/>
              <w:bottom w:val="nil"/>
              <w:right w:val="nil"/>
            </w:tcBorders>
            <w:shd w:val="clear" w:color="auto" w:fill="auto"/>
            <w:vAlign w:val="bottom"/>
          </w:tcPr>
          <w:p w14:paraId="59E49F97"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F98"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F99" w14:textId="77777777" w:rsidR="00D7560A" w:rsidRDefault="00D7560A">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59E49F9A"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F9B"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9F9C" w14:textId="77777777" w:rsidR="00D7560A" w:rsidRDefault="00D7560A">
            <w:pPr>
              <w:widowControl/>
              <w:jc w:val="left"/>
              <w:rPr>
                <w:rFonts w:ascii="Times New Roman" w:eastAsia="宋体" w:hAnsi="宋体" w:cs="宋体"/>
                <w:kern w:val="0"/>
                <w:sz w:val="24"/>
              </w:rPr>
            </w:pPr>
          </w:p>
        </w:tc>
        <w:tc>
          <w:tcPr>
            <w:tcW w:w="1077" w:type="pct"/>
            <w:tcBorders>
              <w:top w:val="nil"/>
              <w:left w:val="nil"/>
              <w:bottom w:val="nil"/>
              <w:right w:val="nil"/>
            </w:tcBorders>
            <w:shd w:val="clear" w:color="auto" w:fill="auto"/>
            <w:vAlign w:val="bottom"/>
          </w:tcPr>
          <w:p w14:paraId="59E49F9D"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9F9E" w14:textId="77777777" w:rsidR="00D7560A" w:rsidRDefault="00D7560A">
            <w:pPr>
              <w:widowControl/>
              <w:jc w:val="left"/>
              <w:rPr>
                <w:rFonts w:ascii="Times New Roman" w:eastAsia="宋体" w:hAnsi="宋体" w:cs="宋体"/>
                <w:kern w:val="0"/>
                <w:sz w:val="24"/>
              </w:rPr>
            </w:pPr>
          </w:p>
        </w:tc>
      </w:tr>
      <w:tr w:rsidR="00D7560A" w14:paraId="59E49FA6"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9FA0" w14:textId="77777777" w:rsidR="00D7560A" w:rsidRDefault="00D7560A">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59E49FA1"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Three Months Ended</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9FA2" w14:textId="77777777" w:rsidR="00D7560A" w:rsidRDefault="00D7560A">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59E49FA3"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Six Months Ended</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9FA4"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9FA5" w14:textId="77777777" w:rsidR="00D7560A" w:rsidRDefault="00D7560A">
            <w:pPr>
              <w:widowControl/>
              <w:jc w:val="left"/>
              <w:rPr>
                <w:rFonts w:ascii="Times New Roman" w:eastAsia="宋体" w:hAnsi="宋体" w:cs="宋体"/>
                <w:kern w:val="0"/>
                <w:sz w:val="24"/>
              </w:rPr>
            </w:pPr>
          </w:p>
        </w:tc>
      </w:tr>
      <w:tr w:rsidR="00D7560A" w14:paraId="59E49FB1"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9FA7"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59E49FA8"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29, 2022</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59E49FA9"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59E49FAA"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30, 2021</w:t>
            </w:r>
          </w:p>
        </w:tc>
        <w:tc>
          <w:tcPr>
            <w:tcW w:w="0" w:type="auto"/>
            <w:gridSpan w:val="3"/>
            <w:tcBorders>
              <w:top w:val="single" w:sz="4" w:space="0" w:color="000000"/>
              <w:left w:val="nil"/>
              <w:bottom w:val="single" w:sz="8" w:space="0" w:color="000000"/>
              <w:right w:val="nil"/>
            </w:tcBorders>
            <w:shd w:val="clear" w:color="auto" w:fill="auto"/>
            <w:tcMar>
              <w:top w:w="0" w:type="dxa"/>
              <w:left w:w="20" w:type="dxa"/>
              <w:bottom w:w="0" w:type="dxa"/>
              <w:right w:w="20" w:type="dxa"/>
            </w:tcMar>
            <w:vAlign w:val="bottom"/>
          </w:tcPr>
          <w:p w14:paraId="59E49FAB"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59E49FAC"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29, 2022</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59E49FAD"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59E49FAE"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30, 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9FAF"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9E49FB0"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Location of Gain (Loss) Recognized</w:t>
            </w:r>
          </w:p>
        </w:tc>
      </w:tr>
      <w:tr w:rsidR="00D7560A" w14:paraId="59E49FB6"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9FB2" w14:textId="77777777" w:rsidR="00D7560A" w:rsidRDefault="00D7560A">
            <w:pPr>
              <w:widowControl/>
              <w:jc w:val="left"/>
              <w:rPr>
                <w:rFonts w:ascii="Times New Roman" w:eastAsia="宋体" w:hAnsi="宋体" w:cs="宋体"/>
                <w:kern w:val="0"/>
                <w:sz w:val="24"/>
              </w:rPr>
            </w:pPr>
          </w:p>
        </w:tc>
        <w:tc>
          <w:tcPr>
            <w:tcW w:w="0" w:type="auto"/>
            <w:gridSpan w:val="21"/>
            <w:tcBorders>
              <w:top w:val="single" w:sz="8" w:space="0" w:color="000000"/>
              <w:left w:val="nil"/>
              <w:bottom w:val="nil"/>
              <w:right w:val="nil"/>
            </w:tcBorders>
            <w:shd w:val="clear" w:color="auto" w:fill="auto"/>
            <w:tcMar>
              <w:top w:w="40" w:type="dxa"/>
              <w:left w:w="20" w:type="dxa"/>
              <w:bottom w:w="40" w:type="dxa"/>
              <w:right w:w="20" w:type="dxa"/>
            </w:tcMar>
            <w:vAlign w:val="bottom"/>
          </w:tcPr>
          <w:p w14:paraId="59E49FB3"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(in millions)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9FB4"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59E49FB5" w14:textId="77777777" w:rsidR="00D7560A" w:rsidRDefault="00D7560A">
            <w:pPr>
              <w:widowControl/>
              <w:jc w:val="left"/>
              <w:rPr>
                <w:rFonts w:ascii="Times New Roman" w:eastAsia="宋体" w:hAnsi="宋体" w:cs="宋体"/>
                <w:kern w:val="0"/>
                <w:sz w:val="24"/>
              </w:rPr>
            </w:pPr>
          </w:p>
        </w:tc>
      </w:tr>
      <w:tr w:rsidR="00D7560A" w14:paraId="59E49FC9"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9E49FB7"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Foreign exchange contracts</w:t>
            </w: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9E49FB8"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9E49FB9"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(74)</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9FBA"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FBB"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9E49FBC"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9E49FBD"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(143)</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9FBE"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FBF"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9E49FC0"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9E49FC1"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(305)</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9FC2"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FC3"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9E49FC4"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9E49FC5"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(172)</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9FC6"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FC7"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9E49FC8"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Interest and other, net</w:t>
            </w:r>
          </w:p>
        </w:tc>
      </w:tr>
      <w:tr w:rsidR="00D7560A" w14:paraId="59E49FD8"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59E49FCA"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Interest rate contracts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9FCB"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9FCC"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9FCD"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9FCE"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9FCF"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9FD0"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9FD1"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9FD2"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9FD3"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9FD4"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9FD5"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9FD6"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59E49FD7"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Interest and other, net</w:t>
            </w:r>
          </w:p>
        </w:tc>
      </w:tr>
      <w:tr w:rsidR="00D7560A" w14:paraId="59E49FE7" w14:textId="77777777">
        <w:trPr>
          <w:jc w:val="center"/>
        </w:trPr>
        <w:tc>
          <w:tcPr>
            <w:tcW w:w="0" w:type="auto"/>
            <w:gridSpan w:val="3"/>
            <w:tcBorders>
              <w:top w:val="nil"/>
              <w:left w:val="nil"/>
              <w:bottom w:val="nil"/>
              <w:right w:val="nil"/>
            </w:tcBorders>
            <w:shd w:val="clear" w:color="auto" w:fill="CCEEFF"/>
            <w:tcMar>
              <w:top w:w="40" w:type="dxa"/>
              <w:left w:w="35" w:type="dxa"/>
              <w:bottom w:w="40" w:type="dxa"/>
              <w:right w:w="20" w:type="dxa"/>
            </w:tcMar>
            <w:vAlign w:val="bottom"/>
          </w:tcPr>
          <w:p w14:paraId="59E49FD9"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Foreign exchange contracts </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9FDA"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9FDB"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FDC"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9FDD"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9FDE"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FDF"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9FE0"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9FE1"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FE2"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9FE3"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9FE4"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9FE5"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9E49FE6"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Income from discontinued operations</w:t>
            </w:r>
          </w:p>
        </w:tc>
      </w:tr>
      <w:tr w:rsidR="00D7560A" w14:paraId="59E49FFA" w14:textId="77777777">
        <w:trPr>
          <w:jc w:val="center"/>
        </w:trPr>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59E49FE8"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Total</w:t>
            </w: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59E49FE9"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59E49FEA"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(73)</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59E49FEB"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9FEC"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59E49FED"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59E49FEE"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(137)</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59E49FEF"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9FF0"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59E49FF1"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59E49FF2"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(287)</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59E49FF3"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9FF4"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59E49FF5"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59E49FF6"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(160)</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59E49FF7"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9FF8"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9FF9" w14:textId="77777777" w:rsidR="00D7560A" w:rsidRDefault="00D7560A">
            <w:pPr>
              <w:widowControl/>
              <w:jc w:val="left"/>
              <w:rPr>
                <w:rFonts w:ascii="Times New Roman" w:eastAsia="宋体" w:hAnsi="宋体" w:cs="宋体"/>
                <w:kern w:val="0"/>
                <w:sz w:val="24"/>
              </w:rPr>
            </w:pPr>
          </w:p>
        </w:tc>
      </w:tr>
    </w:tbl>
    <w:p w14:paraId="59E49FFB"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9FFC"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35</w:t>
      </w:r>
    </w:p>
    <w:p w14:paraId="59E49FFD"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9FFE" w14:textId="77777777" w:rsidR="00D7560A" w:rsidRDefault="001E3CAB">
      <w:pPr>
        <w:widowControl/>
        <w:jc w:val="center"/>
      </w:pPr>
      <w:r>
        <w:rPr>
          <w:rFonts w:ascii="宋体" w:eastAsia="宋体" w:hAnsi="宋体" w:cs="宋体"/>
          <w:kern w:val="0"/>
          <w:sz w:val="24"/>
        </w:rPr>
        <w:pict w14:anchorId="59E4C7EE">
          <v:rect id="_x0000_i1059" style="width:6in;height:1.5pt" o:hralign="center" o:hrstd="t" o:hr="t" fillcolor="#a0a0a0" stroked="f"/>
        </w:pict>
      </w:r>
    </w:p>
    <w:p w14:paraId="59E49FFF" w14:textId="77777777" w:rsidR="00D7560A" w:rsidRDefault="001E3CAB">
      <w:pPr>
        <w:widowControl/>
        <w:jc w:val="left"/>
        <w:rPr>
          <w:rFonts w:ascii="宋体" w:eastAsia="宋体" w:hAnsi="宋体" w:cs="宋体"/>
          <w:kern w:val="0"/>
          <w:sz w:val="24"/>
        </w:rPr>
      </w:pPr>
      <w:hyperlink w:anchor="if933dd1d5d004d2495dd7029e3ecad00_13" w:history="1">
        <w:r>
          <w:rPr>
            <w:rStyle w:val="a4"/>
            <w:rFonts w:ascii="Times New Roman" w:eastAsia="宋体" w:hAnsi="Times New Roman" w:cs="Times New Roman"/>
            <w:sz w:val="20"/>
            <w:szCs w:val="20"/>
          </w:rPr>
          <w:t>Table of Contents</w:t>
        </w:r>
      </w:hyperlink>
    </w:p>
    <w:p w14:paraId="59E4A000"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DELL TECHNOLOGIES INC.</w:t>
      </w:r>
    </w:p>
    <w:p w14:paraId="59E4A001"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 xml:space="preserve">NOTES TO THE </w:t>
      </w:r>
      <w:r>
        <w:rPr>
          <w:rFonts w:ascii="Times New Roman" w:eastAsia="宋体" w:hAnsi="Times New Roman" w:cs="Times New Roman"/>
          <w:b/>
          <w:bCs/>
          <w:color w:val="000000"/>
          <w:kern w:val="0"/>
          <w:sz w:val="20"/>
          <w:szCs w:val="20"/>
          <w:lang w:bidi="ar"/>
        </w:rPr>
        <w:t>CONDENSED CONSOLIDATED FINANCIAL STATEMENTS (Continued)</w:t>
      </w:r>
    </w:p>
    <w:p w14:paraId="59E4A002"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(unaudited)</w:t>
      </w:r>
    </w:p>
    <w:p w14:paraId="59E4A003"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A004" w14:textId="77777777" w:rsidR="00D7560A" w:rsidRDefault="001E3CAB">
      <w:pPr>
        <w:widowControl/>
        <w:spacing w:before="100" w:after="12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The Company presents its foreign exchange derivative instruments on a net basis in the Condensed Consolidated Statements of Financial Position due to the right of offset by its counterpa</w:t>
      </w:r>
      <w:r>
        <w:rPr>
          <w:rFonts w:ascii="Times New Roman" w:eastAsia="宋体" w:hAnsi="Times New Roman" w:cs="Times New Roman"/>
          <w:color w:val="000000"/>
          <w:kern w:val="0"/>
          <w:sz w:val="20"/>
          <w:szCs w:val="20"/>
          <w:lang w:bidi="ar"/>
        </w:rPr>
        <w:t>rties under master netting arrangements. The following tables present the fair value of those derivative instruments presented on a gross basis as of the dates indicated:</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9"/>
        <w:gridCol w:w="3253"/>
        <w:gridCol w:w="38"/>
        <w:gridCol w:w="121"/>
        <w:gridCol w:w="685"/>
        <w:gridCol w:w="36"/>
        <w:gridCol w:w="36"/>
        <w:gridCol w:w="36"/>
        <w:gridCol w:w="36"/>
        <w:gridCol w:w="121"/>
        <w:gridCol w:w="686"/>
        <w:gridCol w:w="36"/>
        <w:gridCol w:w="36"/>
        <w:gridCol w:w="36"/>
        <w:gridCol w:w="36"/>
        <w:gridCol w:w="121"/>
        <w:gridCol w:w="806"/>
        <w:gridCol w:w="36"/>
        <w:gridCol w:w="36"/>
        <w:gridCol w:w="36"/>
        <w:gridCol w:w="36"/>
        <w:gridCol w:w="121"/>
        <w:gridCol w:w="1046"/>
        <w:gridCol w:w="36"/>
        <w:gridCol w:w="36"/>
        <w:gridCol w:w="36"/>
        <w:gridCol w:w="36"/>
        <w:gridCol w:w="121"/>
        <w:gridCol w:w="566"/>
        <w:gridCol w:w="36"/>
      </w:tblGrid>
      <w:tr w:rsidR="00D7560A" w14:paraId="59E4A023" w14:textId="77777777">
        <w:tc>
          <w:tcPr>
            <w:tcW w:w="50" w:type="pct"/>
            <w:tcBorders>
              <w:top w:val="nil"/>
              <w:left w:val="nil"/>
              <w:bottom w:val="nil"/>
              <w:right w:val="nil"/>
            </w:tcBorders>
            <w:shd w:val="clear" w:color="auto" w:fill="auto"/>
            <w:vAlign w:val="bottom"/>
          </w:tcPr>
          <w:p w14:paraId="59E4A005" w14:textId="77777777" w:rsidR="00D7560A" w:rsidRDefault="00D7560A">
            <w:pPr>
              <w:widowControl/>
              <w:jc w:val="left"/>
              <w:rPr>
                <w:rFonts w:ascii="Times New Roman" w:eastAsia="宋体" w:hAnsi="宋体" w:cs="宋体"/>
                <w:kern w:val="0"/>
                <w:sz w:val="24"/>
              </w:rPr>
            </w:pPr>
          </w:p>
        </w:tc>
        <w:tc>
          <w:tcPr>
            <w:tcW w:w="2086" w:type="pct"/>
            <w:tcBorders>
              <w:top w:val="nil"/>
              <w:left w:val="nil"/>
              <w:bottom w:val="nil"/>
              <w:right w:val="nil"/>
            </w:tcBorders>
            <w:shd w:val="clear" w:color="auto" w:fill="auto"/>
            <w:vAlign w:val="bottom"/>
          </w:tcPr>
          <w:p w14:paraId="59E4A006"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A007"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A008" w14:textId="77777777" w:rsidR="00D7560A" w:rsidRDefault="00D7560A">
            <w:pPr>
              <w:widowControl/>
              <w:jc w:val="left"/>
              <w:rPr>
                <w:rFonts w:ascii="Times New Roman" w:eastAsia="宋体" w:hAnsi="宋体" w:cs="宋体"/>
                <w:kern w:val="0"/>
                <w:sz w:val="24"/>
              </w:rPr>
            </w:pPr>
          </w:p>
        </w:tc>
        <w:tc>
          <w:tcPr>
            <w:tcW w:w="492" w:type="pct"/>
            <w:tcBorders>
              <w:top w:val="nil"/>
              <w:left w:val="nil"/>
              <w:bottom w:val="nil"/>
              <w:right w:val="nil"/>
            </w:tcBorders>
            <w:shd w:val="clear" w:color="auto" w:fill="auto"/>
            <w:vAlign w:val="bottom"/>
          </w:tcPr>
          <w:p w14:paraId="59E4A009"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A00A"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A00B" w14:textId="77777777" w:rsidR="00D7560A" w:rsidRDefault="00D7560A">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59E4A00C"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A00D"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A00E" w14:textId="77777777" w:rsidR="00D7560A" w:rsidRDefault="00D7560A">
            <w:pPr>
              <w:widowControl/>
              <w:jc w:val="left"/>
              <w:rPr>
                <w:rFonts w:ascii="Times New Roman" w:eastAsia="宋体" w:hAnsi="宋体" w:cs="宋体"/>
                <w:kern w:val="0"/>
                <w:sz w:val="24"/>
              </w:rPr>
            </w:pPr>
          </w:p>
        </w:tc>
        <w:tc>
          <w:tcPr>
            <w:tcW w:w="492" w:type="pct"/>
            <w:tcBorders>
              <w:top w:val="nil"/>
              <w:left w:val="nil"/>
              <w:bottom w:val="nil"/>
              <w:right w:val="nil"/>
            </w:tcBorders>
            <w:shd w:val="clear" w:color="auto" w:fill="auto"/>
            <w:vAlign w:val="bottom"/>
          </w:tcPr>
          <w:p w14:paraId="59E4A00F"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A010"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A011" w14:textId="77777777" w:rsidR="00D7560A" w:rsidRDefault="00D7560A">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59E4A012"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A013"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A014" w14:textId="77777777" w:rsidR="00D7560A" w:rsidRDefault="00D7560A">
            <w:pPr>
              <w:widowControl/>
              <w:jc w:val="left"/>
              <w:rPr>
                <w:rFonts w:ascii="Times New Roman" w:eastAsia="宋体" w:hAnsi="宋体" w:cs="宋体"/>
                <w:kern w:val="0"/>
                <w:sz w:val="24"/>
              </w:rPr>
            </w:pPr>
          </w:p>
        </w:tc>
        <w:tc>
          <w:tcPr>
            <w:tcW w:w="492" w:type="pct"/>
            <w:tcBorders>
              <w:top w:val="nil"/>
              <w:left w:val="nil"/>
              <w:bottom w:val="nil"/>
              <w:right w:val="nil"/>
            </w:tcBorders>
            <w:shd w:val="clear" w:color="auto" w:fill="auto"/>
            <w:vAlign w:val="bottom"/>
          </w:tcPr>
          <w:p w14:paraId="59E4A015"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A016"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A017" w14:textId="77777777" w:rsidR="00D7560A" w:rsidRDefault="00D7560A">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59E4A018"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A019"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A01A" w14:textId="77777777" w:rsidR="00D7560A" w:rsidRDefault="00D7560A">
            <w:pPr>
              <w:widowControl/>
              <w:jc w:val="left"/>
              <w:rPr>
                <w:rFonts w:ascii="Times New Roman" w:eastAsia="宋体" w:hAnsi="宋体" w:cs="宋体"/>
                <w:kern w:val="0"/>
                <w:sz w:val="24"/>
              </w:rPr>
            </w:pPr>
          </w:p>
        </w:tc>
        <w:tc>
          <w:tcPr>
            <w:tcW w:w="492" w:type="pct"/>
            <w:tcBorders>
              <w:top w:val="nil"/>
              <w:left w:val="nil"/>
              <w:bottom w:val="nil"/>
              <w:right w:val="nil"/>
            </w:tcBorders>
            <w:shd w:val="clear" w:color="auto" w:fill="auto"/>
            <w:vAlign w:val="bottom"/>
          </w:tcPr>
          <w:p w14:paraId="59E4A01B"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A01C"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A01D" w14:textId="77777777" w:rsidR="00D7560A" w:rsidRDefault="00D7560A">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59E4A01E"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A01F"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A020" w14:textId="77777777" w:rsidR="00D7560A" w:rsidRDefault="00D7560A">
            <w:pPr>
              <w:widowControl/>
              <w:jc w:val="left"/>
              <w:rPr>
                <w:rFonts w:ascii="Times New Roman" w:eastAsia="宋体" w:hAnsi="宋体" w:cs="宋体"/>
                <w:kern w:val="0"/>
                <w:sz w:val="24"/>
              </w:rPr>
            </w:pPr>
          </w:p>
        </w:tc>
        <w:tc>
          <w:tcPr>
            <w:tcW w:w="492" w:type="pct"/>
            <w:tcBorders>
              <w:top w:val="nil"/>
              <w:left w:val="nil"/>
              <w:bottom w:val="nil"/>
              <w:right w:val="nil"/>
            </w:tcBorders>
            <w:shd w:val="clear" w:color="auto" w:fill="auto"/>
            <w:vAlign w:val="bottom"/>
          </w:tcPr>
          <w:p w14:paraId="59E4A021"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A022" w14:textId="77777777" w:rsidR="00D7560A" w:rsidRDefault="00D7560A">
            <w:pPr>
              <w:widowControl/>
              <w:jc w:val="left"/>
              <w:rPr>
                <w:rFonts w:ascii="Times New Roman" w:eastAsia="宋体" w:hAnsi="宋体" w:cs="宋体"/>
                <w:kern w:val="0"/>
                <w:sz w:val="24"/>
              </w:rPr>
            </w:pPr>
          </w:p>
        </w:tc>
      </w:tr>
      <w:tr w:rsidR="00D7560A" w14:paraId="59E4A026"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9E4A024"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gridSpan w:val="27"/>
            <w:tcBorders>
              <w:top w:val="nil"/>
              <w:left w:val="nil"/>
              <w:bottom w:val="nil"/>
              <w:right w:val="nil"/>
            </w:tcBorders>
            <w:shd w:val="clear" w:color="auto" w:fill="auto"/>
            <w:tcMar>
              <w:top w:w="40" w:type="dxa"/>
              <w:left w:w="20" w:type="dxa"/>
              <w:bottom w:w="40" w:type="dxa"/>
              <w:right w:w="20" w:type="dxa"/>
            </w:tcMar>
            <w:vAlign w:val="bottom"/>
          </w:tcPr>
          <w:p w14:paraId="59E4A025"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29, 2022</w:t>
            </w:r>
          </w:p>
        </w:tc>
      </w:tr>
      <w:tr w:rsidR="00D7560A" w14:paraId="59E4A031"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9E4A027"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59E4A028"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Other Current</w:t>
            </w:r>
            <w:r>
              <w:rPr>
                <w:rFonts w:ascii="Times New Roman" w:eastAsia="宋体" w:hAnsi="Times New Roman" w:cs="Times New Roman"/>
                <w:b/>
                <w:bCs/>
                <w:color w:val="000000"/>
                <w:kern w:val="0"/>
                <w:sz w:val="20"/>
                <w:szCs w:val="20"/>
                <w:lang w:bidi="ar"/>
              </w:rPr>
              <w:br/>
              <w:t>Assets</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59E4A029"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59E4A02A"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Other Non-</w:t>
            </w:r>
            <w:r>
              <w:rPr>
                <w:rFonts w:ascii="Times New Roman" w:eastAsia="宋体" w:hAnsi="Times New Roman" w:cs="Times New Roman"/>
                <w:b/>
                <w:bCs/>
                <w:color w:val="000000"/>
                <w:kern w:val="0"/>
                <w:sz w:val="20"/>
                <w:szCs w:val="20"/>
                <w:lang w:bidi="ar"/>
              </w:rPr>
              <w:br/>
              <w:t>Current Assets</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59E4A02B"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59E4A02C"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Other Current</w:t>
            </w:r>
            <w:r>
              <w:rPr>
                <w:rFonts w:ascii="Times New Roman" w:eastAsia="宋体" w:hAnsi="Times New Roman" w:cs="Times New Roman"/>
                <w:b/>
                <w:bCs/>
                <w:color w:val="000000"/>
                <w:kern w:val="0"/>
                <w:sz w:val="20"/>
                <w:szCs w:val="20"/>
                <w:lang w:bidi="ar"/>
              </w:rPr>
              <w:br/>
              <w:t>Liabilities</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59E4A02D"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59E4A02E"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Other Non-Current</w:t>
            </w:r>
            <w:r>
              <w:rPr>
                <w:rFonts w:ascii="Times New Roman" w:eastAsia="宋体" w:hAnsi="Times New Roman" w:cs="Times New Roman"/>
                <w:b/>
                <w:bCs/>
                <w:color w:val="000000"/>
                <w:kern w:val="0"/>
                <w:sz w:val="20"/>
                <w:szCs w:val="20"/>
                <w:lang w:bidi="ar"/>
              </w:rPr>
              <w:br/>
              <w:t>Liabilities</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59E4A02F"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59E4A030"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Total</w:t>
            </w:r>
            <w:r>
              <w:rPr>
                <w:rFonts w:ascii="Times New Roman" w:eastAsia="宋体" w:hAnsi="Times New Roman" w:cs="Times New Roman"/>
                <w:b/>
                <w:bCs/>
                <w:color w:val="000000"/>
                <w:kern w:val="0"/>
                <w:sz w:val="20"/>
                <w:szCs w:val="20"/>
                <w:lang w:bidi="ar"/>
              </w:rPr>
              <w:br/>
              <w:t>Fair Value</w:t>
            </w:r>
          </w:p>
        </w:tc>
      </w:tr>
      <w:tr w:rsidR="00D7560A" w14:paraId="59E4A034"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9E4A032"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gridSpan w:val="27"/>
            <w:tcBorders>
              <w:top w:val="single" w:sz="8" w:space="0" w:color="000000"/>
              <w:left w:val="nil"/>
              <w:bottom w:val="nil"/>
              <w:right w:val="nil"/>
            </w:tcBorders>
            <w:shd w:val="clear" w:color="auto" w:fill="auto"/>
            <w:tcMar>
              <w:top w:w="40" w:type="dxa"/>
              <w:left w:w="20" w:type="dxa"/>
              <w:bottom w:w="40" w:type="dxa"/>
              <w:right w:w="20" w:type="dxa"/>
            </w:tcMar>
            <w:vAlign w:val="bottom"/>
          </w:tcPr>
          <w:p w14:paraId="59E4A033"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(in </w:t>
            </w:r>
            <w:r>
              <w:rPr>
                <w:rFonts w:ascii="Times New Roman" w:eastAsia="宋体" w:hAnsi="Times New Roman" w:cs="Times New Roman"/>
                <w:color w:val="000000"/>
                <w:kern w:val="0"/>
                <w:sz w:val="20"/>
                <w:szCs w:val="20"/>
                <w:lang w:bidi="ar"/>
              </w:rPr>
              <w:t>millions)</w:t>
            </w:r>
          </w:p>
        </w:tc>
      </w:tr>
      <w:tr w:rsidR="00D7560A" w14:paraId="59E4A036" w14:textId="77777777">
        <w:tc>
          <w:tcPr>
            <w:tcW w:w="0" w:type="auto"/>
            <w:gridSpan w:val="30"/>
            <w:tcBorders>
              <w:top w:val="nil"/>
              <w:left w:val="nil"/>
              <w:bottom w:val="nil"/>
              <w:right w:val="nil"/>
            </w:tcBorders>
            <w:shd w:val="clear" w:color="auto" w:fill="CCEEFF"/>
            <w:tcMar>
              <w:top w:w="40" w:type="dxa"/>
              <w:left w:w="20" w:type="dxa"/>
              <w:bottom w:w="40" w:type="dxa"/>
              <w:right w:w="20" w:type="dxa"/>
            </w:tcMar>
            <w:vAlign w:val="bottom"/>
          </w:tcPr>
          <w:p w14:paraId="59E4A035"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i/>
                <w:iCs/>
                <w:color w:val="000000"/>
                <w:kern w:val="0"/>
                <w:sz w:val="20"/>
                <w:szCs w:val="20"/>
                <w:lang w:bidi="ar"/>
              </w:rPr>
              <w:t>Derivatives designated as hedging instruments:</w:t>
            </w:r>
          </w:p>
        </w:tc>
      </w:tr>
      <w:tr w:rsidR="00D7560A" w14:paraId="59E4A04B"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59E4A037"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Foreign exchange contracts in an asset position</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9E4A038"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9E4A039"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255 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A03A"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03B"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9E4A03C"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9E4A03D"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A03E"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03F"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9E4A040"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9E4A041"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A042"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043"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9E4A044"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9E4A045"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A046"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047"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9E4A048"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9E4A049"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275 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A04A" w14:textId="77777777" w:rsidR="00D7560A" w:rsidRDefault="00D7560A">
            <w:pPr>
              <w:widowControl/>
              <w:jc w:val="right"/>
              <w:rPr>
                <w:rFonts w:ascii="Times New Roman" w:eastAsia="宋体" w:hAnsi="宋体" w:cs="宋体"/>
                <w:kern w:val="0"/>
                <w:sz w:val="24"/>
              </w:rPr>
            </w:pPr>
          </w:p>
        </w:tc>
      </w:tr>
      <w:tr w:rsidR="00D7560A" w14:paraId="59E4A05B"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9E4A04C"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Foreign exchange contracts in a liability position</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A04D"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(14)</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A04E"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04F"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A050"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A051"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052"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A053"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A054"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055"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A056"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A057"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058"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A059"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(19)</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A05A" w14:textId="77777777" w:rsidR="00D7560A" w:rsidRDefault="00D7560A">
            <w:pPr>
              <w:widowControl/>
              <w:jc w:val="right"/>
              <w:rPr>
                <w:rFonts w:ascii="Times New Roman" w:eastAsia="宋体" w:hAnsi="宋体" w:cs="宋体"/>
                <w:kern w:val="0"/>
                <w:sz w:val="24"/>
              </w:rPr>
            </w:pPr>
          </w:p>
        </w:tc>
      </w:tr>
      <w:tr w:rsidR="00D7560A" w14:paraId="59E4A06B" w14:textId="77777777">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59E4A05C"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Net asset</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59E4A05D"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241 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59E4A05E"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05F" w14:textId="77777777" w:rsidR="00D7560A" w:rsidRDefault="00D7560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59E4A060"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59E4A061"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062" w14:textId="77777777" w:rsidR="00D7560A" w:rsidRDefault="00D7560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59E4A063"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15 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59E4A064"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065" w14:textId="77777777" w:rsidR="00D7560A" w:rsidRDefault="00D7560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59E4A066"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59E4A067"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068" w14:textId="77777777" w:rsidR="00D7560A" w:rsidRDefault="00D7560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59E4A069"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256 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59E4A06A" w14:textId="77777777" w:rsidR="00D7560A" w:rsidRDefault="00D7560A">
            <w:pPr>
              <w:widowControl/>
              <w:jc w:val="right"/>
              <w:rPr>
                <w:rFonts w:ascii="Times New Roman" w:eastAsia="宋体" w:hAnsi="宋体" w:cs="宋体"/>
                <w:kern w:val="0"/>
                <w:sz w:val="24"/>
              </w:rPr>
            </w:pPr>
          </w:p>
        </w:tc>
      </w:tr>
      <w:tr w:rsidR="00D7560A" w14:paraId="59E4A076"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9E4A06C"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i/>
                <w:iCs/>
                <w:color w:val="000000"/>
                <w:kern w:val="0"/>
                <w:sz w:val="20"/>
                <w:szCs w:val="20"/>
                <w:lang w:bidi="ar"/>
              </w:rPr>
              <w:t>Derivatives not designated as hedging instruments:</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59E4A06D"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06E"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59E4A06F"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070"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59E4A071"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072"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59E4A073"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074"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59E4A075" w14:textId="77777777" w:rsidR="00D7560A" w:rsidRDefault="00D7560A">
            <w:pPr>
              <w:widowControl/>
              <w:jc w:val="left"/>
              <w:rPr>
                <w:rFonts w:ascii="Times New Roman" w:eastAsia="宋体" w:hAnsi="宋体" w:cs="宋体"/>
                <w:kern w:val="0"/>
                <w:sz w:val="24"/>
              </w:rPr>
            </w:pPr>
          </w:p>
        </w:tc>
      </w:tr>
      <w:tr w:rsidR="00D7560A" w14:paraId="59E4A086"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59E4A077"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Foreign exchange contracts in an asset position</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A078"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673 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A079"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07A"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A07B"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A07C"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07D"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A07E"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A07F"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080"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A081"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A082"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083"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A084"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742 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A085" w14:textId="77777777" w:rsidR="00D7560A" w:rsidRDefault="00D7560A">
            <w:pPr>
              <w:widowControl/>
              <w:jc w:val="right"/>
              <w:rPr>
                <w:rFonts w:ascii="Times New Roman" w:eastAsia="宋体" w:hAnsi="宋体" w:cs="宋体"/>
                <w:kern w:val="0"/>
                <w:sz w:val="24"/>
              </w:rPr>
            </w:pPr>
          </w:p>
        </w:tc>
      </w:tr>
      <w:tr w:rsidR="00D7560A" w14:paraId="59E4A096"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9E4A087"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Foreign exchange contracts in a liability position</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A088"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(368)</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A089"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08A"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A08B"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A08C"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08D"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A08E"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(124)</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A08F"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090"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A091"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A092"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093"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A094"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(496)</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A095" w14:textId="77777777" w:rsidR="00D7560A" w:rsidRDefault="00D7560A">
            <w:pPr>
              <w:widowControl/>
              <w:jc w:val="right"/>
              <w:rPr>
                <w:rFonts w:ascii="Times New Roman" w:eastAsia="宋体" w:hAnsi="宋体" w:cs="宋体"/>
                <w:kern w:val="0"/>
                <w:sz w:val="24"/>
              </w:rPr>
            </w:pPr>
          </w:p>
        </w:tc>
      </w:tr>
      <w:tr w:rsidR="00D7560A" w14:paraId="59E4A0A6"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59E4A097"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Interest rate contracts in an asset position</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A098"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A099"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09A"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A09B"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82 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A09C"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09D"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A09E"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A09F"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0A0"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A0A1"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A0A2"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0A3"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A0A4"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87 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A0A5" w14:textId="77777777" w:rsidR="00D7560A" w:rsidRDefault="00D7560A">
            <w:pPr>
              <w:widowControl/>
              <w:jc w:val="right"/>
              <w:rPr>
                <w:rFonts w:ascii="Times New Roman" w:eastAsia="宋体" w:hAnsi="宋体" w:cs="宋体"/>
                <w:kern w:val="0"/>
                <w:sz w:val="24"/>
              </w:rPr>
            </w:pPr>
          </w:p>
        </w:tc>
      </w:tr>
      <w:tr w:rsidR="00D7560A" w14:paraId="59E4A0B6"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9E4A0A7"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Interest rate contracts in a liability position</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A0A8"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A0A9"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0AA"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A0AB"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A0AC"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0AD"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A0AE"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A0AF"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0B0"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A0B1"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(62)</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A0B2"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0B3"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A0B4"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(63)</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A0B5" w14:textId="77777777" w:rsidR="00D7560A" w:rsidRDefault="00D7560A">
            <w:pPr>
              <w:widowControl/>
              <w:jc w:val="right"/>
              <w:rPr>
                <w:rFonts w:ascii="Times New Roman" w:eastAsia="宋体" w:hAnsi="宋体" w:cs="宋体"/>
                <w:kern w:val="0"/>
                <w:sz w:val="24"/>
              </w:rPr>
            </w:pPr>
          </w:p>
        </w:tc>
      </w:tr>
      <w:tr w:rsidR="00D7560A" w14:paraId="59E4A0C6" w14:textId="77777777">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59E4A0B7"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Net asset (liability)</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59E4A0B8"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310 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59E4A0B9"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0BA" w14:textId="77777777" w:rsidR="00D7560A" w:rsidRDefault="00D7560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59E4A0BB"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83 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59E4A0BC"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0BD" w14:textId="77777777" w:rsidR="00D7560A" w:rsidRDefault="00D7560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59E4A0BE"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(57)</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59E4A0BF"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0C0" w14:textId="77777777" w:rsidR="00D7560A" w:rsidRDefault="00D7560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tcPr>
          <w:p w14:paraId="59E4A0C1" w14:textId="77777777" w:rsidR="00D7560A" w:rsidRDefault="001E3CAB">
            <w:pPr>
              <w:widowControl/>
              <w:jc w:val="righ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(66)</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tcPr>
          <w:p w14:paraId="59E4A0C2"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0C3" w14:textId="77777777" w:rsidR="00D7560A" w:rsidRDefault="00D7560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59E4A0C4"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270 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59E4A0C5" w14:textId="77777777" w:rsidR="00D7560A" w:rsidRDefault="00D7560A">
            <w:pPr>
              <w:widowControl/>
              <w:jc w:val="right"/>
              <w:rPr>
                <w:rFonts w:ascii="Times New Roman" w:eastAsia="宋体" w:hAnsi="宋体" w:cs="宋体"/>
                <w:kern w:val="0"/>
                <w:sz w:val="24"/>
              </w:rPr>
            </w:pPr>
          </w:p>
        </w:tc>
      </w:tr>
      <w:tr w:rsidR="00D7560A" w14:paraId="59E4A0DB" w14:textId="77777777">
        <w:tc>
          <w:tcPr>
            <w:tcW w:w="0" w:type="auto"/>
            <w:gridSpan w:val="3"/>
            <w:tcBorders>
              <w:top w:val="nil"/>
              <w:left w:val="nil"/>
              <w:bottom w:val="nil"/>
              <w:right w:val="nil"/>
            </w:tcBorders>
            <w:shd w:val="clear" w:color="auto" w:fill="CCEEFF"/>
            <w:tcMar>
              <w:top w:w="40" w:type="dxa"/>
              <w:left w:w="245" w:type="dxa"/>
              <w:bottom w:w="40" w:type="dxa"/>
              <w:right w:w="20" w:type="dxa"/>
            </w:tcMar>
            <w:vAlign w:val="bottom"/>
          </w:tcPr>
          <w:p w14:paraId="59E4A0C7"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Tota</w:t>
            </w:r>
            <w:r>
              <w:rPr>
                <w:rFonts w:ascii="Times New Roman" w:eastAsia="宋体" w:hAnsi="Times New Roman" w:cs="Times New Roman"/>
                <w:color w:val="000000"/>
                <w:kern w:val="0"/>
                <w:sz w:val="20"/>
                <w:szCs w:val="20"/>
                <w:lang w:bidi="ar"/>
              </w:rPr>
              <w:t>l derivatives at fair value</w:t>
            </w: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59E4A0C8"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59E4A0C9"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551 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59E4A0CA"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0CB"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59E4A0CC"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59E4A0CD"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83 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59E4A0CE"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0CF"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59E4A0D0"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59E4A0D1"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(42)</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59E4A0D2"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0D3"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59E4A0D4"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59E4A0D5"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(66)</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59E4A0D6"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0D7"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59E4A0D8"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59E4A0D9"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526 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59E4A0DA" w14:textId="77777777" w:rsidR="00D7560A" w:rsidRDefault="00D7560A">
            <w:pPr>
              <w:widowControl/>
              <w:jc w:val="right"/>
              <w:rPr>
                <w:rFonts w:ascii="Times New Roman" w:eastAsia="宋体" w:hAnsi="宋体" w:cs="宋体"/>
                <w:kern w:val="0"/>
                <w:sz w:val="24"/>
              </w:rPr>
            </w:pPr>
          </w:p>
        </w:tc>
      </w:tr>
      <w:tr w:rsidR="00D7560A" w14:paraId="59E4A0E6" w14:textId="77777777">
        <w:trPr>
          <w:trHeight w:val="28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A0DC" w14:textId="77777777" w:rsidR="00D7560A" w:rsidRDefault="00D7560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vAlign w:val="bottom"/>
          </w:tcPr>
          <w:p w14:paraId="59E4A0DD"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A0DE" w14:textId="77777777" w:rsidR="00D7560A" w:rsidRDefault="00D7560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vAlign w:val="bottom"/>
          </w:tcPr>
          <w:p w14:paraId="59E4A0DF"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A0E0" w14:textId="77777777" w:rsidR="00D7560A" w:rsidRDefault="00D7560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vAlign w:val="bottom"/>
          </w:tcPr>
          <w:p w14:paraId="59E4A0E1"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A0E2" w14:textId="77777777" w:rsidR="00D7560A" w:rsidRDefault="00D7560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vAlign w:val="bottom"/>
          </w:tcPr>
          <w:p w14:paraId="59E4A0E3"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A0E4" w14:textId="77777777" w:rsidR="00D7560A" w:rsidRDefault="00D7560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vAlign w:val="bottom"/>
          </w:tcPr>
          <w:p w14:paraId="59E4A0E5" w14:textId="77777777" w:rsidR="00D7560A" w:rsidRDefault="00D7560A">
            <w:pPr>
              <w:widowControl/>
              <w:jc w:val="left"/>
              <w:rPr>
                <w:rFonts w:ascii="Times New Roman" w:eastAsia="宋体" w:hAnsi="宋体" w:cs="宋体"/>
                <w:kern w:val="0"/>
                <w:sz w:val="24"/>
              </w:rPr>
            </w:pPr>
          </w:p>
        </w:tc>
      </w:tr>
      <w:tr w:rsidR="00D7560A" w14:paraId="59E4A0E9"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9E4A0E7"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gridSpan w:val="27"/>
            <w:tcBorders>
              <w:top w:val="nil"/>
              <w:left w:val="nil"/>
              <w:bottom w:val="nil"/>
              <w:right w:val="nil"/>
            </w:tcBorders>
            <w:shd w:val="clear" w:color="auto" w:fill="auto"/>
            <w:tcMar>
              <w:top w:w="40" w:type="dxa"/>
              <w:left w:w="20" w:type="dxa"/>
              <w:bottom w:w="40" w:type="dxa"/>
              <w:right w:w="20" w:type="dxa"/>
            </w:tcMar>
            <w:vAlign w:val="bottom"/>
          </w:tcPr>
          <w:p w14:paraId="59E4A0E8"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January 28, 2022</w:t>
            </w:r>
          </w:p>
        </w:tc>
      </w:tr>
      <w:tr w:rsidR="00D7560A" w14:paraId="59E4A0F4"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9E4A0EA"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59E4A0EB"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Other Current</w:t>
            </w:r>
            <w:r>
              <w:rPr>
                <w:rFonts w:ascii="Times New Roman" w:eastAsia="宋体" w:hAnsi="Times New Roman" w:cs="Times New Roman"/>
                <w:b/>
                <w:bCs/>
                <w:color w:val="000000"/>
                <w:kern w:val="0"/>
                <w:sz w:val="20"/>
                <w:szCs w:val="20"/>
                <w:lang w:bidi="ar"/>
              </w:rPr>
              <w:br/>
              <w:t>Assets</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59E4A0EC"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59E4A0ED"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Other Non-</w:t>
            </w:r>
            <w:r>
              <w:rPr>
                <w:rFonts w:ascii="Times New Roman" w:eastAsia="宋体" w:hAnsi="Times New Roman" w:cs="Times New Roman"/>
                <w:b/>
                <w:bCs/>
                <w:color w:val="000000"/>
                <w:kern w:val="0"/>
                <w:sz w:val="20"/>
                <w:szCs w:val="20"/>
                <w:lang w:bidi="ar"/>
              </w:rPr>
              <w:br/>
              <w:t>Current Assets</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59E4A0EE"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59E4A0EF"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Other Current</w:t>
            </w:r>
            <w:r>
              <w:rPr>
                <w:rFonts w:ascii="Times New Roman" w:eastAsia="宋体" w:hAnsi="Times New Roman" w:cs="Times New Roman"/>
                <w:b/>
                <w:bCs/>
                <w:color w:val="000000"/>
                <w:kern w:val="0"/>
                <w:sz w:val="20"/>
                <w:szCs w:val="20"/>
                <w:lang w:bidi="ar"/>
              </w:rPr>
              <w:br/>
              <w:t>Liabilities</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59E4A0F0"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59E4A0F1"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Other Non-Current</w:t>
            </w:r>
            <w:r>
              <w:rPr>
                <w:rFonts w:ascii="Times New Roman" w:eastAsia="宋体" w:hAnsi="Times New Roman" w:cs="Times New Roman"/>
                <w:b/>
                <w:bCs/>
                <w:color w:val="000000"/>
                <w:kern w:val="0"/>
                <w:sz w:val="20"/>
                <w:szCs w:val="20"/>
                <w:lang w:bidi="ar"/>
              </w:rPr>
              <w:br/>
              <w:t>Liabilities</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59E4A0F2"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59E4A0F3"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Total</w:t>
            </w:r>
            <w:r>
              <w:rPr>
                <w:rFonts w:ascii="Times New Roman" w:eastAsia="宋体" w:hAnsi="Times New Roman" w:cs="Times New Roman"/>
                <w:b/>
                <w:bCs/>
                <w:color w:val="000000"/>
                <w:kern w:val="0"/>
                <w:sz w:val="20"/>
                <w:szCs w:val="20"/>
                <w:lang w:bidi="ar"/>
              </w:rPr>
              <w:br/>
              <w:t>Fair Value</w:t>
            </w:r>
          </w:p>
        </w:tc>
      </w:tr>
      <w:tr w:rsidR="00D7560A" w14:paraId="59E4A0F7"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9E4A0F5"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gridSpan w:val="27"/>
            <w:tcBorders>
              <w:top w:val="single" w:sz="8" w:space="0" w:color="000000"/>
              <w:left w:val="nil"/>
              <w:bottom w:val="nil"/>
              <w:right w:val="nil"/>
            </w:tcBorders>
            <w:shd w:val="clear" w:color="auto" w:fill="auto"/>
            <w:tcMar>
              <w:top w:w="40" w:type="dxa"/>
              <w:left w:w="20" w:type="dxa"/>
              <w:bottom w:w="40" w:type="dxa"/>
              <w:right w:w="20" w:type="dxa"/>
            </w:tcMar>
            <w:vAlign w:val="bottom"/>
          </w:tcPr>
          <w:p w14:paraId="59E4A0F6"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(in millions)</w:t>
            </w:r>
          </w:p>
        </w:tc>
      </w:tr>
      <w:tr w:rsidR="00D7560A" w14:paraId="59E4A0F9" w14:textId="77777777">
        <w:tc>
          <w:tcPr>
            <w:tcW w:w="0" w:type="auto"/>
            <w:gridSpan w:val="30"/>
            <w:tcBorders>
              <w:top w:val="nil"/>
              <w:left w:val="nil"/>
              <w:bottom w:val="nil"/>
              <w:right w:val="nil"/>
            </w:tcBorders>
            <w:shd w:val="clear" w:color="auto" w:fill="CCEEFF"/>
            <w:tcMar>
              <w:top w:w="40" w:type="dxa"/>
              <w:left w:w="20" w:type="dxa"/>
              <w:bottom w:w="40" w:type="dxa"/>
              <w:right w:w="20" w:type="dxa"/>
            </w:tcMar>
            <w:vAlign w:val="bottom"/>
          </w:tcPr>
          <w:p w14:paraId="59E4A0F8"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i/>
                <w:iCs/>
                <w:color w:val="000000"/>
                <w:kern w:val="0"/>
                <w:sz w:val="20"/>
                <w:szCs w:val="20"/>
                <w:lang w:bidi="ar"/>
              </w:rPr>
              <w:t xml:space="preserve">Derivatives designated as hedging </w:t>
            </w:r>
            <w:r>
              <w:rPr>
                <w:rFonts w:ascii="Times New Roman" w:eastAsia="宋体" w:hAnsi="Times New Roman" w:cs="Times New Roman"/>
                <w:i/>
                <w:iCs/>
                <w:color w:val="000000"/>
                <w:kern w:val="0"/>
                <w:sz w:val="20"/>
                <w:szCs w:val="20"/>
                <w:lang w:bidi="ar"/>
              </w:rPr>
              <w:t>instruments:</w:t>
            </w:r>
          </w:p>
        </w:tc>
      </w:tr>
      <w:tr w:rsidR="00D7560A" w14:paraId="59E4A10E"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59E4A0FA"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Foreign exchange contracts in an asset position</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9E4A0FB"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9E4A0FC"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135 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A0FD"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0FE"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9E4A0FF"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9E4A100"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A101"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102"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9E4A103"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9E4A104"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A105"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106"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9E4A107"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9E4A108"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A109"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10A"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9E4A10B"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9E4A10C"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185 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A10D" w14:textId="77777777" w:rsidR="00D7560A" w:rsidRDefault="00D7560A">
            <w:pPr>
              <w:widowControl/>
              <w:jc w:val="right"/>
              <w:rPr>
                <w:rFonts w:ascii="Times New Roman" w:eastAsia="宋体" w:hAnsi="宋体" w:cs="宋体"/>
                <w:kern w:val="0"/>
                <w:sz w:val="24"/>
              </w:rPr>
            </w:pPr>
          </w:p>
        </w:tc>
      </w:tr>
      <w:tr w:rsidR="00D7560A" w14:paraId="59E4A11E"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9E4A10F"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Foreign exchange contracts in a liability position</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A110"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A111"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112"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A113"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A114"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115"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A116"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(8)</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A117"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118"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A119"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A11A"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11B"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A11C"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(13)</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A11D" w14:textId="77777777" w:rsidR="00D7560A" w:rsidRDefault="00D7560A">
            <w:pPr>
              <w:widowControl/>
              <w:jc w:val="right"/>
              <w:rPr>
                <w:rFonts w:ascii="Times New Roman" w:eastAsia="宋体" w:hAnsi="宋体" w:cs="宋体"/>
                <w:kern w:val="0"/>
                <w:sz w:val="24"/>
              </w:rPr>
            </w:pPr>
          </w:p>
        </w:tc>
      </w:tr>
      <w:tr w:rsidR="00D7560A" w14:paraId="59E4A12E" w14:textId="77777777">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59E4A11F"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Net asset</w:t>
            </w:r>
          </w:p>
        </w:tc>
        <w:tc>
          <w:tcPr>
            <w:tcW w:w="0" w:type="auto"/>
            <w:gridSpan w:val="2"/>
            <w:tcBorders>
              <w:top w:val="single" w:sz="8" w:space="0" w:color="000000"/>
              <w:left w:val="nil"/>
              <w:bottom w:val="single" w:sz="8" w:space="0" w:color="000000"/>
              <w:right w:val="nil"/>
            </w:tcBorders>
            <w:shd w:val="clear" w:color="auto" w:fill="FFFFFF"/>
            <w:tcMar>
              <w:top w:w="40" w:type="dxa"/>
              <w:left w:w="20" w:type="dxa"/>
              <w:bottom w:w="40" w:type="dxa"/>
              <w:right w:w="0" w:type="dxa"/>
            </w:tcMar>
            <w:vAlign w:val="bottom"/>
          </w:tcPr>
          <w:p w14:paraId="59E4A120"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130 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59E4A121"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122" w14:textId="77777777" w:rsidR="00D7560A" w:rsidRDefault="00D7560A">
            <w:pPr>
              <w:widowControl/>
              <w:jc w:val="left"/>
              <w:rPr>
                <w:rFonts w:ascii="Times New Roman" w:eastAsia="宋体" w:hAnsi="宋体" w:cs="宋体"/>
                <w:kern w:val="0"/>
                <w:sz w:val="24"/>
              </w:rPr>
            </w:pPr>
          </w:p>
        </w:tc>
        <w:tc>
          <w:tcPr>
            <w:tcW w:w="0" w:type="auto"/>
            <w:gridSpan w:val="2"/>
            <w:tcBorders>
              <w:top w:val="single" w:sz="8" w:space="0" w:color="000000"/>
              <w:left w:val="nil"/>
              <w:bottom w:val="single" w:sz="8" w:space="0" w:color="000000"/>
              <w:right w:val="nil"/>
            </w:tcBorders>
            <w:shd w:val="clear" w:color="auto" w:fill="FFFFFF"/>
            <w:tcMar>
              <w:top w:w="40" w:type="dxa"/>
              <w:left w:w="20" w:type="dxa"/>
              <w:bottom w:w="40" w:type="dxa"/>
              <w:right w:w="0" w:type="dxa"/>
            </w:tcMar>
            <w:vAlign w:val="bottom"/>
          </w:tcPr>
          <w:p w14:paraId="59E4A123"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59E4A124"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125" w14:textId="77777777" w:rsidR="00D7560A" w:rsidRDefault="00D7560A">
            <w:pPr>
              <w:widowControl/>
              <w:jc w:val="left"/>
              <w:rPr>
                <w:rFonts w:ascii="Times New Roman" w:eastAsia="宋体" w:hAnsi="宋体" w:cs="宋体"/>
                <w:kern w:val="0"/>
                <w:sz w:val="24"/>
              </w:rPr>
            </w:pPr>
          </w:p>
        </w:tc>
        <w:tc>
          <w:tcPr>
            <w:tcW w:w="0" w:type="auto"/>
            <w:gridSpan w:val="2"/>
            <w:tcBorders>
              <w:top w:val="single" w:sz="8" w:space="0" w:color="000000"/>
              <w:left w:val="nil"/>
              <w:bottom w:val="single" w:sz="8" w:space="0" w:color="000000"/>
              <w:right w:val="nil"/>
            </w:tcBorders>
            <w:shd w:val="clear" w:color="auto" w:fill="FFFFFF"/>
            <w:tcMar>
              <w:top w:w="40" w:type="dxa"/>
              <w:left w:w="20" w:type="dxa"/>
              <w:bottom w:w="40" w:type="dxa"/>
              <w:right w:w="0" w:type="dxa"/>
            </w:tcMar>
            <w:vAlign w:val="bottom"/>
          </w:tcPr>
          <w:p w14:paraId="59E4A126"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42 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59E4A127"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128" w14:textId="77777777" w:rsidR="00D7560A" w:rsidRDefault="00D7560A">
            <w:pPr>
              <w:widowControl/>
              <w:jc w:val="left"/>
              <w:rPr>
                <w:rFonts w:ascii="Times New Roman" w:eastAsia="宋体" w:hAnsi="宋体" w:cs="宋体"/>
                <w:kern w:val="0"/>
                <w:sz w:val="24"/>
              </w:rPr>
            </w:pPr>
          </w:p>
        </w:tc>
        <w:tc>
          <w:tcPr>
            <w:tcW w:w="0" w:type="auto"/>
            <w:gridSpan w:val="2"/>
            <w:tcBorders>
              <w:top w:val="single" w:sz="8" w:space="0" w:color="000000"/>
              <w:left w:val="nil"/>
              <w:bottom w:val="single" w:sz="8" w:space="0" w:color="000000"/>
              <w:right w:val="nil"/>
            </w:tcBorders>
            <w:shd w:val="clear" w:color="auto" w:fill="FFFFFF"/>
            <w:tcMar>
              <w:top w:w="40" w:type="dxa"/>
              <w:left w:w="20" w:type="dxa"/>
              <w:bottom w:w="40" w:type="dxa"/>
              <w:right w:w="0" w:type="dxa"/>
            </w:tcMar>
            <w:vAlign w:val="bottom"/>
          </w:tcPr>
          <w:p w14:paraId="59E4A129"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59E4A12A"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12B" w14:textId="77777777" w:rsidR="00D7560A" w:rsidRDefault="00D7560A">
            <w:pPr>
              <w:widowControl/>
              <w:jc w:val="left"/>
              <w:rPr>
                <w:rFonts w:ascii="Times New Roman" w:eastAsia="宋体" w:hAnsi="宋体" w:cs="宋体"/>
                <w:kern w:val="0"/>
                <w:sz w:val="24"/>
              </w:rPr>
            </w:pPr>
          </w:p>
        </w:tc>
        <w:tc>
          <w:tcPr>
            <w:tcW w:w="0" w:type="auto"/>
            <w:gridSpan w:val="2"/>
            <w:tcBorders>
              <w:top w:val="single" w:sz="8" w:space="0" w:color="000000"/>
              <w:left w:val="nil"/>
              <w:bottom w:val="single" w:sz="8" w:space="0" w:color="000000"/>
              <w:right w:val="nil"/>
            </w:tcBorders>
            <w:shd w:val="clear" w:color="auto" w:fill="FFFFFF"/>
            <w:tcMar>
              <w:top w:w="40" w:type="dxa"/>
              <w:left w:w="20" w:type="dxa"/>
              <w:bottom w:w="40" w:type="dxa"/>
              <w:right w:w="0" w:type="dxa"/>
            </w:tcMar>
            <w:vAlign w:val="bottom"/>
          </w:tcPr>
          <w:p w14:paraId="59E4A12C"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172 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59E4A12D" w14:textId="77777777" w:rsidR="00D7560A" w:rsidRDefault="00D7560A">
            <w:pPr>
              <w:widowControl/>
              <w:jc w:val="right"/>
              <w:rPr>
                <w:rFonts w:ascii="Times New Roman" w:eastAsia="宋体" w:hAnsi="宋体" w:cs="宋体"/>
                <w:kern w:val="0"/>
                <w:sz w:val="24"/>
              </w:rPr>
            </w:pPr>
          </w:p>
        </w:tc>
      </w:tr>
      <w:tr w:rsidR="00D7560A" w14:paraId="59E4A130" w14:textId="77777777">
        <w:tc>
          <w:tcPr>
            <w:tcW w:w="0" w:type="auto"/>
            <w:gridSpan w:val="30"/>
            <w:tcBorders>
              <w:top w:val="nil"/>
              <w:left w:val="nil"/>
              <w:bottom w:val="nil"/>
              <w:right w:val="nil"/>
            </w:tcBorders>
            <w:shd w:val="clear" w:color="auto" w:fill="CCEEFF"/>
            <w:tcMar>
              <w:top w:w="40" w:type="dxa"/>
              <w:left w:w="20" w:type="dxa"/>
              <w:bottom w:w="40" w:type="dxa"/>
              <w:right w:w="20" w:type="dxa"/>
            </w:tcMar>
            <w:vAlign w:val="bottom"/>
          </w:tcPr>
          <w:p w14:paraId="59E4A12F"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i/>
                <w:iCs/>
                <w:color w:val="000000"/>
                <w:kern w:val="0"/>
                <w:sz w:val="20"/>
                <w:szCs w:val="20"/>
                <w:lang w:bidi="ar"/>
              </w:rPr>
              <w:t>Derivatives not designated as hedgi</w:t>
            </w:r>
            <w:r>
              <w:rPr>
                <w:rFonts w:ascii="Times New Roman" w:eastAsia="宋体" w:hAnsi="Times New Roman" w:cs="Times New Roman"/>
                <w:i/>
                <w:iCs/>
                <w:color w:val="000000"/>
                <w:kern w:val="0"/>
                <w:sz w:val="20"/>
                <w:szCs w:val="20"/>
                <w:lang w:bidi="ar"/>
              </w:rPr>
              <w:t>ng instruments:</w:t>
            </w:r>
          </w:p>
        </w:tc>
      </w:tr>
      <w:tr w:rsidR="00D7560A" w14:paraId="59E4A140"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59E4A131"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Foreign exchange contracts in an asset position</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A132"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280 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A133"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134"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A135"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A136"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137"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A138"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106 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A139"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13A"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A13B"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A13C"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13D"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A13E"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388 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A13F" w14:textId="77777777" w:rsidR="00D7560A" w:rsidRDefault="00D7560A">
            <w:pPr>
              <w:widowControl/>
              <w:jc w:val="right"/>
              <w:rPr>
                <w:rFonts w:ascii="Times New Roman" w:eastAsia="宋体" w:hAnsi="宋体" w:cs="宋体"/>
                <w:kern w:val="0"/>
                <w:sz w:val="24"/>
              </w:rPr>
            </w:pPr>
          </w:p>
        </w:tc>
      </w:tr>
      <w:tr w:rsidR="00D7560A" w14:paraId="59E4A150"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9E4A141"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Foreign exchange contracts in a liability position</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A142"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(189)</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A143"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144"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A145"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A146"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147"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A148"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(244)</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A149"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14A"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A14B"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A14C"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14D"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A14E"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(438)</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A14F" w14:textId="77777777" w:rsidR="00D7560A" w:rsidRDefault="00D7560A">
            <w:pPr>
              <w:widowControl/>
              <w:jc w:val="right"/>
              <w:rPr>
                <w:rFonts w:ascii="Times New Roman" w:eastAsia="宋体" w:hAnsi="宋体" w:cs="宋体"/>
                <w:kern w:val="0"/>
                <w:sz w:val="24"/>
              </w:rPr>
            </w:pPr>
          </w:p>
        </w:tc>
      </w:tr>
      <w:tr w:rsidR="00D7560A" w14:paraId="59E4A160"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59E4A151"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Interest rate contracts in an asset position</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A152"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A153"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154"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A155"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A156"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157"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A158"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A159"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15A"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A15B"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A15C"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15D"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A15E"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A15F" w14:textId="77777777" w:rsidR="00D7560A" w:rsidRDefault="00D7560A">
            <w:pPr>
              <w:widowControl/>
              <w:jc w:val="right"/>
              <w:rPr>
                <w:rFonts w:ascii="Times New Roman" w:eastAsia="宋体" w:hAnsi="宋体" w:cs="宋体"/>
                <w:kern w:val="0"/>
                <w:sz w:val="24"/>
              </w:rPr>
            </w:pPr>
          </w:p>
        </w:tc>
      </w:tr>
      <w:tr w:rsidR="00D7560A" w14:paraId="59E4A170"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9E4A161"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Interest rate contracts in a liability position</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A162"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A163"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164"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A165"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A166"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167"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A168"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A169"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16A"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A16B"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(37)</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A16C"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16D"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A16E"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(37)</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A16F" w14:textId="77777777" w:rsidR="00D7560A" w:rsidRDefault="00D7560A">
            <w:pPr>
              <w:widowControl/>
              <w:jc w:val="right"/>
              <w:rPr>
                <w:rFonts w:ascii="Times New Roman" w:eastAsia="宋体" w:hAnsi="宋体" w:cs="宋体"/>
                <w:kern w:val="0"/>
                <w:sz w:val="24"/>
              </w:rPr>
            </w:pPr>
          </w:p>
        </w:tc>
      </w:tr>
      <w:tr w:rsidR="00D7560A" w14:paraId="59E4A180" w14:textId="77777777">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59E4A171"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Net asset (liability)</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59E4A172"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91 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59E4A173"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174" w14:textId="77777777" w:rsidR="00D7560A" w:rsidRDefault="00D7560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59E4A175"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32 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59E4A176"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177" w14:textId="77777777" w:rsidR="00D7560A" w:rsidRDefault="00D7560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59E4A178"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(138)</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59E4A179"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17A" w14:textId="77777777" w:rsidR="00D7560A" w:rsidRDefault="00D7560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59E4A17B"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(42)</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59E4A17C"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17D" w14:textId="77777777" w:rsidR="00D7560A" w:rsidRDefault="00D7560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59E4A17E"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(57)</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59E4A17F" w14:textId="77777777" w:rsidR="00D7560A" w:rsidRDefault="00D7560A">
            <w:pPr>
              <w:widowControl/>
              <w:jc w:val="right"/>
              <w:rPr>
                <w:rFonts w:ascii="Times New Roman" w:eastAsia="宋体" w:hAnsi="宋体" w:cs="宋体"/>
                <w:kern w:val="0"/>
                <w:sz w:val="24"/>
              </w:rPr>
            </w:pPr>
          </w:p>
        </w:tc>
      </w:tr>
      <w:tr w:rsidR="00D7560A" w14:paraId="59E4A195" w14:textId="77777777">
        <w:tc>
          <w:tcPr>
            <w:tcW w:w="0" w:type="auto"/>
            <w:gridSpan w:val="3"/>
            <w:tcBorders>
              <w:top w:val="nil"/>
              <w:left w:val="nil"/>
              <w:bottom w:val="nil"/>
              <w:right w:val="nil"/>
            </w:tcBorders>
            <w:shd w:val="clear" w:color="auto" w:fill="CCEEFF"/>
            <w:tcMar>
              <w:top w:w="40" w:type="dxa"/>
              <w:left w:w="245" w:type="dxa"/>
              <w:bottom w:w="40" w:type="dxa"/>
              <w:right w:w="20" w:type="dxa"/>
            </w:tcMar>
            <w:vAlign w:val="bottom"/>
          </w:tcPr>
          <w:p w14:paraId="59E4A181"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Total d</w:t>
            </w:r>
            <w:r>
              <w:rPr>
                <w:rFonts w:ascii="Times New Roman" w:eastAsia="宋体" w:hAnsi="Times New Roman" w:cs="Times New Roman"/>
                <w:color w:val="000000"/>
                <w:kern w:val="0"/>
                <w:sz w:val="20"/>
                <w:szCs w:val="20"/>
                <w:lang w:bidi="ar"/>
              </w:rPr>
              <w:t>erivatives at fair value</w:t>
            </w: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59E4A182"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59E4A183"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221 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59E4A184"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185"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59E4A186"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59E4A187"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32 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59E4A188"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189"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59E4A18A"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59E4A18B"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(96)</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59E4A18C"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18D"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59E4A18E"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59E4A18F"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(42)</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59E4A190"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191"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59E4A192"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59E4A193"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115 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59E4A194" w14:textId="77777777" w:rsidR="00D7560A" w:rsidRDefault="00D7560A">
            <w:pPr>
              <w:widowControl/>
              <w:jc w:val="right"/>
              <w:rPr>
                <w:rFonts w:ascii="Times New Roman" w:eastAsia="宋体" w:hAnsi="宋体" w:cs="宋体"/>
                <w:kern w:val="0"/>
                <w:sz w:val="24"/>
              </w:rPr>
            </w:pPr>
          </w:p>
        </w:tc>
      </w:tr>
    </w:tbl>
    <w:p w14:paraId="59E4A196"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A197"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A198"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36</w:t>
      </w:r>
    </w:p>
    <w:p w14:paraId="59E4A199"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A19A" w14:textId="77777777" w:rsidR="00D7560A" w:rsidRDefault="001E3CAB">
      <w:pPr>
        <w:widowControl/>
        <w:jc w:val="center"/>
      </w:pPr>
      <w:r>
        <w:rPr>
          <w:rFonts w:ascii="宋体" w:eastAsia="宋体" w:hAnsi="宋体" w:cs="宋体"/>
          <w:kern w:val="0"/>
          <w:sz w:val="24"/>
        </w:rPr>
        <w:pict w14:anchorId="59E4C7EF">
          <v:rect id="_x0000_i1060" style="width:6in;height:1.5pt" o:hralign="center" o:hrstd="t" o:hr="t" fillcolor="#a0a0a0" stroked="f"/>
        </w:pict>
      </w:r>
    </w:p>
    <w:p w14:paraId="59E4A19B" w14:textId="77777777" w:rsidR="00D7560A" w:rsidRDefault="001E3CAB">
      <w:pPr>
        <w:widowControl/>
        <w:jc w:val="left"/>
        <w:rPr>
          <w:rFonts w:ascii="宋体" w:eastAsia="宋体" w:hAnsi="宋体" w:cs="宋体"/>
          <w:kern w:val="0"/>
          <w:sz w:val="24"/>
        </w:rPr>
      </w:pPr>
      <w:hyperlink w:anchor="if933dd1d5d004d2495dd7029e3ecad00_13" w:history="1">
        <w:r>
          <w:rPr>
            <w:rStyle w:val="a4"/>
            <w:rFonts w:ascii="Times New Roman" w:eastAsia="宋体" w:hAnsi="Times New Roman" w:cs="Times New Roman"/>
            <w:sz w:val="20"/>
            <w:szCs w:val="20"/>
          </w:rPr>
          <w:t>Table of Contents</w:t>
        </w:r>
      </w:hyperlink>
    </w:p>
    <w:p w14:paraId="59E4A19C"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DELL TECHNOLOGIES INC.</w:t>
      </w:r>
    </w:p>
    <w:p w14:paraId="59E4A19D"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 xml:space="preserve">NOTES TO THE CONDENSED CONSOLIDATED FINANCIAL </w:t>
      </w:r>
      <w:r>
        <w:rPr>
          <w:rFonts w:ascii="Times New Roman" w:eastAsia="宋体" w:hAnsi="Times New Roman" w:cs="Times New Roman"/>
          <w:b/>
          <w:bCs/>
          <w:color w:val="000000"/>
          <w:kern w:val="0"/>
          <w:sz w:val="20"/>
          <w:szCs w:val="20"/>
          <w:lang w:bidi="ar"/>
        </w:rPr>
        <w:t>STATEMENTS (Continued)</w:t>
      </w:r>
    </w:p>
    <w:p w14:paraId="59E4A19E"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(unaudited)</w:t>
      </w:r>
    </w:p>
    <w:p w14:paraId="59E4A19F"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A1A0" w14:textId="77777777" w:rsidR="00D7560A" w:rsidRDefault="001E3CAB">
      <w:pPr>
        <w:widowControl/>
        <w:spacing w:after="12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The following tables present the gross amounts of the Company’s derivative instruments, amounts offset due to master netting agreements with the Company’s counterparties, and the net amounts recognized in the Condensed </w:t>
      </w:r>
      <w:r>
        <w:rPr>
          <w:rFonts w:ascii="Times New Roman" w:eastAsia="宋体" w:hAnsi="Times New Roman" w:cs="Times New Roman"/>
          <w:color w:val="000000"/>
          <w:kern w:val="0"/>
          <w:sz w:val="20"/>
          <w:szCs w:val="20"/>
          <w:lang w:bidi="ar"/>
        </w:rPr>
        <w:t>Consolidated Statements of Financial Position as of the dates indicated: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5"/>
        <w:gridCol w:w="1846"/>
        <w:gridCol w:w="37"/>
        <w:gridCol w:w="121"/>
        <w:gridCol w:w="843"/>
        <w:gridCol w:w="36"/>
        <w:gridCol w:w="36"/>
        <w:gridCol w:w="36"/>
        <w:gridCol w:w="36"/>
        <w:gridCol w:w="121"/>
        <w:gridCol w:w="742"/>
        <w:gridCol w:w="36"/>
        <w:gridCol w:w="36"/>
        <w:gridCol w:w="36"/>
        <w:gridCol w:w="36"/>
        <w:gridCol w:w="121"/>
        <w:gridCol w:w="843"/>
        <w:gridCol w:w="36"/>
        <w:gridCol w:w="36"/>
        <w:gridCol w:w="36"/>
        <w:gridCol w:w="36"/>
        <w:gridCol w:w="121"/>
        <w:gridCol w:w="896"/>
        <w:gridCol w:w="37"/>
        <w:gridCol w:w="36"/>
        <w:gridCol w:w="36"/>
        <w:gridCol w:w="36"/>
        <w:gridCol w:w="121"/>
        <w:gridCol w:w="757"/>
        <w:gridCol w:w="37"/>
        <w:gridCol w:w="36"/>
        <w:gridCol w:w="36"/>
        <w:gridCol w:w="36"/>
        <w:gridCol w:w="121"/>
        <w:gridCol w:w="843"/>
        <w:gridCol w:w="36"/>
      </w:tblGrid>
      <w:tr w:rsidR="00D7560A" w14:paraId="59E4A1C5" w14:textId="77777777">
        <w:trPr>
          <w:jc w:val="center"/>
        </w:trPr>
        <w:tc>
          <w:tcPr>
            <w:tcW w:w="50" w:type="pct"/>
            <w:tcBorders>
              <w:top w:val="nil"/>
              <w:left w:val="nil"/>
              <w:bottom w:val="nil"/>
              <w:right w:val="nil"/>
            </w:tcBorders>
            <w:shd w:val="clear" w:color="auto" w:fill="auto"/>
            <w:vAlign w:val="bottom"/>
          </w:tcPr>
          <w:p w14:paraId="59E4A1A1" w14:textId="77777777" w:rsidR="00D7560A" w:rsidRDefault="00D7560A">
            <w:pPr>
              <w:widowControl/>
              <w:jc w:val="left"/>
              <w:rPr>
                <w:rFonts w:ascii="Times New Roman" w:eastAsia="宋体" w:hAnsi="宋体" w:cs="宋体"/>
                <w:kern w:val="0"/>
                <w:sz w:val="24"/>
              </w:rPr>
            </w:pPr>
          </w:p>
        </w:tc>
        <w:tc>
          <w:tcPr>
            <w:tcW w:w="1202" w:type="pct"/>
            <w:tcBorders>
              <w:top w:val="nil"/>
              <w:left w:val="nil"/>
              <w:bottom w:val="nil"/>
              <w:right w:val="nil"/>
            </w:tcBorders>
            <w:shd w:val="clear" w:color="auto" w:fill="auto"/>
            <w:vAlign w:val="bottom"/>
          </w:tcPr>
          <w:p w14:paraId="59E4A1A2"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A1A3"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A1A4" w14:textId="77777777" w:rsidR="00D7560A" w:rsidRDefault="00D7560A">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vAlign w:val="bottom"/>
          </w:tcPr>
          <w:p w14:paraId="59E4A1A5"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A1A6"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A1A7" w14:textId="77777777" w:rsidR="00D7560A" w:rsidRDefault="00D7560A">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59E4A1A8"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A1A9"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A1AA" w14:textId="77777777" w:rsidR="00D7560A" w:rsidRDefault="00D7560A">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vAlign w:val="bottom"/>
          </w:tcPr>
          <w:p w14:paraId="59E4A1AB"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A1AC"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A1AD" w14:textId="77777777" w:rsidR="00D7560A" w:rsidRDefault="00D7560A">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59E4A1AE"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A1AF"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A1B0" w14:textId="77777777" w:rsidR="00D7560A" w:rsidRDefault="00D7560A">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vAlign w:val="bottom"/>
          </w:tcPr>
          <w:p w14:paraId="59E4A1B1"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A1B2"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A1B3" w14:textId="77777777" w:rsidR="00D7560A" w:rsidRDefault="00D7560A">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59E4A1B4"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A1B5"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A1B6" w14:textId="77777777" w:rsidR="00D7560A" w:rsidRDefault="00D7560A">
            <w:pPr>
              <w:widowControl/>
              <w:jc w:val="left"/>
              <w:rPr>
                <w:rFonts w:ascii="Times New Roman" w:eastAsia="宋体" w:hAnsi="宋体" w:cs="宋体"/>
                <w:kern w:val="0"/>
                <w:sz w:val="24"/>
              </w:rPr>
            </w:pPr>
          </w:p>
        </w:tc>
        <w:tc>
          <w:tcPr>
            <w:tcW w:w="573" w:type="pct"/>
            <w:tcBorders>
              <w:top w:val="nil"/>
              <w:left w:val="nil"/>
              <w:bottom w:val="nil"/>
              <w:right w:val="nil"/>
            </w:tcBorders>
            <w:shd w:val="clear" w:color="auto" w:fill="auto"/>
            <w:vAlign w:val="bottom"/>
          </w:tcPr>
          <w:p w14:paraId="59E4A1B7"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A1B8"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A1B9" w14:textId="77777777" w:rsidR="00D7560A" w:rsidRDefault="00D7560A">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59E4A1BA"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A1BB"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A1BC" w14:textId="77777777" w:rsidR="00D7560A" w:rsidRDefault="00D7560A">
            <w:pPr>
              <w:widowControl/>
              <w:jc w:val="left"/>
              <w:rPr>
                <w:rFonts w:ascii="Times New Roman" w:eastAsia="宋体" w:hAnsi="宋体" w:cs="宋体"/>
                <w:kern w:val="0"/>
                <w:sz w:val="24"/>
              </w:rPr>
            </w:pPr>
          </w:p>
        </w:tc>
        <w:tc>
          <w:tcPr>
            <w:tcW w:w="573" w:type="pct"/>
            <w:tcBorders>
              <w:top w:val="nil"/>
              <w:left w:val="nil"/>
              <w:bottom w:val="nil"/>
              <w:right w:val="nil"/>
            </w:tcBorders>
            <w:shd w:val="clear" w:color="auto" w:fill="auto"/>
            <w:vAlign w:val="bottom"/>
          </w:tcPr>
          <w:p w14:paraId="59E4A1BD"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A1BE"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A1BF" w14:textId="77777777" w:rsidR="00D7560A" w:rsidRDefault="00D7560A">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59E4A1C0"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A1C1"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A1C2" w14:textId="77777777" w:rsidR="00D7560A" w:rsidRDefault="00D7560A">
            <w:pPr>
              <w:widowControl/>
              <w:jc w:val="left"/>
              <w:rPr>
                <w:rFonts w:ascii="Times New Roman" w:eastAsia="宋体" w:hAnsi="宋体" w:cs="宋体"/>
                <w:kern w:val="0"/>
                <w:sz w:val="24"/>
              </w:rPr>
            </w:pPr>
          </w:p>
        </w:tc>
        <w:tc>
          <w:tcPr>
            <w:tcW w:w="530" w:type="pct"/>
            <w:tcBorders>
              <w:top w:val="nil"/>
              <w:left w:val="nil"/>
              <w:bottom w:val="nil"/>
              <w:right w:val="nil"/>
            </w:tcBorders>
            <w:shd w:val="clear" w:color="auto" w:fill="auto"/>
            <w:vAlign w:val="bottom"/>
          </w:tcPr>
          <w:p w14:paraId="59E4A1C3"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A1C4" w14:textId="77777777" w:rsidR="00D7560A" w:rsidRDefault="00D7560A">
            <w:pPr>
              <w:widowControl/>
              <w:jc w:val="left"/>
              <w:rPr>
                <w:rFonts w:ascii="Times New Roman" w:eastAsia="宋体" w:hAnsi="宋体" w:cs="宋体"/>
                <w:kern w:val="0"/>
                <w:sz w:val="24"/>
              </w:rPr>
            </w:pPr>
          </w:p>
        </w:tc>
      </w:tr>
      <w:tr w:rsidR="00D7560A" w14:paraId="59E4A1C8"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A1C6" w14:textId="77777777" w:rsidR="00D7560A" w:rsidRDefault="00D7560A">
            <w:pPr>
              <w:widowControl/>
              <w:jc w:val="left"/>
              <w:rPr>
                <w:rFonts w:ascii="Times New Roman" w:eastAsia="宋体" w:hAnsi="宋体" w:cs="宋体"/>
                <w:kern w:val="0"/>
                <w:sz w:val="24"/>
              </w:rPr>
            </w:pPr>
          </w:p>
        </w:tc>
        <w:tc>
          <w:tcPr>
            <w:tcW w:w="0" w:type="auto"/>
            <w:gridSpan w:val="33"/>
            <w:tcBorders>
              <w:top w:val="nil"/>
              <w:left w:val="nil"/>
              <w:bottom w:val="nil"/>
              <w:right w:val="nil"/>
            </w:tcBorders>
            <w:shd w:val="clear" w:color="auto" w:fill="auto"/>
            <w:tcMar>
              <w:top w:w="40" w:type="dxa"/>
              <w:left w:w="20" w:type="dxa"/>
              <w:bottom w:w="40" w:type="dxa"/>
              <w:right w:w="20" w:type="dxa"/>
            </w:tcMar>
            <w:vAlign w:val="bottom"/>
          </w:tcPr>
          <w:p w14:paraId="59E4A1C7"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29, 2022</w:t>
            </w:r>
          </w:p>
        </w:tc>
      </w:tr>
      <w:tr w:rsidR="00D7560A" w14:paraId="59E4A1D3" w14:textId="77777777">
        <w:trPr>
          <w:trHeight w:val="540"/>
          <w:jc w:val="center"/>
        </w:trPr>
        <w:tc>
          <w:tcPr>
            <w:tcW w:w="0" w:type="auto"/>
            <w:gridSpan w:val="3"/>
            <w:vMerge w:val="restart"/>
            <w:tcBorders>
              <w:top w:val="nil"/>
              <w:left w:val="nil"/>
              <w:bottom w:val="nil"/>
              <w:right w:val="nil"/>
            </w:tcBorders>
            <w:shd w:val="clear" w:color="auto" w:fill="auto"/>
            <w:tcMar>
              <w:top w:w="0" w:type="dxa"/>
              <w:left w:w="20" w:type="dxa"/>
              <w:bottom w:w="0" w:type="dxa"/>
              <w:right w:w="20" w:type="dxa"/>
            </w:tcMar>
            <w:vAlign w:val="bottom"/>
          </w:tcPr>
          <w:p w14:paraId="59E4A1C9" w14:textId="77777777" w:rsidR="00D7560A" w:rsidRDefault="00D7560A">
            <w:pPr>
              <w:widowControl/>
              <w:jc w:val="left"/>
              <w:rPr>
                <w:rFonts w:ascii="Times New Roman" w:eastAsia="宋体" w:hAnsi="宋体" w:cs="宋体"/>
                <w:kern w:val="0"/>
                <w:sz w:val="24"/>
              </w:rPr>
            </w:pPr>
          </w:p>
        </w:tc>
        <w:tc>
          <w:tcPr>
            <w:tcW w:w="0" w:type="auto"/>
            <w:gridSpan w:val="3"/>
            <w:vMerge w:val="restart"/>
            <w:tcBorders>
              <w:top w:val="single" w:sz="8" w:space="0" w:color="000000"/>
              <w:left w:val="nil"/>
              <w:bottom w:val="nil"/>
              <w:right w:val="nil"/>
            </w:tcBorders>
            <w:shd w:val="clear" w:color="auto" w:fill="auto"/>
            <w:tcMar>
              <w:top w:w="40" w:type="dxa"/>
              <w:left w:w="20" w:type="dxa"/>
              <w:bottom w:w="40" w:type="dxa"/>
              <w:right w:w="20" w:type="dxa"/>
            </w:tcMar>
            <w:vAlign w:val="bottom"/>
          </w:tcPr>
          <w:p w14:paraId="59E4A1CA"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Gross Amounts of Recognized Assets/ (Liabilities)</w:t>
            </w:r>
          </w:p>
        </w:tc>
        <w:tc>
          <w:tcPr>
            <w:tcW w:w="0" w:type="auto"/>
            <w:gridSpan w:val="3"/>
            <w:vMerge w:val="restart"/>
            <w:tcBorders>
              <w:top w:val="single" w:sz="8" w:space="0" w:color="000000"/>
              <w:left w:val="nil"/>
              <w:bottom w:val="nil"/>
              <w:right w:val="nil"/>
            </w:tcBorders>
            <w:shd w:val="clear" w:color="auto" w:fill="auto"/>
            <w:tcMar>
              <w:top w:w="0" w:type="dxa"/>
              <w:left w:w="20" w:type="dxa"/>
              <w:bottom w:w="0" w:type="dxa"/>
              <w:right w:w="20" w:type="dxa"/>
            </w:tcMar>
            <w:vAlign w:val="bottom"/>
          </w:tcPr>
          <w:p w14:paraId="59E4A1CB" w14:textId="77777777" w:rsidR="00D7560A" w:rsidRDefault="00D7560A">
            <w:pPr>
              <w:widowControl/>
              <w:jc w:val="left"/>
              <w:rPr>
                <w:rFonts w:ascii="Times New Roman" w:eastAsia="宋体" w:hAnsi="宋体" w:cs="宋体"/>
                <w:kern w:val="0"/>
                <w:sz w:val="24"/>
              </w:rPr>
            </w:pPr>
          </w:p>
        </w:tc>
        <w:tc>
          <w:tcPr>
            <w:tcW w:w="0" w:type="auto"/>
            <w:gridSpan w:val="3"/>
            <w:vMerge w:val="restart"/>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59E4A1CC"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 xml:space="preserve">Gross Amounts Offset in the </w:t>
            </w:r>
            <w:r>
              <w:rPr>
                <w:rFonts w:ascii="Times New Roman" w:eastAsia="宋体" w:hAnsi="Times New Roman" w:cs="Times New Roman"/>
                <w:b/>
                <w:bCs/>
                <w:color w:val="000000"/>
                <w:kern w:val="0"/>
                <w:sz w:val="18"/>
                <w:szCs w:val="18"/>
                <w:lang w:bidi="ar"/>
              </w:rPr>
              <w:t>Statement of Financial Position</w:t>
            </w:r>
          </w:p>
        </w:tc>
        <w:tc>
          <w:tcPr>
            <w:tcW w:w="0" w:type="auto"/>
            <w:gridSpan w:val="3"/>
            <w:vMerge w:val="restart"/>
            <w:tcBorders>
              <w:top w:val="single" w:sz="8" w:space="0" w:color="000000"/>
              <w:left w:val="nil"/>
              <w:bottom w:val="nil"/>
              <w:right w:val="nil"/>
            </w:tcBorders>
            <w:shd w:val="clear" w:color="auto" w:fill="auto"/>
            <w:tcMar>
              <w:top w:w="0" w:type="dxa"/>
              <w:left w:w="20" w:type="dxa"/>
              <w:bottom w:w="0" w:type="dxa"/>
              <w:right w:w="20" w:type="dxa"/>
            </w:tcMar>
            <w:vAlign w:val="bottom"/>
          </w:tcPr>
          <w:p w14:paraId="59E4A1CD" w14:textId="77777777" w:rsidR="00D7560A" w:rsidRDefault="00D7560A">
            <w:pPr>
              <w:widowControl/>
              <w:jc w:val="left"/>
              <w:rPr>
                <w:rFonts w:ascii="Times New Roman" w:eastAsia="宋体" w:hAnsi="宋体" w:cs="宋体"/>
                <w:kern w:val="0"/>
                <w:sz w:val="24"/>
              </w:rPr>
            </w:pPr>
          </w:p>
        </w:tc>
        <w:tc>
          <w:tcPr>
            <w:tcW w:w="0" w:type="auto"/>
            <w:gridSpan w:val="3"/>
            <w:vMerge w:val="restart"/>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59E4A1CE"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Net Amounts of Assets/ (Liabilities) Presented in the Statement of Financial Position</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59E4A1CF" w14:textId="77777777" w:rsidR="00D7560A" w:rsidRDefault="00D7560A">
            <w:pPr>
              <w:widowControl/>
              <w:jc w:val="left"/>
              <w:rPr>
                <w:rFonts w:ascii="Times New Roman" w:eastAsia="宋体" w:hAnsi="宋体" w:cs="宋体"/>
                <w:kern w:val="0"/>
                <w:sz w:val="24"/>
              </w:rPr>
            </w:pPr>
          </w:p>
        </w:tc>
        <w:tc>
          <w:tcPr>
            <w:tcW w:w="0" w:type="auto"/>
            <w:gridSpan w:val="9"/>
            <w:tcBorders>
              <w:top w:val="single" w:sz="8" w:space="0" w:color="000000"/>
              <w:left w:val="nil"/>
              <w:bottom w:val="nil"/>
              <w:right w:val="nil"/>
            </w:tcBorders>
            <w:shd w:val="clear" w:color="auto" w:fill="auto"/>
            <w:tcMar>
              <w:top w:w="40" w:type="dxa"/>
              <w:left w:w="20" w:type="dxa"/>
              <w:bottom w:w="40" w:type="dxa"/>
              <w:right w:w="20" w:type="dxa"/>
            </w:tcMar>
            <w:vAlign w:val="bottom"/>
          </w:tcPr>
          <w:p w14:paraId="59E4A1D0"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Gross Amounts not Offset in the Statement of Financial Position</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59E4A1D1" w14:textId="77777777" w:rsidR="00D7560A" w:rsidRDefault="00D7560A">
            <w:pPr>
              <w:widowControl/>
              <w:jc w:val="left"/>
              <w:rPr>
                <w:rFonts w:ascii="Times New Roman" w:eastAsia="宋体" w:hAnsi="宋体" w:cs="宋体"/>
                <w:kern w:val="0"/>
                <w:sz w:val="24"/>
              </w:rPr>
            </w:pPr>
          </w:p>
        </w:tc>
        <w:tc>
          <w:tcPr>
            <w:tcW w:w="0" w:type="auto"/>
            <w:gridSpan w:val="3"/>
            <w:vMerge w:val="restart"/>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59E4A1D2"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Net Amount of Assets/ (Liabilities) Recognized in the Statement of Fina</w:t>
            </w:r>
            <w:r>
              <w:rPr>
                <w:rFonts w:ascii="Times New Roman" w:eastAsia="宋体" w:hAnsi="Times New Roman" w:cs="Times New Roman"/>
                <w:b/>
                <w:bCs/>
                <w:color w:val="000000"/>
                <w:kern w:val="0"/>
                <w:sz w:val="18"/>
                <w:szCs w:val="18"/>
                <w:lang w:bidi="ar"/>
              </w:rPr>
              <w:t>ncial Position</w:t>
            </w:r>
          </w:p>
        </w:tc>
      </w:tr>
      <w:tr w:rsidR="00D7560A" w14:paraId="59E4A1E0" w14:textId="77777777">
        <w:trPr>
          <w:trHeight w:val="780"/>
          <w:jc w:val="center"/>
        </w:trPr>
        <w:tc>
          <w:tcPr>
            <w:tcW w:w="0" w:type="auto"/>
            <w:gridSpan w:val="3"/>
            <w:vMerge/>
            <w:tcBorders>
              <w:top w:val="nil"/>
              <w:left w:val="nil"/>
              <w:bottom w:val="nil"/>
              <w:right w:val="nil"/>
            </w:tcBorders>
            <w:shd w:val="clear" w:color="auto" w:fill="auto"/>
            <w:tcMar>
              <w:top w:w="0" w:type="dxa"/>
              <w:left w:w="20" w:type="dxa"/>
              <w:bottom w:w="0" w:type="dxa"/>
              <w:right w:w="20" w:type="dxa"/>
            </w:tcMar>
            <w:vAlign w:val="bottom"/>
          </w:tcPr>
          <w:p w14:paraId="59E4A1D4" w14:textId="77777777" w:rsidR="00D7560A" w:rsidRDefault="00D7560A">
            <w:pPr>
              <w:rPr>
                <w:rFonts w:ascii="宋体"/>
                <w:sz w:val="24"/>
              </w:rPr>
            </w:pPr>
          </w:p>
        </w:tc>
        <w:tc>
          <w:tcPr>
            <w:tcW w:w="0" w:type="auto"/>
            <w:gridSpan w:val="3"/>
            <w:vMerge/>
            <w:tcBorders>
              <w:top w:val="single" w:sz="8" w:space="0" w:color="000000"/>
              <w:left w:val="nil"/>
              <w:bottom w:val="nil"/>
              <w:right w:val="nil"/>
            </w:tcBorders>
            <w:shd w:val="clear" w:color="auto" w:fill="auto"/>
            <w:tcMar>
              <w:top w:w="40" w:type="dxa"/>
              <w:left w:w="20" w:type="dxa"/>
              <w:bottom w:w="40" w:type="dxa"/>
              <w:right w:w="20" w:type="dxa"/>
            </w:tcMar>
            <w:vAlign w:val="bottom"/>
          </w:tcPr>
          <w:p w14:paraId="59E4A1D5" w14:textId="77777777" w:rsidR="00D7560A" w:rsidRDefault="00D7560A">
            <w:pPr>
              <w:rPr>
                <w:rFonts w:ascii="宋体"/>
                <w:sz w:val="24"/>
              </w:rPr>
            </w:pPr>
          </w:p>
        </w:tc>
        <w:tc>
          <w:tcPr>
            <w:tcW w:w="0" w:type="auto"/>
            <w:gridSpan w:val="3"/>
            <w:vMerge/>
            <w:tcBorders>
              <w:top w:val="single" w:sz="8" w:space="0" w:color="000000"/>
              <w:left w:val="nil"/>
              <w:bottom w:val="nil"/>
              <w:right w:val="nil"/>
            </w:tcBorders>
            <w:shd w:val="clear" w:color="auto" w:fill="auto"/>
            <w:tcMar>
              <w:top w:w="0" w:type="dxa"/>
              <w:left w:w="20" w:type="dxa"/>
              <w:bottom w:w="0" w:type="dxa"/>
              <w:right w:w="20" w:type="dxa"/>
            </w:tcMar>
            <w:vAlign w:val="bottom"/>
          </w:tcPr>
          <w:p w14:paraId="59E4A1D6" w14:textId="77777777" w:rsidR="00D7560A" w:rsidRDefault="00D7560A">
            <w:pPr>
              <w:rPr>
                <w:rFonts w:ascii="宋体"/>
                <w:sz w:val="24"/>
              </w:rPr>
            </w:pPr>
          </w:p>
        </w:tc>
        <w:tc>
          <w:tcPr>
            <w:tcW w:w="0" w:type="auto"/>
            <w:gridSpan w:val="3"/>
            <w:vMerge/>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59E4A1D7" w14:textId="77777777" w:rsidR="00D7560A" w:rsidRDefault="00D7560A">
            <w:pPr>
              <w:rPr>
                <w:rFonts w:ascii="宋体"/>
                <w:sz w:val="24"/>
              </w:rPr>
            </w:pPr>
          </w:p>
        </w:tc>
        <w:tc>
          <w:tcPr>
            <w:tcW w:w="0" w:type="auto"/>
            <w:gridSpan w:val="3"/>
            <w:vMerge/>
            <w:tcBorders>
              <w:top w:val="single" w:sz="8" w:space="0" w:color="000000"/>
              <w:left w:val="nil"/>
              <w:bottom w:val="nil"/>
              <w:right w:val="nil"/>
            </w:tcBorders>
            <w:shd w:val="clear" w:color="auto" w:fill="auto"/>
            <w:tcMar>
              <w:top w:w="0" w:type="dxa"/>
              <w:left w:w="20" w:type="dxa"/>
              <w:bottom w:w="0" w:type="dxa"/>
              <w:right w:w="20" w:type="dxa"/>
            </w:tcMar>
            <w:vAlign w:val="bottom"/>
          </w:tcPr>
          <w:p w14:paraId="59E4A1D8" w14:textId="77777777" w:rsidR="00D7560A" w:rsidRDefault="00D7560A">
            <w:pPr>
              <w:rPr>
                <w:rFonts w:ascii="宋体"/>
                <w:sz w:val="24"/>
              </w:rPr>
            </w:pPr>
          </w:p>
        </w:tc>
        <w:tc>
          <w:tcPr>
            <w:tcW w:w="0" w:type="auto"/>
            <w:gridSpan w:val="3"/>
            <w:vMerge/>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59E4A1D9" w14:textId="77777777" w:rsidR="00D7560A" w:rsidRDefault="00D7560A">
            <w:pPr>
              <w:rPr>
                <w:rFonts w:ascii="宋体"/>
                <w:sz w:val="24"/>
              </w:rPr>
            </w:pP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59E4A1DA"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59E4A1DB"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Financial Instruments</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59E4A1DC"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59E4A1DD"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Cash Collateral Received or Pledged</w:t>
            </w: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59E4A1DE" w14:textId="77777777" w:rsidR="00D7560A" w:rsidRDefault="00D7560A">
            <w:pPr>
              <w:widowControl/>
              <w:jc w:val="left"/>
              <w:rPr>
                <w:rFonts w:ascii="Times New Roman" w:eastAsia="宋体" w:hAnsi="宋体" w:cs="宋体"/>
                <w:kern w:val="0"/>
                <w:sz w:val="24"/>
              </w:rPr>
            </w:pPr>
          </w:p>
        </w:tc>
        <w:tc>
          <w:tcPr>
            <w:tcW w:w="0" w:type="auto"/>
            <w:gridSpan w:val="3"/>
            <w:vMerge/>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59E4A1DF" w14:textId="77777777" w:rsidR="00D7560A" w:rsidRDefault="00D7560A">
            <w:pPr>
              <w:rPr>
                <w:rFonts w:ascii="宋体"/>
                <w:sz w:val="24"/>
              </w:rPr>
            </w:pPr>
          </w:p>
        </w:tc>
      </w:tr>
      <w:tr w:rsidR="00D7560A" w14:paraId="59E4A1E3"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A1E1" w14:textId="77777777" w:rsidR="00D7560A" w:rsidRDefault="00D7560A">
            <w:pPr>
              <w:widowControl/>
              <w:jc w:val="left"/>
              <w:rPr>
                <w:rFonts w:ascii="Times New Roman" w:eastAsia="宋体" w:hAnsi="宋体" w:cs="宋体"/>
                <w:kern w:val="0"/>
                <w:sz w:val="24"/>
              </w:rPr>
            </w:pPr>
          </w:p>
        </w:tc>
        <w:tc>
          <w:tcPr>
            <w:tcW w:w="0" w:type="auto"/>
            <w:gridSpan w:val="3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59E4A1E2"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(in millions)</w:t>
            </w:r>
          </w:p>
        </w:tc>
      </w:tr>
      <w:tr w:rsidR="00D7560A" w14:paraId="59E4A1F0"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9E4A1E4"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i/>
                <w:iCs/>
                <w:color w:val="000000"/>
                <w:kern w:val="0"/>
                <w:sz w:val="20"/>
                <w:szCs w:val="20"/>
                <w:lang w:bidi="ar"/>
              </w:rPr>
              <w:t>Derivative instruments:</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1E5"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1E6"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1E7"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1E8"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1E9"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1EA"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1EB"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1EC"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1ED"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1EE"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1EF" w14:textId="77777777" w:rsidR="00D7560A" w:rsidRDefault="00D7560A">
            <w:pPr>
              <w:widowControl/>
              <w:jc w:val="left"/>
              <w:rPr>
                <w:rFonts w:ascii="Times New Roman" w:eastAsia="宋体" w:hAnsi="宋体" w:cs="宋体"/>
                <w:kern w:val="0"/>
                <w:sz w:val="24"/>
              </w:rPr>
            </w:pPr>
          </w:p>
        </w:tc>
      </w:tr>
      <w:tr w:rsidR="00D7560A" w14:paraId="59E4A209"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59E4A1F1"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Financial assets</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9E4A1F2"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9E4A1F3"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1,104 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A1F4"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1F5"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9E4A1F6"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9E4A1F7"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(470)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A1F8"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1F9"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9E4A1FA"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9E4A1FB"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634 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A1FC"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1FD"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9E4A1FE"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9E4A1FF"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A200"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201"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9E4A202"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9E4A203"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A204"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205"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9E4A206"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9E4A207"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634 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A208" w14:textId="77777777" w:rsidR="00D7560A" w:rsidRDefault="00D7560A">
            <w:pPr>
              <w:widowControl/>
              <w:jc w:val="right"/>
              <w:rPr>
                <w:rFonts w:ascii="Times New Roman" w:eastAsia="宋体" w:hAnsi="宋体" w:cs="宋体"/>
                <w:kern w:val="0"/>
                <w:sz w:val="24"/>
              </w:rPr>
            </w:pPr>
          </w:p>
        </w:tc>
      </w:tr>
      <w:tr w:rsidR="00D7560A" w14:paraId="59E4A21C"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9E4A20A"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Financial liabilities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A20B"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(578)</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A20C"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20D"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A20E"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470 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A20F"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210"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A211"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(108)</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A212"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213"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A214"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A215"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216"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A217"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A218"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219"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A21A"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(60)</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A21B" w14:textId="77777777" w:rsidR="00D7560A" w:rsidRDefault="00D7560A">
            <w:pPr>
              <w:widowControl/>
              <w:jc w:val="right"/>
              <w:rPr>
                <w:rFonts w:ascii="Times New Roman" w:eastAsia="宋体" w:hAnsi="宋体" w:cs="宋体"/>
                <w:kern w:val="0"/>
                <w:sz w:val="24"/>
              </w:rPr>
            </w:pPr>
          </w:p>
        </w:tc>
      </w:tr>
      <w:tr w:rsidR="00D7560A" w14:paraId="59E4A235" w14:textId="77777777">
        <w:trPr>
          <w:jc w:val="center"/>
        </w:trPr>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59E4A21D"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Total derivative instruments</w:t>
            </w: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59E4A21E"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59E4A21F"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526 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59E4A220"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221"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59E4A222"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59E4A223"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59E4A224"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225"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59E4A226"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59E4A227"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526 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59E4A228"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229"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59E4A22A"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59E4A22B"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59E4A22C"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22D"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59E4A22E"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59E4A22F"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48 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59E4A230"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231"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59E4A232"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59E4A233"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574 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59E4A234" w14:textId="77777777" w:rsidR="00D7560A" w:rsidRDefault="00D7560A">
            <w:pPr>
              <w:widowControl/>
              <w:jc w:val="right"/>
              <w:rPr>
                <w:rFonts w:ascii="Times New Roman" w:eastAsia="宋体" w:hAnsi="宋体" w:cs="宋体"/>
                <w:kern w:val="0"/>
                <w:sz w:val="24"/>
              </w:rPr>
            </w:pPr>
          </w:p>
        </w:tc>
      </w:tr>
      <w:tr w:rsidR="00D7560A" w14:paraId="59E4A242" w14:textId="77777777">
        <w:trPr>
          <w:trHeight w:val="300"/>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A236" w14:textId="77777777" w:rsidR="00D7560A" w:rsidRDefault="00D7560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vAlign w:val="bottom"/>
          </w:tcPr>
          <w:p w14:paraId="59E4A237"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A238" w14:textId="77777777" w:rsidR="00D7560A" w:rsidRDefault="00D7560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vAlign w:val="bottom"/>
          </w:tcPr>
          <w:p w14:paraId="59E4A239"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A23A" w14:textId="77777777" w:rsidR="00D7560A" w:rsidRDefault="00D7560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vAlign w:val="bottom"/>
          </w:tcPr>
          <w:p w14:paraId="59E4A23B"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A23C" w14:textId="77777777" w:rsidR="00D7560A" w:rsidRDefault="00D7560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vAlign w:val="bottom"/>
          </w:tcPr>
          <w:p w14:paraId="59E4A23D"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A23E" w14:textId="77777777" w:rsidR="00D7560A" w:rsidRDefault="00D7560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vAlign w:val="bottom"/>
          </w:tcPr>
          <w:p w14:paraId="59E4A23F"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A240" w14:textId="77777777" w:rsidR="00D7560A" w:rsidRDefault="00D7560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vAlign w:val="bottom"/>
          </w:tcPr>
          <w:p w14:paraId="59E4A241" w14:textId="77777777" w:rsidR="00D7560A" w:rsidRDefault="00D7560A">
            <w:pPr>
              <w:widowControl/>
              <w:jc w:val="left"/>
              <w:rPr>
                <w:rFonts w:ascii="Times New Roman" w:eastAsia="宋体" w:hAnsi="宋体" w:cs="宋体"/>
                <w:kern w:val="0"/>
                <w:sz w:val="24"/>
              </w:rPr>
            </w:pPr>
          </w:p>
        </w:tc>
      </w:tr>
      <w:tr w:rsidR="00D7560A" w14:paraId="59E4A245"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A243" w14:textId="77777777" w:rsidR="00D7560A" w:rsidRDefault="00D7560A">
            <w:pPr>
              <w:widowControl/>
              <w:jc w:val="left"/>
              <w:rPr>
                <w:rFonts w:ascii="Times New Roman" w:eastAsia="宋体" w:hAnsi="宋体" w:cs="宋体"/>
                <w:kern w:val="0"/>
                <w:sz w:val="24"/>
              </w:rPr>
            </w:pPr>
          </w:p>
        </w:tc>
        <w:tc>
          <w:tcPr>
            <w:tcW w:w="0" w:type="auto"/>
            <w:gridSpan w:val="33"/>
            <w:tcBorders>
              <w:top w:val="nil"/>
              <w:left w:val="nil"/>
              <w:bottom w:val="nil"/>
              <w:right w:val="nil"/>
            </w:tcBorders>
            <w:shd w:val="clear" w:color="auto" w:fill="auto"/>
            <w:tcMar>
              <w:top w:w="40" w:type="dxa"/>
              <w:left w:w="20" w:type="dxa"/>
              <w:bottom w:w="40" w:type="dxa"/>
              <w:right w:w="20" w:type="dxa"/>
            </w:tcMar>
            <w:vAlign w:val="bottom"/>
          </w:tcPr>
          <w:p w14:paraId="59E4A244"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January 28, 2022</w:t>
            </w:r>
          </w:p>
        </w:tc>
      </w:tr>
      <w:tr w:rsidR="00D7560A" w14:paraId="59E4A250" w14:textId="77777777">
        <w:trPr>
          <w:trHeight w:val="540"/>
          <w:jc w:val="center"/>
        </w:trPr>
        <w:tc>
          <w:tcPr>
            <w:tcW w:w="0" w:type="auto"/>
            <w:gridSpan w:val="3"/>
            <w:vMerge w:val="restart"/>
            <w:tcBorders>
              <w:top w:val="nil"/>
              <w:left w:val="nil"/>
              <w:bottom w:val="nil"/>
              <w:right w:val="nil"/>
            </w:tcBorders>
            <w:shd w:val="clear" w:color="auto" w:fill="FFFFFF"/>
            <w:tcMar>
              <w:top w:w="0" w:type="dxa"/>
              <w:left w:w="20" w:type="dxa"/>
              <w:bottom w:w="0" w:type="dxa"/>
              <w:right w:w="20" w:type="dxa"/>
            </w:tcMar>
            <w:vAlign w:val="bottom"/>
          </w:tcPr>
          <w:p w14:paraId="59E4A246" w14:textId="77777777" w:rsidR="00D7560A" w:rsidRDefault="00D7560A">
            <w:pPr>
              <w:widowControl/>
              <w:jc w:val="left"/>
              <w:rPr>
                <w:rFonts w:ascii="Times New Roman" w:eastAsia="宋体" w:hAnsi="宋体" w:cs="宋体"/>
                <w:kern w:val="0"/>
                <w:sz w:val="24"/>
              </w:rPr>
            </w:pPr>
          </w:p>
        </w:tc>
        <w:tc>
          <w:tcPr>
            <w:tcW w:w="0" w:type="auto"/>
            <w:gridSpan w:val="3"/>
            <w:vMerge w:val="restart"/>
            <w:tcBorders>
              <w:top w:val="single" w:sz="8" w:space="0" w:color="000000"/>
              <w:left w:val="nil"/>
              <w:bottom w:val="nil"/>
              <w:right w:val="nil"/>
            </w:tcBorders>
            <w:shd w:val="clear" w:color="auto" w:fill="auto"/>
            <w:tcMar>
              <w:top w:w="40" w:type="dxa"/>
              <w:left w:w="20" w:type="dxa"/>
              <w:bottom w:w="40" w:type="dxa"/>
              <w:right w:w="20" w:type="dxa"/>
            </w:tcMar>
            <w:vAlign w:val="bottom"/>
          </w:tcPr>
          <w:p w14:paraId="59E4A247"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Gross Amounts of Recognized Assets/ (Liabilities)</w:t>
            </w:r>
          </w:p>
        </w:tc>
        <w:tc>
          <w:tcPr>
            <w:tcW w:w="0" w:type="auto"/>
            <w:gridSpan w:val="3"/>
            <w:vMerge w:val="restart"/>
            <w:tcBorders>
              <w:top w:val="single" w:sz="8" w:space="0" w:color="000000"/>
              <w:left w:val="nil"/>
              <w:bottom w:val="nil"/>
              <w:right w:val="nil"/>
            </w:tcBorders>
            <w:shd w:val="clear" w:color="auto" w:fill="FFFFFF"/>
            <w:tcMar>
              <w:top w:w="0" w:type="dxa"/>
              <w:left w:w="20" w:type="dxa"/>
              <w:bottom w:w="0" w:type="dxa"/>
              <w:right w:w="20" w:type="dxa"/>
            </w:tcMar>
            <w:vAlign w:val="bottom"/>
          </w:tcPr>
          <w:p w14:paraId="59E4A248" w14:textId="77777777" w:rsidR="00D7560A" w:rsidRDefault="00D7560A">
            <w:pPr>
              <w:widowControl/>
              <w:jc w:val="left"/>
              <w:rPr>
                <w:rFonts w:ascii="Times New Roman" w:eastAsia="宋体" w:hAnsi="宋体" w:cs="宋体"/>
                <w:kern w:val="0"/>
                <w:sz w:val="24"/>
              </w:rPr>
            </w:pPr>
          </w:p>
        </w:tc>
        <w:tc>
          <w:tcPr>
            <w:tcW w:w="0" w:type="auto"/>
            <w:gridSpan w:val="3"/>
            <w:vMerge w:val="restart"/>
            <w:tcBorders>
              <w:top w:val="single" w:sz="8" w:space="0" w:color="000000"/>
              <w:left w:val="nil"/>
              <w:bottom w:val="single" w:sz="8" w:space="0" w:color="000000"/>
              <w:right w:val="nil"/>
            </w:tcBorders>
            <w:shd w:val="clear" w:color="auto" w:fill="FFFFFF"/>
            <w:tcMar>
              <w:top w:w="40" w:type="dxa"/>
              <w:left w:w="20" w:type="dxa"/>
              <w:bottom w:w="40" w:type="dxa"/>
              <w:right w:w="20" w:type="dxa"/>
            </w:tcMar>
            <w:vAlign w:val="bottom"/>
          </w:tcPr>
          <w:p w14:paraId="59E4A249"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Gross Amounts Offset in the Statement of Financial Position</w:t>
            </w:r>
          </w:p>
        </w:tc>
        <w:tc>
          <w:tcPr>
            <w:tcW w:w="0" w:type="auto"/>
            <w:gridSpan w:val="3"/>
            <w:vMerge w:val="restart"/>
            <w:tcBorders>
              <w:top w:val="single" w:sz="8" w:space="0" w:color="000000"/>
              <w:left w:val="nil"/>
              <w:bottom w:val="nil"/>
              <w:right w:val="nil"/>
            </w:tcBorders>
            <w:shd w:val="clear" w:color="auto" w:fill="FFFFFF"/>
            <w:tcMar>
              <w:top w:w="0" w:type="dxa"/>
              <w:left w:w="20" w:type="dxa"/>
              <w:bottom w:w="0" w:type="dxa"/>
              <w:right w:w="20" w:type="dxa"/>
            </w:tcMar>
            <w:vAlign w:val="bottom"/>
          </w:tcPr>
          <w:p w14:paraId="59E4A24A" w14:textId="77777777" w:rsidR="00D7560A" w:rsidRDefault="00D7560A">
            <w:pPr>
              <w:widowControl/>
              <w:jc w:val="left"/>
              <w:rPr>
                <w:rFonts w:ascii="Times New Roman" w:eastAsia="宋体" w:hAnsi="宋体" w:cs="宋体"/>
                <w:kern w:val="0"/>
                <w:sz w:val="24"/>
              </w:rPr>
            </w:pPr>
          </w:p>
        </w:tc>
        <w:tc>
          <w:tcPr>
            <w:tcW w:w="0" w:type="auto"/>
            <w:gridSpan w:val="3"/>
            <w:vMerge w:val="restart"/>
            <w:tcBorders>
              <w:top w:val="single" w:sz="8" w:space="0" w:color="000000"/>
              <w:left w:val="nil"/>
              <w:bottom w:val="single" w:sz="8" w:space="0" w:color="000000"/>
              <w:right w:val="nil"/>
            </w:tcBorders>
            <w:shd w:val="clear" w:color="auto" w:fill="FFFFFF"/>
            <w:tcMar>
              <w:top w:w="40" w:type="dxa"/>
              <w:left w:w="20" w:type="dxa"/>
              <w:bottom w:w="40" w:type="dxa"/>
              <w:right w:w="20" w:type="dxa"/>
            </w:tcMar>
            <w:vAlign w:val="bottom"/>
          </w:tcPr>
          <w:p w14:paraId="59E4A24B"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 xml:space="preserve">Net Amounts of Assets/ </w:t>
            </w:r>
            <w:r>
              <w:rPr>
                <w:rFonts w:ascii="Times New Roman" w:eastAsia="宋体" w:hAnsi="Times New Roman" w:cs="Times New Roman"/>
                <w:b/>
                <w:bCs/>
                <w:color w:val="000000"/>
                <w:kern w:val="0"/>
                <w:sz w:val="18"/>
                <w:szCs w:val="18"/>
                <w:lang w:bidi="ar"/>
              </w:rPr>
              <w:t>(Liabilities) Presented in the Statement of Financial Position</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59E4A24C" w14:textId="77777777" w:rsidR="00D7560A" w:rsidRDefault="00D7560A">
            <w:pPr>
              <w:widowControl/>
              <w:jc w:val="left"/>
              <w:rPr>
                <w:rFonts w:ascii="Times New Roman" w:eastAsia="宋体" w:hAnsi="宋体" w:cs="宋体"/>
                <w:kern w:val="0"/>
                <w:sz w:val="24"/>
              </w:rPr>
            </w:pPr>
          </w:p>
        </w:tc>
        <w:tc>
          <w:tcPr>
            <w:tcW w:w="0" w:type="auto"/>
            <w:gridSpan w:val="9"/>
            <w:tcBorders>
              <w:top w:val="single" w:sz="8" w:space="0" w:color="000000"/>
              <w:left w:val="nil"/>
              <w:bottom w:val="nil"/>
              <w:right w:val="nil"/>
            </w:tcBorders>
            <w:shd w:val="clear" w:color="auto" w:fill="auto"/>
            <w:tcMar>
              <w:top w:w="40" w:type="dxa"/>
              <w:left w:w="20" w:type="dxa"/>
              <w:bottom w:w="40" w:type="dxa"/>
              <w:right w:w="20" w:type="dxa"/>
            </w:tcMar>
            <w:vAlign w:val="bottom"/>
          </w:tcPr>
          <w:p w14:paraId="59E4A24D"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Gross Amounts not Offset in the Statement of Financial Position</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59E4A24E" w14:textId="77777777" w:rsidR="00D7560A" w:rsidRDefault="00D7560A">
            <w:pPr>
              <w:widowControl/>
              <w:jc w:val="left"/>
              <w:rPr>
                <w:rFonts w:ascii="Times New Roman" w:eastAsia="宋体" w:hAnsi="宋体" w:cs="宋体"/>
                <w:kern w:val="0"/>
                <w:sz w:val="24"/>
              </w:rPr>
            </w:pPr>
          </w:p>
        </w:tc>
        <w:tc>
          <w:tcPr>
            <w:tcW w:w="0" w:type="auto"/>
            <w:gridSpan w:val="3"/>
            <w:vMerge w:val="restart"/>
            <w:tcBorders>
              <w:top w:val="single" w:sz="8" w:space="0" w:color="000000"/>
              <w:left w:val="nil"/>
              <w:bottom w:val="single" w:sz="8" w:space="0" w:color="000000"/>
              <w:right w:val="nil"/>
            </w:tcBorders>
            <w:shd w:val="clear" w:color="auto" w:fill="FFFFFF"/>
            <w:tcMar>
              <w:top w:w="40" w:type="dxa"/>
              <w:left w:w="20" w:type="dxa"/>
              <w:bottom w:w="40" w:type="dxa"/>
              <w:right w:w="20" w:type="dxa"/>
            </w:tcMar>
            <w:vAlign w:val="bottom"/>
          </w:tcPr>
          <w:p w14:paraId="59E4A24F"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Net Amount of Assets/ (Liabilities) Recognized in the Statement of Financial Position</w:t>
            </w:r>
          </w:p>
        </w:tc>
      </w:tr>
      <w:tr w:rsidR="00D7560A" w14:paraId="59E4A25D" w14:textId="77777777">
        <w:trPr>
          <w:trHeight w:val="780"/>
          <w:jc w:val="center"/>
        </w:trPr>
        <w:tc>
          <w:tcPr>
            <w:tcW w:w="0" w:type="auto"/>
            <w:gridSpan w:val="3"/>
            <w:vMerge/>
            <w:tcBorders>
              <w:top w:val="nil"/>
              <w:left w:val="nil"/>
              <w:bottom w:val="nil"/>
              <w:right w:val="nil"/>
            </w:tcBorders>
            <w:shd w:val="clear" w:color="auto" w:fill="FFFFFF"/>
            <w:tcMar>
              <w:top w:w="0" w:type="dxa"/>
              <w:left w:w="20" w:type="dxa"/>
              <w:bottom w:w="0" w:type="dxa"/>
              <w:right w:w="20" w:type="dxa"/>
            </w:tcMar>
            <w:vAlign w:val="bottom"/>
          </w:tcPr>
          <w:p w14:paraId="59E4A251" w14:textId="77777777" w:rsidR="00D7560A" w:rsidRDefault="00D7560A">
            <w:pPr>
              <w:rPr>
                <w:rFonts w:ascii="宋体"/>
                <w:sz w:val="24"/>
              </w:rPr>
            </w:pPr>
          </w:p>
        </w:tc>
        <w:tc>
          <w:tcPr>
            <w:tcW w:w="0" w:type="auto"/>
            <w:gridSpan w:val="3"/>
            <w:vMerge/>
            <w:tcBorders>
              <w:top w:val="single" w:sz="8" w:space="0" w:color="000000"/>
              <w:left w:val="nil"/>
              <w:bottom w:val="nil"/>
              <w:right w:val="nil"/>
            </w:tcBorders>
            <w:shd w:val="clear" w:color="auto" w:fill="auto"/>
            <w:tcMar>
              <w:top w:w="40" w:type="dxa"/>
              <w:left w:w="20" w:type="dxa"/>
              <w:bottom w:w="40" w:type="dxa"/>
              <w:right w:w="20" w:type="dxa"/>
            </w:tcMar>
            <w:vAlign w:val="bottom"/>
          </w:tcPr>
          <w:p w14:paraId="59E4A252" w14:textId="77777777" w:rsidR="00D7560A" w:rsidRDefault="00D7560A">
            <w:pPr>
              <w:rPr>
                <w:rFonts w:ascii="宋体"/>
                <w:sz w:val="24"/>
              </w:rPr>
            </w:pPr>
          </w:p>
        </w:tc>
        <w:tc>
          <w:tcPr>
            <w:tcW w:w="0" w:type="auto"/>
            <w:gridSpan w:val="3"/>
            <w:vMerge/>
            <w:tcBorders>
              <w:top w:val="single" w:sz="8" w:space="0" w:color="000000"/>
              <w:left w:val="nil"/>
              <w:bottom w:val="nil"/>
              <w:right w:val="nil"/>
            </w:tcBorders>
            <w:shd w:val="clear" w:color="auto" w:fill="FFFFFF"/>
            <w:tcMar>
              <w:top w:w="0" w:type="dxa"/>
              <w:left w:w="20" w:type="dxa"/>
              <w:bottom w:w="0" w:type="dxa"/>
              <w:right w:w="20" w:type="dxa"/>
            </w:tcMar>
            <w:vAlign w:val="bottom"/>
          </w:tcPr>
          <w:p w14:paraId="59E4A253" w14:textId="77777777" w:rsidR="00D7560A" w:rsidRDefault="00D7560A">
            <w:pPr>
              <w:rPr>
                <w:rFonts w:ascii="宋体"/>
                <w:sz w:val="24"/>
              </w:rPr>
            </w:pPr>
          </w:p>
        </w:tc>
        <w:tc>
          <w:tcPr>
            <w:tcW w:w="0" w:type="auto"/>
            <w:gridSpan w:val="3"/>
            <w:vMerge/>
            <w:tcBorders>
              <w:top w:val="single" w:sz="8" w:space="0" w:color="000000"/>
              <w:left w:val="nil"/>
              <w:bottom w:val="single" w:sz="8" w:space="0" w:color="000000"/>
              <w:right w:val="nil"/>
            </w:tcBorders>
            <w:shd w:val="clear" w:color="auto" w:fill="FFFFFF"/>
            <w:tcMar>
              <w:top w:w="40" w:type="dxa"/>
              <w:left w:w="20" w:type="dxa"/>
              <w:bottom w:w="40" w:type="dxa"/>
              <w:right w:w="20" w:type="dxa"/>
            </w:tcMar>
            <w:vAlign w:val="bottom"/>
          </w:tcPr>
          <w:p w14:paraId="59E4A254" w14:textId="77777777" w:rsidR="00D7560A" w:rsidRDefault="00D7560A">
            <w:pPr>
              <w:rPr>
                <w:rFonts w:ascii="宋体"/>
                <w:sz w:val="24"/>
              </w:rPr>
            </w:pPr>
          </w:p>
        </w:tc>
        <w:tc>
          <w:tcPr>
            <w:tcW w:w="0" w:type="auto"/>
            <w:gridSpan w:val="3"/>
            <w:vMerge/>
            <w:tcBorders>
              <w:top w:val="single" w:sz="8" w:space="0" w:color="000000"/>
              <w:left w:val="nil"/>
              <w:bottom w:val="nil"/>
              <w:right w:val="nil"/>
            </w:tcBorders>
            <w:shd w:val="clear" w:color="auto" w:fill="FFFFFF"/>
            <w:tcMar>
              <w:top w:w="0" w:type="dxa"/>
              <w:left w:w="20" w:type="dxa"/>
              <w:bottom w:w="0" w:type="dxa"/>
              <w:right w:w="20" w:type="dxa"/>
            </w:tcMar>
            <w:vAlign w:val="bottom"/>
          </w:tcPr>
          <w:p w14:paraId="59E4A255" w14:textId="77777777" w:rsidR="00D7560A" w:rsidRDefault="00D7560A">
            <w:pPr>
              <w:rPr>
                <w:rFonts w:ascii="宋体"/>
                <w:sz w:val="24"/>
              </w:rPr>
            </w:pPr>
          </w:p>
        </w:tc>
        <w:tc>
          <w:tcPr>
            <w:tcW w:w="0" w:type="auto"/>
            <w:gridSpan w:val="3"/>
            <w:vMerge/>
            <w:tcBorders>
              <w:top w:val="single" w:sz="8" w:space="0" w:color="000000"/>
              <w:left w:val="nil"/>
              <w:bottom w:val="single" w:sz="8" w:space="0" w:color="000000"/>
              <w:right w:val="nil"/>
            </w:tcBorders>
            <w:shd w:val="clear" w:color="auto" w:fill="FFFFFF"/>
            <w:tcMar>
              <w:top w:w="40" w:type="dxa"/>
              <w:left w:w="20" w:type="dxa"/>
              <w:bottom w:w="40" w:type="dxa"/>
              <w:right w:w="20" w:type="dxa"/>
            </w:tcMar>
            <w:vAlign w:val="bottom"/>
          </w:tcPr>
          <w:p w14:paraId="59E4A256" w14:textId="77777777" w:rsidR="00D7560A" w:rsidRDefault="00D7560A">
            <w:pPr>
              <w:rPr>
                <w:rFonts w:ascii="宋体"/>
                <w:sz w:val="24"/>
              </w:rPr>
            </w:pP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59E4A257"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59E4A258"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Financial Instruments</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59E4A259"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59E4A25A"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Cash Collateral Received or Pledged</w:t>
            </w: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59E4A25B" w14:textId="77777777" w:rsidR="00D7560A" w:rsidRDefault="00D7560A">
            <w:pPr>
              <w:widowControl/>
              <w:jc w:val="left"/>
              <w:rPr>
                <w:rFonts w:ascii="Times New Roman" w:eastAsia="宋体" w:hAnsi="宋体" w:cs="宋体"/>
                <w:kern w:val="0"/>
                <w:sz w:val="24"/>
              </w:rPr>
            </w:pPr>
          </w:p>
        </w:tc>
        <w:tc>
          <w:tcPr>
            <w:tcW w:w="0" w:type="auto"/>
            <w:gridSpan w:val="3"/>
            <w:vMerge/>
            <w:tcBorders>
              <w:top w:val="single" w:sz="8" w:space="0" w:color="000000"/>
              <w:left w:val="nil"/>
              <w:bottom w:val="single" w:sz="8" w:space="0" w:color="000000"/>
              <w:right w:val="nil"/>
            </w:tcBorders>
            <w:shd w:val="clear" w:color="auto" w:fill="FFFFFF"/>
            <w:tcMar>
              <w:top w:w="40" w:type="dxa"/>
              <w:left w:w="20" w:type="dxa"/>
              <w:bottom w:w="40" w:type="dxa"/>
              <w:right w:w="20" w:type="dxa"/>
            </w:tcMar>
            <w:vAlign w:val="bottom"/>
          </w:tcPr>
          <w:p w14:paraId="59E4A25C" w14:textId="77777777" w:rsidR="00D7560A" w:rsidRDefault="00D7560A">
            <w:pPr>
              <w:rPr>
                <w:rFonts w:ascii="宋体"/>
                <w:sz w:val="24"/>
              </w:rPr>
            </w:pPr>
          </w:p>
        </w:tc>
      </w:tr>
      <w:tr w:rsidR="00D7560A" w14:paraId="59E4A260"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A25E" w14:textId="77777777" w:rsidR="00D7560A" w:rsidRDefault="00D7560A">
            <w:pPr>
              <w:widowControl/>
              <w:jc w:val="left"/>
              <w:rPr>
                <w:rFonts w:ascii="Times New Roman" w:eastAsia="宋体" w:hAnsi="宋体" w:cs="宋体"/>
                <w:kern w:val="0"/>
                <w:sz w:val="24"/>
              </w:rPr>
            </w:pPr>
          </w:p>
        </w:tc>
        <w:tc>
          <w:tcPr>
            <w:tcW w:w="0" w:type="auto"/>
            <w:gridSpan w:val="3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59E4A25F"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(in millions)</w:t>
            </w:r>
          </w:p>
        </w:tc>
      </w:tr>
      <w:tr w:rsidR="00D7560A" w14:paraId="59E4A26D"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9E4A261"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i/>
                <w:iCs/>
                <w:color w:val="000000"/>
                <w:kern w:val="0"/>
                <w:sz w:val="20"/>
                <w:szCs w:val="20"/>
                <w:lang w:bidi="ar"/>
              </w:rPr>
              <w:t>Derivative instruments:</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262"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263"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264"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265"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266"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267"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268"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269"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26A"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26B"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26C" w14:textId="77777777" w:rsidR="00D7560A" w:rsidRDefault="00D7560A">
            <w:pPr>
              <w:widowControl/>
              <w:jc w:val="left"/>
              <w:rPr>
                <w:rFonts w:ascii="Times New Roman" w:eastAsia="宋体" w:hAnsi="宋体" w:cs="宋体"/>
                <w:kern w:val="0"/>
                <w:sz w:val="24"/>
              </w:rPr>
            </w:pPr>
          </w:p>
        </w:tc>
      </w:tr>
      <w:tr w:rsidR="00D7560A" w14:paraId="59E4A286"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59E4A26E"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Financial assets</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9E4A26F"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9E4A270"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603 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A271"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272"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9E4A273"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9E4A274"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(350)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A275"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276"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9E4A277"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9E4A278"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253 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A279"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27A"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9E4A27B"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9E4A27C"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A27D"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27E"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9E4A27F"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9E4A280"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A281"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282"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9E4A283"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9E4A284"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253 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A285" w14:textId="77777777" w:rsidR="00D7560A" w:rsidRDefault="00D7560A">
            <w:pPr>
              <w:widowControl/>
              <w:jc w:val="right"/>
              <w:rPr>
                <w:rFonts w:ascii="Times New Roman" w:eastAsia="宋体" w:hAnsi="宋体" w:cs="宋体"/>
                <w:kern w:val="0"/>
                <w:sz w:val="24"/>
              </w:rPr>
            </w:pPr>
          </w:p>
        </w:tc>
      </w:tr>
      <w:tr w:rsidR="00D7560A" w14:paraId="59E4A299"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9E4A287"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Financial liabilities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A288"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(488)</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A289"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28A"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A28B"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350 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A28C"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28D"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A28E"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(138)</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A28F"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290"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A291"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A292"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293"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A294"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A295"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296"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A297"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(114)</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A298" w14:textId="77777777" w:rsidR="00D7560A" w:rsidRDefault="00D7560A">
            <w:pPr>
              <w:widowControl/>
              <w:jc w:val="right"/>
              <w:rPr>
                <w:rFonts w:ascii="Times New Roman" w:eastAsia="宋体" w:hAnsi="宋体" w:cs="宋体"/>
                <w:kern w:val="0"/>
                <w:sz w:val="24"/>
              </w:rPr>
            </w:pPr>
          </w:p>
        </w:tc>
      </w:tr>
      <w:tr w:rsidR="00D7560A" w14:paraId="59E4A2B2" w14:textId="77777777">
        <w:trPr>
          <w:jc w:val="center"/>
        </w:trPr>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59E4A29A"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Total derivative instruments</w:t>
            </w: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59E4A29B"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59E4A29C"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115 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59E4A29D"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29E"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59E4A29F"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59E4A2A0"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59E4A2A1"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2A2"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59E4A2A3"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59E4A2A4"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115 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59E4A2A5"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2A6"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59E4A2A7"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59E4A2A8"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59E4A2A9"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2AA"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59E4A2AB"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59E4A2AC"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24 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59E4A2AD"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2AE"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59E4A2AF"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59E4A2B0"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139 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59E4A2B1" w14:textId="77777777" w:rsidR="00D7560A" w:rsidRDefault="00D7560A">
            <w:pPr>
              <w:widowControl/>
              <w:jc w:val="right"/>
              <w:rPr>
                <w:rFonts w:ascii="Times New Roman" w:eastAsia="宋体" w:hAnsi="宋体" w:cs="宋体"/>
                <w:kern w:val="0"/>
                <w:sz w:val="24"/>
              </w:rPr>
            </w:pPr>
          </w:p>
        </w:tc>
      </w:tr>
    </w:tbl>
    <w:p w14:paraId="59E4A2B3"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A2B4" w14:textId="77777777" w:rsidR="00D7560A" w:rsidRDefault="001E3CAB">
      <w:pPr>
        <w:widowControl/>
        <w:ind w:left="360" w:hanging="360"/>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A2B5" w14:textId="77777777" w:rsidR="00D7560A" w:rsidRDefault="001E3CAB">
      <w:pPr>
        <w:widowControl/>
        <w:ind w:left="360" w:hanging="360"/>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A2B6"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A2B7"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37</w:t>
      </w:r>
    </w:p>
    <w:p w14:paraId="59E4A2B8"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A2B9" w14:textId="77777777" w:rsidR="00D7560A" w:rsidRDefault="001E3CAB">
      <w:pPr>
        <w:widowControl/>
        <w:jc w:val="center"/>
      </w:pPr>
      <w:r>
        <w:rPr>
          <w:rFonts w:ascii="宋体" w:eastAsia="宋体" w:hAnsi="宋体" w:cs="宋体"/>
          <w:kern w:val="0"/>
          <w:sz w:val="24"/>
        </w:rPr>
        <w:pict w14:anchorId="59E4C7F0">
          <v:rect id="_x0000_i1061" style="width:6in;height:1.5pt" o:hralign="center" o:hrstd="t" o:hr="t" fillcolor="#a0a0a0" stroked="f"/>
        </w:pict>
      </w:r>
    </w:p>
    <w:p w14:paraId="59E4A2BA" w14:textId="77777777" w:rsidR="00D7560A" w:rsidRDefault="001E3CAB">
      <w:pPr>
        <w:widowControl/>
        <w:jc w:val="left"/>
        <w:rPr>
          <w:rFonts w:ascii="宋体" w:eastAsia="宋体" w:hAnsi="宋体" w:cs="宋体"/>
          <w:kern w:val="0"/>
          <w:sz w:val="24"/>
        </w:rPr>
      </w:pPr>
      <w:hyperlink w:anchor="if933dd1d5d004d2495dd7029e3ecad00_13" w:history="1">
        <w:r>
          <w:rPr>
            <w:rStyle w:val="a4"/>
            <w:rFonts w:ascii="Times New Roman" w:eastAsia="宋体" w:hAnsi="Times New Roman" w:cs="Times New Roman"/>
            <w:sz w:val="20"/>
            <w:szCs w:val="20"/>
          </w:rPr>
          <w:t>Table of Contents</w:t>
        </w:r>
      </w:hyperlink>
    </w:p>
    <w:p w14:paraId="59E4A2BB"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DELL TECHNOLOGIES INC.</w:t>
      </w:r>
    </w:p>
    <w:p w14:paraId="59E4A2BC"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NOTES TO THE CONDENSED CONSOLIDATED FINANCIAL STATEMENTS (Continued)</w:t>
      </w:r>
    </w:p>
    <w:p w14:paraId="59E4A2BD"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(unaudited)</w:t>
      </w:r>
    </w:p>
    <w:p w14:paraId="59E4A2BE"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A2BF"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NOTE 9 — GOODWILL AND INTANGIBLE ASSETS</w:t>
      </w:r>
    </w:p>
    <w:p w14:paraId="59E4A2C0"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A2C1"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Goodwill</w:t>
      </w:r>
    </w:p>
    <w:p w14:paraId="59E4A2C2"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A2C3"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The </w:t>
      </w:r>
      <w:r>
        <w:rPr>
          <w:rFonts w:ascii="Times New Roman" w:eastAsia="宋体" w:hAnsi="Times New Roman" w:cs="Times New Roman"/>
          <w:color w:val="000000"/>
          <w:kern w:val="0"/>
          <w:sz w:val="20"/>
          <w:szCs w:val="20"/>
          <w:lang w:bidi="ar"/>
        </w:rPr>
        <w:t>Infrastructure Solutions Group and Client Solutions Group reporting units are consistent with the reportable segments identified in Note 17 of the Notes to the Condensed Consolidated Financial Statements. Other businesses consists of VMware Resale, Securew</w:t>
      </w:r>
      <w:r>
        <w:rPr>
          <w:rFonts w:ascii="Times New Roman" w:eastAsia="宋体" w:hAnsi="Times New Roman" w:cs="Times New Roman"/>
          <w:color w:val="000000"/>
          <w:kern w:val="0"/>
          <w:sz w:val="20"/>
          <w:szCs w:val="20"/>
          <w:lang w:bidi="ar"/>
        </w:rPr>
        <w:t>orks, and Virtustream, which each represent separate reporting units.</w:t>
      </w:r>
    </w:p>
    <w:p w14:paraId="59E4A2C4"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A2C5" w14:textId="77777777" w:rsidR="00D7560A" w:rsidRDefault="001E3CAB">
      <w:pPr>
        <w:widowControl/>
        <w:spacing w:after="12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The following table presents goodwill allocated to the Company’s reportable segments and changes in the carrying amount of goodwill as of the dates indicated: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3557"/>
        <w:gridCol w:w="37"/>
        <w:gridCol w:w="121"/>
        <w:gridCol w:w="1169"/>
        <w:gridCol w:w="36"/>
        <w:gridCol w:w="36"/>
        <w:gridCol w:w="36"/>
        <w:gridCol w:w="36"/>
        <w:gridCol w:w="121"/>
        <w:gridCol w:w="857"/>
        <w:gridCol w:w="36"/>
        <w:gridCol w:w="36"/>
        <w:gridCol w:w="36"/>
        <w:gridCol w:w="36"/>
        <w:gridCol w:w="121"/>
        <w:gridCol w:w="881"/>
        <w:gridCol w:w="36"/>
        <w:gridCol w:w="36"/>
        <w:gridCol w:w="36"/>
        <w:gridCol w:w="36"/>
        <w:gridCol w:w="120"/>
        <w:gridCol w:w="846"/>
        <w:gridCol w:w="36"/>
      </w:tblGrid>
      <w:tr w:rsidR="00D7560A" w14:paraId="59E4A2DE" w14:textId="77777777">
        <w:trPr>
          <w:jc w:val="center"/>
        </w:trPr>
        <w:tc>
          <w:tcPr>
            <w:tcW w:w="50" w:type="pct"/>
            <w:tcBorders>
              <w:top w:val="nil"/>
              <w:left w:val="nil"/>
              <w:bottom w:val="nil"/>
              <w:right w:val="nil"/>
            </w:tcBorders>
            <w:shd w:val="clear" w:color="auto" w:fill="auto"/>
            <w:vAlign w:val="bottom"/>
          </w:tcPr>
          <w:p w14:paraId="59E4A2C6" w14:textId="77777777" w:rsidR="00D7560A" w:rsidRDefault="00D7560A">
            <w:pPr>
              <w:widowControl/>
              <w:jc w:val="left"/>
              <w:rPr>
                <w:rFonts w:ascii="Times New Roman" w:eastAsia="宋体" w:hAnsi="宋体" w:cs="宋体"/>
                <w:kern w:val="0"/>
                <w:sz w:val="24"/>
              </w:rPr>
            </w:pPr>
          </w:p>
        </w:tc>
        <w:tc>
          <w:tcPr>
            <w:tcW w:w="2254" w:type="pct"/>
            <w:tcBorders>
              <w:top w:val="nil"/>
              <w:left w:val="nil"/>
              <w:bottom w:val="nil"/>
              <w:right w:val="nil"/>
            </w:tcBorders>
            <w:shd w:val="clear" w:color="auto" w:fill="auto"/>
            <w:vAlign w:val="bottom"/>
          </w:tcPr>
          <w:p w14:paraId="59E4A2C7"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A2C8"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A2C9" w14:textId="77777777" w:rsidR="00D7560A" w:rsidRDefault="00D7560A">
            <w:pPr>
              <w:widowControl/>
              <w:jc w:val="left"/>
              <w:rPr>
                <w:rFonts w:ascii="Times New Roman" w:eastAsia="宋体" w:hAnsi="宋体" w:cs="宋体"/>
                <w:kern w:val="0"/>
                <w:sz w:val="24"/>
              </w:rPr>
            </w:pPr>
          </w:p>
        </w:tc>
        <w:tc>
          <w:tcPr>
            <w:tcW w:w="610" w:type="pct"/>
            <w:tcBorders>
              <w:top w:val="nil"/>
              <w:left w:val="nil"/>
              <w:bottom w:val="nil"/>
              <w:right w:val="nil"/>
            </w:tcBorders>
            <w:shd w:val="clear" w:color="auto" w:fill="auto"/>
            <w:vAlign w:val="bottom"/>
          </w:tcPr>
          <w:p w14:paraId="59E4A2CA"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A2CB"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A2CC" w14:textId="77777777" w:rsidR="00D7560A" w:rsidRDefault="00D7560A">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59E4A2CD"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A2CE"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A2CF" w14:textId="77777777" w:rsidR="00D7560A" w:rsidRDefault="00D7560A">
            <w:pPr>
              <w:widowControl/>
              <w:jc w:val="left"/>
              <w:rPr>
                <w:rFonts w:ascii="Times New Roman" w:eastAsia="宋体" w:hAnsi="宋体" w:cs="宋体"/>
                <w:kern w:val="0"/>
                <w:sz w:val="24"/>
              </w:rPr>
            </w:pPr>
          </w:p>
        </w:tc>
        <w:tc>
          <w:tcPr>
            <w:tcW w:w="588" w:type="pct"/>
            <w:tcBorders>
              <w:top w:val="nil"/>
              <w:left w:val="nil"/>
              <w:bottom w:val="nil"/>
              <w:right w:val="nil"/>
            </w:tcBorders>
            <w:shd w:val="clear" w:color="auto" w:fill="auto"/>
            <w:vAlign w:val="bottom"/>
          </w:tcPr>
          <w:p w14:paraId="59E4A2D0"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A2D1"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A2D2" w14:textId="77777777" w:rsidR="00D7560A" w:rsidRDefault="00D7560A">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59E4A2D3"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A2D4"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A2D5" w14:textId="77777777" w:rsidR="00D7560A" w:rsidRDefault="00D7560A">
            <w:pPr>
              <w:widowControl/>
              <w:jc w:val="left"/>
              <w:rPr>
                <w:rFonts w:ascii="Times New Roman" w:eastAsia="宋体" w:hAnsi="宋体" w:cs="宋体"/>
                <w:kern w:val="0"/>
                <w:sz w:val="24"/>
              </w:rPr>
            </w:pPr>
          </w:p>
        </w:tc>
        <w:tc>
          <w:tcPr>
            <w:tcW w:w="602" w:type="pct"/>
            <w:tcBorders>
              <w:top w:val="nil"/>
              <w:left w:val="nil"/>
              <w:bottom w:val="nil"/>
              <w:right w:val="nil"/>
            </w:tcBorders>
            <w:shd w:val="clear" w:color="auto" w:fill="auto"/>
            <w:vAlign w:val="bottom"/>
          </w:tcPr>
          <w:p w14:paraId="59E4A2D6"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A2D7"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A2D8" w14:textId="77777777" w:rsidR="00D7560A" w:rsidRDefault="00D7560A">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59E4A2D9"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A2DA"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A2DB" w14:textId="77777777" w:rsidR="00D7560A" w:rsidRDefault="00D7560A">
            <w:pPr>
              <w:widowControl/>
              <w:jc w:val="left"/>
              <w:rPr>
                <w:rFonts w:ascii="Times New Roman" w:eastAsia="宋体" w:hAnsi="宋体" w:cs="宋体"/>
                <w:kern w:val="0"/>
                <w:sz w:val="24"/>
              </w:rPr>
            </w:pPr>
          </w:p>
        </w:tc>
        <w:tc>
          <w:tcPr>
            <w:tcW w:w="581" w:type="pct"/>
            <w:tcBorders>
              <w:top w:val="nil"/>
              <w:left w:val="nil"/>
              <w:bottom w:val="nil"/>
              <w:right w:val="nil"/>
            </w:tcBorders>
            <w:shd w:val="clear" w:color="auto" w:fill="auto"/>
            <w:vAlign w:val="bottom"/>
          </w:tcPr>
          <w:p w14:paraId="59E4A2DC"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A2DD" w14:textId="77777777" w:rsidR="00D7560A" w:rsidRDefault="00D7560A">
            <w:pPr>
              <w:widowControl/>
              <w:jc w:val="left"/>
              <w:rPr>
                <w:rFonts w:ascii="Times New Roman" w:eastAsia="宋体" w:hAnsi="宋体" w:cs="宋体"/>
                <w:kern w:val="0"/>
                <w:sz w:val="24"/>
              </w:rPr>
            </w:pPr>
          </w:p>
        </w:tc>
      </w:tr>
      <w:tr w:rsidR="00D7560A" w14:paraId="59E4A2E7"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9E4A2DF"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9E4A2E0"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Infrastructure Solutions Group</w:t>
            </w: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59E4A2E1"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auto"/>
            <w:tcMar>
              <w:top w:w="40" w:type="dxa"/>
              <w:left w:w="20" w:type="dxa"/>
              <w:bottom w:w="40" w:type="dxa"/>
              <w:right w:w="20" w:type="dxa"/>
            </w:tcMar>
            <w:vAlign w:val="bottom"/>
          </w:tcPr>
          <w:p w14:paraId="59E4A2E2"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Client Solutions Group</w:t>
            </w: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59E4A2E3"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auto"/>
            <w:tcMar>
              <w:top w:w="40" w:type="dxa"/>
              <w:left w:w="20" w:type="dxa"/>
              <w:bottom w:w="40" w:type="dxa"/>
              <w:right w:w="20" w:type="dxa"/>
            </w:tcMar>
            <w:vAlign w:val="bottom"/>
          </w:tcPr>
          <w:p w14:paraId="59E4A2E4"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Other Businesses</w:t>
            </w: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59E4A2E5"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auto"/>
            <w:tcMar>
              <w:top w:w="40" w:type="dxa"/>
              <w:left w:w="20" w:type="dxa"/>
              <w:bottom w:w="40" w:type="dxa"/>
              <w:right w:w="20" w:type="dxa"/>
            </w:tcMar>
            <w:vAlign w:val="bottom"/>
          </w:tcPr>
          <w:p w14:paraId="59E4A2E6"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Total</w:t>
            </w:r>
          </w:p>
        </w:tc>
      </w:tr>
      <w:tr w:rsidR="00D7560A" w14:paraId="59E4A2EA"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A2E8" w14:textId="77777777" w:rsidR="00D7560A" w:rsidRDefault="00D7560A">
            <w:pPr>
              <w:widowControl/>
              <w:jc w:val="left"/>
              <w:rPr>
                <w:rFonts w:ascii="Times New Roman" w:eastAsia="宋体" w:hAnsi="宋体" w:cs="宋体"/>
                <w:kern w:val="0"/>
                <w:sz w:val="24"/>
              </w:rPr>
            </w:pPr>
          </w:p>
        </w:tc>
        <w:tc>
          <w:tcPr>
            <w:tcW w:w="0" w:type="auto"/>
            <w:gridSpan w:val="21"/>
            <w:tcBorders>
              <w:top w:val="single" w:sz="8" w:space="0" w:color="000000"/>
              <w:left w:val="nil"/>
              <w:bottom w:val="nil"/>
              <w:right w:val="nil"/>
            </w:tcBorders>
            <w:shd w:val="clear" w:color="auto" w:fill="auto"/>
            <w:tcMar>
              <w:top w:w="40" w:type="dxa"/>
              <w:left w:w="20" w:type="dxa"/>
              <w:bottom w:w="40" w:type="dxa"/>
              <w:right w:w="20" w:type="dxa"/>
            </w:tcMar>
            <w:vAlign w:val="bottom"/>
          </w:tcPr>
          <w:p w14:paraId="59E4A2E9"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(in millions)</w:t>
            </w:r>
          </w:p>
        </w:tc>
      </w:tr>
      <w:tr w:rsidR="00D7560A" w14:paraId="59E4A2F3" w14:textId="77777777">
        <w:trPr>
          <w:jc w:val="center"/>
          <w:hidden/>
        </w:trPr>
        <w:tc>
          <w:tcPr>
            <w:tcW w:w="0" w:type="auto"/>
            <w:gridSpan w:val="3"/>
            <w:tcBorders>
              <w:top w:val="nil"/>
              <w:left w:val="nil"/>
              <w:bottom w:val="nil"/>
              <w:right w:val="nil"/>
            </w:tcBorders>
            <w:shd w:val="clear" w:color="auto" w:fill="auto"/>
            <w:vAlign w:val="bottom"/>
          </w:tcPr>
          <w:p w14:paraId="59E4A2EB"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2EC"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2ED"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2EE"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2EF"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2F0"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2F1"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2F2" w14:textId="77777777" w:rsidR="00D7560A" w:rsidRDefault="00D7560A">
            <w:pPr>
              <w:widowControl/>
              <w:jc w:val="left"/>
              <w:rPr>
                <w:rFonts w:ascii="Times New Roman" w:eastAsia="宋体" w:hAnsi="宋体" w:cs="宋体"/>
                <w:vanish/>
                <w:kern w:val="0"/>
                <w:sz w:val="24"/>
              </w:rPr>
            </w:pPr>
          </w:p>
        </w:tc>
      </w:tr>
      <w:tr w:rsidR="00D7560A" w14:paraId="59E4A2FC" w14:textId="77777777">
        <w:trPr>
          <w:jc w:val="center"/>
          <w:hidden/>
        </w:trPr>
        <w:tc>
          <w:tcPr>
            <w:tcW w:w="0" w:type="auto"/>
            <w:gridSpan w:val="3"/>
            <w:tcBorders>
              <w:top w:val="nil"/>
              <w:left w:val="nil"/>
              <w:bottom w:val="nil"/>
              <w:right w:val="nil"/>
            </w:tcBorders>
            <w:shd w:val="clear" w:color="auto" w:fill="auto"/>
            <w:vAlign w:val="bottom"/>
          </w:tcPr>
          <w:p w14:paraId="59E4A2F4"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2F5"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2F6"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2F7"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2F8"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2F9"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2FA"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2FB" w14:textId="77777777" w:rsidR="00D7560A" w:rsidRDefault="00D7560A">
            <w:pPr>
              <w:widowControl/>
              <w:jc w:val="left"/>
              <w:rPr>
                <w:rFonts w:ascii="Times New Roman" w:eastAsia="宋体" w:hAnsi="宋体" w:cs="宋体"/>
                <w:vanish/>
                <w:kern w:val="0"/>
                <w:sz w:val="24"/>
              </w:rPr>
            </w:pPr>
          </w:p>
        </w:tc>
      </w:tr>
      <w:tr w:rsidR="00D7560A" w14:paraId="59E4A305" w14:textId="77777777">
        <w:trPr>
          <w:jc w:val="center"/>
          <w:hidden/>
        </w:trPr>
        <w:tc>
          <w:tcPr>
            <w:tcW w:w="0" w:type="auto"/>
            <w:gridSpan w:val="3"/>
            <w:tcBorders>
              <w:top w:val="nil"/>
              <w:left w:val="nil"/>
              <w:bottom w:val="nil"/>
              <w:right w:val="nil"/>
            </w:tcBorders>
            <w:shd w:val="clear" w:color="auto" w:fill="auto"/>
            <w:vAlign w:val="bottom"/>
          </w:tcPr>
          <w:p w14:paraId="59E4A2FD"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2FE"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2FF"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300"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301"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302"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303"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304" w14:textId="77777777" w:rsidR="00D7560A" w:rsidRDefault="00D7560A">
            <w:pPr>
              <w:widowControl/>
              <w:jc w:val="left"/>
              <w:rPr>
                <w:rFonts w:ascii="Times New Roman" w:eastAsia="宋体" w:hAnsi="宋体" w:cs="宋体"/>
                <w:vanish/>
                <w:kern w:val="0"/>
                <w:sz w:val="24"/>
              </w:rPr>
            </w:pPr>
          </w:p>
        </w:tc>
      </w:tr>
      <w:tr w:rsidR="00D7560A" w14:paraId="59E4A30E" w14:textId="77777777">
        <w:trPr>
          <w:jc w:val="center"/>
          <w:hidden/>
        </w:trPr>
        <w:tc>
          <w:tcPr>
            <w:tcW w:w="0" w:type="auto"/>
            <w:gridSpan w:val="3"/>
            <w:tcBorders>
              <w:top w:val="nil"/>
              <w:left w:val="nil"/>
              <w:bottom w:val="nil"/>
              <w:right w:val="nil"/>
            </w:tcBorders>
            <w:shd w:val="clear" w:color="auto" w:fill="auto"/>
            <w:vAlign w:val="bottom"/>
          </w:tcPr>
          <w:p w14:paraId="59E4A306"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307"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308"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309"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30A"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30B"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30C"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30D" w14:textId="77777777" w:rsidR="00D7560A" w:rsidRDefault="00D7560A">
            <w:pPr>
              <w:widowControl/>
              <w:jc w:val="left"/>
              <w:rPr>
                <w:rFonts w:ascii="Times New Roman" w:eastAsia="宋体" w:hAnsi="宋体" w:cs="宋体"/>
                <w:vanish/>
                <w:kern w:val="0"/>
                <w:sz w:val="24"/>
              </w:rPr>
            </w:pPr>
          </w:p>
        </w:tc>
      </w:tr>
      <w:tr w:rsidR="00D7560A" w14:paraId="59E4A317" w14:textId="77777777">
        <w:trPr>
          <w:jc w:val="center"/>
          <w:hidden/>
        </w:trPr>
        <w:tc>
          <w:tcPr>
            <w:tcW w:w="0" w:type="auto"/>
            <w:gridSpan w:val="3"/>
            <w:tcBorders>
              <w:top w:val="nil"/>
              <w:left w:val="nil"/>
              <w:bottom w:val="nil"/>
              <w:right w:val="nil"/>
            </w:tcBorders>
            <w:shd w:val="clear" w:color="auto" w:fill="auto"/>
            <w:vAlign w:val="bottom"/>
          </w:tcPr>
          <w:p w14:paraId="59E4A30F"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310"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311"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312"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313"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314"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315"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316" w14:textId="77777777" w:rsidR="00D7560A" w:rsidRDefault="00D7560A">
            <w:pPr>
              <w:widowControl/>
              <w:jc w:val="left"/>
              <w:rPr>
                <w:rFonts w:ascii="Times New Roman" w:eastAsia="宋体" w:hAnsi="宋体" w:cs="宋体"/>
                <w:vanish/>
                <w:kern w:val="0"/>
                <w:sz w:val="24"/>
              </w:rPr>
            </w:pPr>
          </w:p>
        </w:tc>
      </w:tr>
      <w:tr w:rsidR="00D7560A" w14:paraId="59E4A328"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9E4A318"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i/>
                <w:iCs/>
                <w:color w:val="000000"/>
                <w:kern w:val="0"/>
                <w:sz w:val="20"/>
                <w:szCs w:val="20"/>
                <w:lang w:bidi="ar"/>
              </w:rPr>
              <w:t>Balances as of January 28, 2022</w:t>
            </w: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9E4A319"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9E4A31A"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15,106 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A31B"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31C"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9E4A31D"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9E4A31E"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4,237 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A31F"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320"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9E4A321"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9E4A322"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427 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A323"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324"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9E4A325"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9E4A326"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19,770 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A327" w14:textId="77777777" w:rsidR="00D7560A" w:rsidRDefault="00D7560A">
            <w:pPr>
              <w:widowControl/>
              <w:jc w:val="right"/>
              <w:rPr>
                <w:rFonts w:ascii="Times New Roman" w:eastAsia="宋体" w:hAnsi="宋体" w:cs="宋体"/>
                <w:kern w:val="0"/>
                <w:sz w:val="24"/>
              </w:rPr>
            </w:pPr>
          </w:p>
        </w:tc>
      </w:tr>
      <w:tr w:rsidR="00D7560A" w14:paraId="59E4A331" w14:textId="77777777">
        <w:trPr>
          <w:jc w:val="center"/>
          <w:hidden/>
        </w:trPr>
        <w:tc>
          <w:tcPr>
            <w:tcW w:w="0" w:type="auto"/>
            <w:gridSpan w:val="3"/>
            <w:tcBorders>
              <w:top w:val="nil"/>
              <w:left w:val="nil"/>
              <w:bottom w:val="nil"/>
              <w:right w:val="nil"/>
            </w:tcBorders>
            <w:shd w:val="clear" w:color="auto" w:fill="auto"/>
            <w:vAlign w:val="bottom"/>
          </w:tcPr>
          <w:p w14:paraId="59E4A329"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32A"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32B"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32C"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32D"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32E"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32F"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330" w14:textId="77777777" w:rsidR="00D7560A" w:rsidRDefault="00D7560A">
            <w:pPr>
              <w:widowControl/>
              <w:jc w:val="left"/>
              <w:rPr>
                <w:rFonts w:ascii="Times New Roman" w:eastAsia="宋体" w:hAnsi="宋体" w:cs="宋体"/>
                <w:vanish/>
                <w:kern w:val="0"/>
                <w:sz w:val="24"/>
              </w:rPr>
            </w:pPr>
          </w:p>
        </w:tc>
      </w:tr>
      <w:tr w:rsidR="00D7560A" w14:paraId="59E4A33E"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59E4A332"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Impact of foreign currency translation and other</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A333"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(260)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A334"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335"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A336"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A337"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338"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A339"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A33A"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33B"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A33C"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(265)</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A33D" w14:textId="77777777" w:rsidR="00D7560A" w:rsidRDefault="00D7560A">
            <w:pPr>
              <w:widowControl/>
              <w:jc w:val="right"/>
              <w:rPr>
                <w:rFonts w:ascii="Times New Roman" w:eastAsia="宋体" w:hAnsi="宋体" w:cs="宋体"/>
                <w:kern w:val="0"/>
                <w:sz w:val="24"/>
              </w:rPr>
            </w:pPr>
          </w:p>
        </w:tc>
      </w:tr>
      <w:tr w:rsidR="00D7560A" w14:paraId="59E4A347" w14:textId="77777777">
        <w:trPr>
          <w:jc w:val="center"/>
          <w:hidden/>
        </w:trPr>
        <w:tc>
          <w:tcPr>
            <w:tcW w:w="0" w:type="auto"/>
            <w:gridSpan w:val="3"/>
            <w:tcBorders>
              <w:top w:val="nil"/>
              <w:left w:val="nil"/>
              <w:bottom w:val="nil"/>
              <w:right w:val="nil"/>
            </w:tcBorders>
            <w:shd w:val="clear" w:color="auto" w:fill="auto"/>
            <w:vAlign w:val="bottom"/>
          </w:tcPr>
          <w:p w14:paraId="59E4A33F"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340"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341"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342"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343"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344"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345"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346" w14:textId="77777777" w:rsidR="00D7560A" w:rsidRDefault="00D7560A">
            <w:pPr>
              <w:widowControl/>
              <w:jc w:val="left"/>
              <w:rPr>
                <w:rFonts w:ascii="Times New Roman" w:eastAsia="宋体" w:hAnsi="宋体" w:cs="宋体"/>
                <w:vanish/>
                <w:kern w:val="0"/>
                <w:sz w:val="24"/>
              </w:rPr>
            </w:pPr>
          </w:p>
        </w:tc>
      </w:tr>
      <w:tr w:rsidR="00D7560A" w14:paraId="59E4A350" w14:textId="77777777">
        <w:trPr>
          <w:jc w:val="center"/>
          <w:hidden/>
        </w:trPr>
        <w:tc>
          <w:tcPr>
            <w:tcW w:w="0" w:type="auto"/>
            <w:gridSpan w:val="3"/>
            <w:tcBorders>
              <w:top w:val="nil"/>
              <w:left w:val="nil"/>
              <w:bottom w:val="nil"/>
              <w:right w:val="nil"/>
            </w:tcBorders>
            <w:shd w:val="clear" w:color="auto" w:fill="auto"/>
            <w:vAlign w:val="bottom"/>
          </w:tcPr>
          <w:p w14:paraId="59E4A348"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349"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34A"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34B"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34C"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34D"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34E"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34F" w14:textId="77777777" w:rsidR="00D7560A" w:rsidRDefault="00D7560A">
            <w:pPr>
              <w:widowControl/>
              <w:jc w:val="left"/>
              <w:rPr>
                <w:rFonts w:ascii="Times New Roman" w:eastAsia="宋体" w:hAnsi="宋体" w:cs="宋体"/>
                <w:vanish/>
                <w:kern w:val="0"/>
                <w:sz w:val="24"/>
              </w:rPr>
            </w:pPr>
          </w:p>
        </w:tc>
      </w:tr>
      <w:tr w:rsidR="00D7560A" w14:paraId="59E4A359" w14:textId="77777777">
        <w:trPr>
          <w:jc w:val="center"/>
          <w:hidden/>
        </w:trPr>
        <w:tc>
          <w:tcPr>
            <w:tcW w:w="0" w:type="auto"/>
            <w:gridSpan w:val="3"/>
            <w:tcBorders>
              <w:top w:val="nil"/>
              <w:left w:val="nil"/>
              <w:bottom w:val="nil"/>
              <w:right w:val="nil"/>
            </w:tcBorders>
            <w:shd w:val="clear" w:color="auto" w:fill="auto"/>
            <w:vAlign w:val="bottom"/>
          </w:tcPr>
          <w:p w14:paraId="59E4A351"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352"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353"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354"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355"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356"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357"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358" w14:textId="77777777" w:rsidR="00D7560A" w:rsidRDefault="00D7560A">
            <w:pPr>
              <w:widowControl/>
              <w:jc w:val="left"/>
              <w:rPr>
                <w:rFonts w:ascii="Times New Roman" w:eastAsia="宋体" w:hAnsi="宋体" w:cs="宋体"/>
                <w:vanish/>
                <w:kern w:val="0"/>
                <w:sz w:val="24"/>
              </w:rPr>
            </w:pPr>
          </w:p>
        </w:tc>
      </w:tr>
      <w:tr w:rsidR="00D7560A" w14:paraId="59E4A36A"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9E4A35A"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i/>
                <w:iCs/>
                <w:color w:val="000000"/>
                <w:kern w:val="0"/>
                <w:sz w:val="20"/>
                <w:szCs w:val="20"/>
                <w:lang w:bidi="ar"/>
              </w:rPr>
              <w:t>Balances as of July 29, 2022</w:t>
            </w: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59E4A35B"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59E4A35C"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14,846 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59E4A35D"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35E"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59E4A35F"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59E4A360"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4,232 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59E4A361"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362"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59E4A363"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59E4A364"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427 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59E4A365"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366"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59E4A367"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59E4A368"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19,505 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59E4A369" w14:textId="77777777" w:rsidR="00D7560A" w:rsidRDefault="00D7560A">
            <w:pPr>
              <w:widowControl/>
              <w:jc w:val="right"/>
              <w:rPr>
                <w:rFonts w:ascii="Times New Roman" w:eastAsia="宋体" w:hAnsi="宋体" w:cs="宋体"/>
                <w:kern w:val="0"/>
                <w:sz w:val="24"/>
              </w:rPr>
            </w:pPr>
          </w:p>
        </w:tc>
      </w:tr>
    </w:tbl>
    <w:p w14:paraId="59E4A36B" w14:textId="77777777" w:rsidR="00D7560A" w:rsidRDefault="001E3CAB">
      <w:pPr>
        <w:widowControl/>
        <w:ind w:left="360" w:hanging="360"/>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A36C" w14:textId="77777777" w:rsidR="00D7560A" w:rsidRDefault="001E3CAB">
      <w:pPr>
        <w:widowControl/>
        <w:ind w:left="360" w:hanging="360"/>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Intangible Assets</w:t>
      </w:r>
    </w:p>
    <w:p w14:paraId="59E4A36D"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A36E" w14:textId="77777777" w:rsidR="00D7560A" w:rsidRDefault="001E3CAB">
      <w:pPr>
        <w:widowControl/>
        <w:spacing w:after="12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The </w:t>
      </w:r>
      <w:r>
        <w:rPr>
          <w:rFonts w:ascii="Times New Roman" w:eastAsia="宋体" w:hAnsi="Times New Roman" w:cs="Times New Roman"/>
          <w:color w:val="000000"/>
          <w:kern w:val="0"/>
          <w:sz w:val="20"/>
          <w:szCs w:val="20"/>
          <w:lang w:bidi="ar"/>
        </w:rPr>
        <w:t>following table presents the Company’s intangible assets as of the dates indicated:</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41"/>
        <w:gridCol w:w="2295"/>
        <w:gridCol w:w="37"/>
        <w:gridCol w:w="120"/>
        <w:gridCol w:w="600"/>
        <w:gridCol w:w="36"/>
        <w:gridCol w:w="36"/>
        <w:gridCol w:w="36"/>
        <w:gridCol w:w="36"/>
        <w:gridCol w:w="121"/>
        <w:gridCol w:w="1082"/>
        <w:gridCol w:w="36"/>
        <w:gridCol w:w="36"/>
        <w:gridCol w:w="36"/>
        <w:gridCol w:w="36"/>
        <w:gridCol w:w="120"/>
        <w:gridCol w:w="560"/>
        <w:gridCol w:w="36"/>
        <w:gridCol w:w="36"/>
        <w:gridCol w:w="36"/>
        <w:gridCol w:w="36"/>
        <w:gridCol w:w="120"/>
        <w:gridCol w:w="600"/>
        <w:gridCol w:w="36"/>
        <w:gridCol w:w="36"/>
        <w:gridCol w:w="36"/>
        <w:gridCol w:w="36"/>
        <w:gridCol w:w="121"/>
        <w:gridCol w:w="1082"/>
        <w:gridCol w:w="36"/>
        <w:gridCol w:w="36"/>
        <w:gridCol w:w="36"/>
        <w:gridCol w:w="36"/>
        <w:gridCol w:w="120"/>
        <w:gridCol w:w="561"/>
        <w:gridCol w:w="36"/>
      </w:tblGrid>
      <w:tr w:rsidR="00D7560A" w14:paraId="59E4A393" w14:textId="77777777">
        <w:tc>
          <w:tcPr>
            <w:tcW w:w="50" w:type="pct"/>
            <w:tcBorders>
              <w:top w:val="nil"/>
              <w:left w:val="nil"/>
              <w:bottom w:val="nil"/>
              <w:right w:val="nil"/>
            </w:tcBorders>
            <w:shd w:val="clear" w:color="auto" w:fill="auto"/>
            <w:vAlign w:val="bottom"/>
          </w:tcPr>
          <w:p w14:paraId="59E4A36F" w14:textId="77777777" w:rsidR="00D7560A" w:rsidRDefault="00D7560A">
            <w:pPr>
              <w:widowControl/>
              <w:jc w:val="left"/>
              <w:rPr>
                <w:rFonts w:ascii="Times New Roman" w:eastAsia="宋体" w:hAnsi="宋体" w:cs="宋体"/>
                <w:kern w:val="0"/>
                <w:sz w:val="24"/>
              </w:rPr>
            </w:pPr>
          </w:p>
        </w:tc>
        <w:tc>
          <w:tcPr>
            <w:tcW w:w="1538" w:type="pct"/>
            <w:tcBorders>
              <w:top w:val="nil"/>
              <w:left w:val="nil"/>
              <w:bottom w:val="nil"/>
              <w:right w:val="nil"/>
            </w:tcBorders>
            <w:shd w:val="clear" w:color="auto" w:fill="auto"/>
            <w:vAlign w:val="bottom"/>
          </w:tcPr>
          <w:p w14:paraId="59E4A370"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A371"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A372" w14:textId="77777777" w:rsidR="00D7560A" w:rsidRDefault="00D7560A">
            <w:pPr>
              <w:widowControl/>
              <w:jc w:val="left"/>
              <w:rPr>
                <w:rFonts w:ascii="Times New Roman" w:eastAsia="宋体" w:hAnsi="宋体" w:cs="宋体"/>
                <w:kern w:val="0"/>
                <w:sz w:val="24"/>
              </w:rPr>
            </w:pPr>
          </w:p>
        </w:tc>
        <w:tc>
          <w:tcPr>
            <w:tcW w:w="441" w:type="pct"/>
            <w:tcBorders>
              <w:top w:val="nil"/>
              <w:left w:val="nil"/>
              <w:bottom w:val="nil"/>
              <w:right w:val="nil"/>
            </w:tcBorders>
            <w:shd w:val="clear" w:color="auto" w:fill="auto"/>
            <w:vAlign w:val="bottom"/>
          </w:tcPr>
          <w:p w14:paraId="59E4A373"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A374"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A375" w14:textId="77777777" w:rsidR="00D7560A" w:rsidRDefault="00D7560A">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59E4A376"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A377"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A378" w14:textId="77777777" w:rsidR="00D7560A" w:rsidRDefault="00D7560A">
            <w:pPr>
              <w:widowControl/>
              <w:jc w:val="left"/>
              <w:rPr>
                <w:rFonts w:ascii="Times New Roman" w:eastAsia="宋体" w:hAnsi="宋体" w:cs="宋体"/>
                <w:kern w:val="0"/>
                <w:sz w:val="24"/>
              </w:rPr>
            </w:pPr>
          </w:p>
        </w:tc>
        <w:tc>
          <w:tcPr>
            <w:tcW w:w="580" w:type="pct"/>
            <w:tcBorders>
              <w:top w:val="nil"/>
              <w:left w:val="nil"/>
              <w:bottom w:val="nil"/>
              <w:right w:val="nil"/>
            </w:tcBorders>
            <w:shd w:val="clear" w:color="auto" w:fill="auto"/>
            <w:vAlign w:val="bottom"/>
          </w:tcPr>
          <w:p w14:paraId="59E4A379"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A37A"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A37B" w14:textId="77777777" w:rsidR="00D7560A" w:rsidRDefault="00D7560A">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59E4A37C"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A37D"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A37E" w14:textId="77777777" w:rsidR="00D7560A" w:rsidRDefault="00D7560A">
            <w:pPr>
              <w:widowControl/>
              <w:jc w:val="left"/>
              <w:rPr>
                <w:rFonts w:ascii="Times New Roman" w:eastAsia="宋体" w:hAnsi="宋体" w:cs="宋体"/>
                <w:kern w:val="0"/>
                <w:sz w:val="24"/>
              </w:rPr>
            </w:pPr>
          </w:p>
        </w:tc>
        <w:tc>
          <w:tcPr>
            <w:tcW w:w="441" w:type="pct"/>
            <w:tcBorders>
              <w:top w:val="nil"/>
              <w:left w:val="nil"/>
              <w:bottom w:val="nil"/>
              <w:right w:val="nil"/>
            </w:tcBorders>
            <w:shd w:val="clear" w:color="auto" w:fill="auto"/>
            <w:vAlign w:val="bottom"/>
          </w:tcPr>
          <w:p w14:paraId="59E4A37F"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A380"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A381" w14:textId="77777777" w:rsidR="00D7560A" w:rsidRDefault="00D7560A">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59E4A382"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A383"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A384" w14:textId="77777777" w:rsidR="00D7560A" w:rsidRDefault="00D7560A">
            <w:pPr>
              <w:widowControl/>
              <w:jc w:val="left"/>
              <w:rPr>
                <w:rFonts w:ascii="Times New Roman" w:eastAsia="宋体" w:hAnsi="宋体" w:cs="宋体"/>
                <w:kern w:val="0"/>
                <w:sz w:val="24"/>
              </w:rPr>
            </w:pPr>
          </w:p>
        </w:tc>
        <w:tc>
          <w:tcPr>
            <w:tcW w:w="441" w:type="pct"/>
            <w:tcBorders>
              <w:top w:val="nil"/>
              <w:left w:val="nil"/>
              <w:bottom w:val="nil"/>
              <w:right w:val="nil"/>
            </w:tcBorders>
            <w:shd w:val="clear" w:color="auto" w:fill="auto"/>
            <w:vAlign w:val="bottom"/>
          </w:tcPr>
          <w:p w14:paraId="59E4A385"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A386"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A387" w14:textId="77777777" w:rsidR="00D7560A" w:rsidRDefault="00D7560A">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59E4A388"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A389"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A38A" w14:textId="77777777" w:rsidR="00D7560A" w:rsidRDefault="00D7560A">
            <w:pPr>
              <w:widowControl/>
              <w:jc w:val="left"/>
              <w:rPr>
                <w:rFonts w:ascii="Times New Roman" w:eastAsia="宋体" w:hAnsi="宋体" w:cs="宋体"/>
                <w:kern w:val="0"/>
                <w:sz w:val="24"/>
              </w:rPr>
            </w:pPr>
          </w:p>
        </w:tc>
        <w:tc>
          <w:tcPr>
            <w:tcW w:w="580" w:type="pct"/>
            <w:tcBorders>
              <w:top w:val="nil"/>
              <w:left w:val="nil"/>
              <w:bottom w:val="nil"/>
              <w:right w:val="nil"/>
            </w:tcBorders>
            <w:shd w:val="clear" w:color="auto" w:fill="auto"/>
            <w:vAlign w:val="bottom"/>
          </w:tcPr>
          <w:p w14:paraId="59E4A38B"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A38C"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A38D" w14:textId="77777777" w:rsidR="00D7560A" w:rsidRDefault="00D7560A">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59E4A38E"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A38F"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A390" w14:textId="77777777" w:rsidR="00D7560A" w:rsidRDefault="00D7560A">
            <w:pPr>
              <w:widowControl/>
              <w:jc w:val="left"/>
              <w:rPr>
                <w:rFonts w:ascii="Times New Roman" w:eastAsia="宋体" w:hAnsi="宋体" w:cs="宋体"/>
                <w:kern w:val="0"/>
                <w:sz w:val="24"/>
              </w:rPr>
            </w:pPr>
          </w:p>
        </w:tc>
        <w:tc>
          <w:tcPr>
            <w:tcW w:w="441" w:type="pct"/>
            <w:tcBorders>
              <w:top w:val="nil"/>
              <w:left w:val="nil"/>
              <w:bottom w:val="nil"/>
              <w:right w:val="nil"/>
            </w:tcBorders>
            <w:shd w:val="clear" w:color="auto" w:fill="auto"/>
            <w:vAlign w:val="bottom"/>
          </w:tcPr>
          <w:p w14:paraId="59E4A391"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A392" w14:textId="77777777" w:rsidR="00D7560A" w:rsidRDefault="00D7560A">
            <w:pPr>
              <w:widowControl/>
              <w:jc w:val="left"/>
              <w:rPr>
                <w:rFonts w:ascii="Times New Roman" w:eastAsia="宋体" w:hAnsi="宋体" w:cs="宋体"/>
                <w:kern w:val="0"/>
                <w:sz w:val="24"/>
              </w:rPr>
            </w:pPr>
          </w:p>
        </w:tc>
      </w:tr>
      <w:tr w:rsidR="00D7560A" w14:paraId="59E4A398"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9E4A394"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gridSpan w:val="15"/>
            <w:tcBorders>
              <w:top w:val="nil"/>
              <w:left w:val="nil"/>
              <w:bottom w:val="nil"/>
              <w:right w:val="nil"/>
            </w:tcBorders>
            <w:shd w:val="clear" w:color="auto" w:fill="auto"/>
            <w:tcMar>
              <w:top w:w="40" w:type="dxa"/>
              <w:left w:w="20" w:type="dxa"/>
              <w:bottom w:w="40" w:type="dxa"/>
              <w:right w:w="20" w:type="dxa"/>
            </w:tcMar>
            <w:vAlign w:val="bottom"/>
          </w:tcPr>
          <w:p w14:paraId="59E4A395"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29, 2022</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A396" w14:textId="77777777" w:rsidR="00D7560A" w:rsidRDefault="00D7560A">
            <w:pPr>
              <w:widowControl/>
              <w:jc w:val="left"/>
              <w:rPr>
                <w:rFonts w:ascii="Times New Roman" w:eastAsia="宋体" w:hAnsi="宋体" w:cs="宋体"/>
                <w:kern w:val="0"/>
                <w:sz w:val="24"/>
              </w:rPr>
            </w:pPr>
          </w:p>
        </w:tc>
        <w:tc>
          <w:tcPr>
            <w:tcW w:w="0" w:type="auto"/>
            <w:gridSpan w:val="15"/>
            <w:tcBorders>
              <w:top w:val="nil"/>
              <w:left w:val="nil"/>
              <w:bottom w:val="nil"/>
              <w:right w:val="nil"/>
            </w:tcBorders>
            <w:shd w:val="clear" w:color="auto" w:fill="auto"/>
            <w:tcMar>
              <w:top w:w="40" w:type="dxa"/>
              <w:left w:w="20" w:type="dxa"/>
              <w:bottom w:w="40" w:type="dxa"/>
              <w:right w:w="20" w:type="dxa"/>
            </w:tcMar>
            <w:vAlign w:val="bottom"/>
          </w:tcPr>
          <w:p w14:paraId="59E4A397"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January 28, 2022</w:t>
            </w:r>
          </w:p>
        </w:tc>
      </w:tr>
      <w:tr w:rsidR="00D7560A" w14:paraId="59E4A3A5"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9E4A399"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59E4A39A"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Gross</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59E4A39B"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59E4A39C"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Accumulated</w:t>
            </w:r>
            <w:r>
              <w:rPr>
                <w:rFonts w:ascii="Times New Roman" w:eastAsia="宋体" w:hAnsi="Times New Roman" w:cs="Times New Roman"/>
                <w:b/>
                <w:bCs/>
                <w:color w:val="000000"/>
                <w:kern w:val="0"/>
                <w:sz w:val="20"/>
                <w:szCs w:val="20"/>
                <w:lang w:bidi="ar"/>
              </w:rPr>
              <w:br/>
              <w:t>Amortization</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59E4A39D"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59E4A39E"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Net</w:t>
            </w: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59E4A39F"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59E4A3A0"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Gross</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59E4A3A1"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59E4A3A2"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Accumulated</w:t>
            </w:r>
            <w:r>
              <w:rPr>
                <w:rFonts w:ascii="Times New Roman" w:eastAsia="宋体" w:hAnsi="Times New Roman" w:cs="Times New Roman"/>
                <w:b/>
                <w:bCs/>
                <w:color w:val="000000"/>
                <w:kern w:val="0"/>
                <w:sz w:val="20"/>
                <w:szCs w:val="20"/>
                <w:lang w:bidi="ar"/>
              </w:rPr>
              <w:br/>
              <w:t>Amortization</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59E4A3A3"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59E4A3A4"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Net</w:t>
            </w:r>
          </w:p>
        </w:tc>
      </w:tr>
      <w:tr w:rsidR="00D7560A" w14:paraId="59E4A3A8"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9E4A3A6"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gridSpan w:val="3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59E4A3A7"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(in millions)</w:t>
            </w:r>
          </w:p>
        </w:tc>
      </w:tr>
      <w:tr w:rsidR="00D7560A" w14:paraId="59E4A3C1"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9E4A3A9"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Customer relationships</w:t>
            </w: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9E4A3AA"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9E4A3AB"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16,956 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A3AC"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3AD"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9E4A3AE"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9E4A3AF"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(14,205)</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A3B0"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3B1"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9E4A3B2"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9E4A3B3"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2,751 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A3B4"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3B5"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9E4A3B6"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9E4A3B7"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16,956 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A3B8"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3B9"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9E4A3BA"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9E4A3BB"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(13,938)</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A3BC"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3BD"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9E4A3BE"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9E4A3BF"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3,018 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A3C0" w14:textId="77777777" w:rsidR="00D7560A" w:rsidRDefault="00D7560A">
            <w:pPr>
              <w:widowControl/>
              <w:jc w:val="right"/>
              <w:rPr>
                <w:rFonts w:ascii="Times New Roman" w:eastAsia="宋体" w:hAnsi="宋体" w:cs="宋体"/>
                <w:kern w:val="0"/>
                <w:sz w:val="24"/>
              </w:rPr>
            </w:pPr>
          </w:p>
        </w:tc>
      </w:tr>
      <w:tr w:rsidR="00D7560A" w14:paraId="59E4A3D4"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59E4A3C2"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De</w:t>
            </w:r>
            <w:r>
              <w:rPr>
                <w:rFonts w:ascii="Times New Roman" w:eastAsia="宋体" w:hAnsi="Times New Roman" w:cs="Times New Roman"/>
                <w:color w:val="000000"/>
                <w:kern w:val="0"/>
                <w:sz w:val="20"/>
                <w:szCs w:val="20"/>
                <w:lang w:bidi="ar"/>
              </w:rPr>
              <w:t>veloped technology</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A3C3"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9,633 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A3C4"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3C5"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A3C6"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(8,609)</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A3C7"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3C8"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A3C9"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1,024 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A3CA"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3CB"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A3CC"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9,635 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A3CD"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3CE"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A3CF"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(8,405)</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A3D0"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3D1"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A3D2"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1,230 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A3D3" w14:textId="77777777" w:rsidR="00D7560A" w:rsidRDefault="00D7560A">
            <w:pPr>
              <w:widowControl/>
              <w:jc w:val="right"/>
              <w:rPr>
                <w:rFonts w:ascii="Times New Roman" w:eastAsia="宋体" w:hAnsi="宋体" w:cs="宋体"/>
                <w:kern w:val="0"/>
                <w:sz w:val="24"/>
              </w:rPr>
            </w:pPr>
          </w:p>
        </w:tc>
      </w:tr>
      <w:tr w:rsidR="00D7560A" w14:paraId="59E4A3E7"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9E4A3D5"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Trade names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A3D6"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885 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A3D7"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3D8"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A3D9"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(773)</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A3DA"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3DB"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A3DC"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112 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A3DD"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3DE"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A3DF"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885 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A3E0"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3E1"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A3E2"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(757)</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A3E3"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3E4"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A3E5"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128 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A3E6" w14:textId="77777777" w:rsidR="00D7560A" w:rsidRDefault="00D7560A">
            <w:pPr>
              <w:widowControl/>
              <w:jc w:val="right"/>
              <w:rPr>
                <w:rFonts w:ascii="Times New Roman" w:eastAsia="宋体" w:hAnsi="宋体" w:cs="宋体"/>
                <w:kern w:val="0"/>
                <w:sz w:val="24"/>
              </w:rPr>
            </w:pPr>
          </w:p>
        </w:tc>
      </w:tr>
      <w:tr w:rsidR="00D7560A" w14:paraId="59E4A3F4" w14:textId="77777777">
        <w:trPr>
          <w:hidden/>
        </w:trPr>
        <w:tc>
          <w:tcPr>
            <w:tcW w:w="0" w:type="auto"/>
            <w:gridSpan w:val="3"/>
            <w:tcBorders>
              <w:top w:val="nil"/>
              <w:left w:val="nil"/>
              <w:bottom w:val="nil"/>
              <w:right w:val="nil"/>
            </w:tcBorders>
            <w:shd w:val="clear" w:color="auto" w:fill="auto"/>
            <w:vAlign w:val="bottom"/>
          </w:tcPr>
          <w:p w14:paraId="59E4A3E8"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3E9"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3EA"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3EB"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3EC"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3ED"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3EE"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3EF"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3F0"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3F1"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3F2"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3F3" w14:textId="77777777" w:rsidR="00D7560A" w:rsidRDefault="00D7560A">
            <w:pPr>
              <w:widowControl/>
              <w:jc w:val="left"/>
              <w:rPr>
                <w:rFonts w:ascii="Times New Roman" w:eastAsia="宋体" w:hAnsi="宋体" w:cs="宋体"/>
                <w:vanish/>
                <w:kern w:val="0"/>
                <w:sz w:val="24"/>
              </w:rPr>
            </w:pPr>
          </w:p>
        </w:tc>
      </w:tr>
      <w:tr w:rsidR="00D7560A" w14:paraId="59E4A407" w14:textId="77777777">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59E4A3F5"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Definite-lived intangible assets</w:t>
            </w:r>
          </w:p>
        </w:tc>
        <w:tc>
          <w:tcPr>
            <w:tcW w:w="0" w:type="auto"/>
            <w:gridSpan w:val="2"/>
            <w:tcBorders>
              <w:top w:val="single" w:sz="4" w:space="0" w:color="000000"/>
              <w:left w:val="nil"/>
              <w:bottom w:val="nil"/>
              <w:right w:val="nil"/>
            </w:tcBorders>
            <w:shd w:val="clear" w:color="auto" w:fill="FFFFFF"/>
            <w:tcMar>
              <w:top w:w="40" w:type="dxa"/>
              <w:left w:w="20" w:type="dxa"/>
              <w:bottom w:w="40" w:type="dxa"/>
              <w:right w:w="0" w:type="dxa"/>
            </w:tcMar>
            <w:vAlign w:val="bottom"/>
          </w:tcPr>
          <w:p w14:paraId="59E4A3F6"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27,474 </w:t>
            </w:r>
          </w:p>
        </w:tc>
        <w:tc>
          <w:tcPr>
            <w:tcW w:w="0" w:type="auto"/>
            <w:tcBorders>
              <w:top w:val="single" w:sz="4" w:space="0" w:color="000000"/>
              <w:left w:val="nil"/>
              <w:bottom w:val="nil"/>
              <w:right w:val="nil"/>
            </w:tcBorders>
            <w:shd w:val="clear" w:color="auto" w:fill="FFFFFF"/>
            <w:tcMar>
              <w:top w:w="40" w:type="dxa"/>
              <w:left w:w="0" w:type="dxa"/>
              <w:bottom w:w="40" w:type="dxa"/>
              <w:right w:w="20" w:type="dxa"/>
            </w:tcMar>
            <w:vAlign w:val="bottom"/>
          </w:tcPr>
          <w:p w14:paraId="59E4A3F7"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3F8" w14:textId="77777777" w:rsidR="00D7560A" w:rsidRDefault="00D7560A">
            <w:pPr>
              <w:widowControl/>
              <w:jc w:val="left"/>
              <w:rPr>
                <w:rFonts w:ascii="Times New Roman" w:eastAsia="宋体" w:hAnsi="宋体" w:cs="宋体"/>
                <w:kern w:val="0"/>
                <w:sz w:val="24"/>
              </w:rPr>
            </w:pPr>
          </w:p>
        </w:tc>
        <w:tc>
          <w:tcPr>
            <w:tcW w:w="0" w:type="auto"/>
            <w:gridSpan w:val="2"/>
            <w:tcBorders>
              <w:top w:val="single" w:sz="4" w:space="0" w:color="000000"/>
              <w:left w:val="nil"/>
              <w:bottom w:val="nil"/>
              <w:right w:val="nil"/>
            </w:tcBorders>
            <w:shd w:val="clear" w:color="auto" w:fill="FFFFFF"/>
            <w:tcMar>
              <w:top w:w="40" w:type="dxa"/>
              <w:left w:w="20" w:type="dxa"/>
              <w:bottom w:w="40" w:type="dxa"/>
              <w:right w:w="0" w:type="dxa"/>
            </w:tcMar>
            <w:vAlign w:val="bottom"/>
          </w:tcPr>
          <w:p w14:paraId="59E4A3F9"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(23,587)</w:t>
            </w:r>
          </w:p>
        </w:tc>
        <w:tc>
          <w:tcPr>
            <w:tcW w:w="0" w:type="auto"/>
            <w:tcBorders>
              <w:top w:val="single" w:sz="4" w:space="0" w:color="000000"/>
              <w:left w:val="nil"/>
              <w:bottom w:val="nil"/>
              <w:right w:val="nil"/>
            </w:tcBorders>
            <w:shd w:val="clear" w:color="auto" w:fill="FFFFFF"/>
            <w:tcMar>
              <w:top w:w="40" w:type="dxa"/>
              <w:left w:w="0" w:type="dxa"/>
              <w:bottom w:w="40" w:type="dxa"/>
              <w:right w:w="20" w:type="dxa"/>
            </w:tcMar>
            <w:vAlign w:val="bottom"/>
          </w:tcPr>
          <w:p w14:paraId="59E4A3FA"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3FB" w14:textId="77777777" w:rsidR="00D7560A" w:rsidRDefault="00D7560A">
            <w:pPr>
              <w:widowControl/>
              <w:jc w:val="left"/>
              <w:rPr>
                <w:rFonts w:ascii="Times New Roman" w:eastAsia="宋体" w:hAnsi="宋体" w:cs="宋体"/>
                <w:kern w:val="0"/>
                <w:sz w:val="24"/>
              </w:rPr>
            </w:pPr>
          </w:p>
        </w:tc>
        <w:tc>
          <w:tcPr>
            <w:tcW w:w="0" w:type="auto"/>
            <w:gridSpan w:val="2"/>
            <w:tcBorders>
              <w:top w:val="single" w:sz="4" w:space="0" w:color="000000"/>
              <w:left w:val="nil"/>
              <w:bottom w:val="nil"/>
              <w:right w:val="nil"/>
            </w:tcBorders>
            <w:shd w:val="clear" w:color="auto" w:fill="FFFFFF"/>
            <w:tcMar>
              <w:top w:w="40" w:type="dxa"/>
              <w:left w:w="20" w:type="dxa"/>
              <w:bottom w:w="40" w:type="dxa"/>
              <w:right w:w="0" w:type="dxa"/>
            </w:tcMar>
            <w:vAlign w:val="bottom"/>
          </w:tcPr>
          <w:p w14:paraId="59E4A3FC"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3,887 </w:t>
            </w:r>
          </w:p>
        </w:tc>
        <w:tc>
          <w:tcPr>
            <w:tcW w:w="0" w:type="auto"/>
            <w:tcBorders>
              <w:top w:val="single" w:sz="4" w:space="0" w:color="000000"/>
              <w:left w:val="nil"/>
              <w:bottom w:val="nil"/>
              <w:right w:val="nil"/>
            </w:tcBorders>
            <w:shd w:val="clear" w:color="auto" w:fill="FFFFFF"/>
            <w:tcMar>
              <w:top w:w="40" w:type="dxa"/>
              <w:left w:w="0" w:type="dxa"/>
              <w:bottom w:w="40" w:type="dxa"/>
              <w:right w:w="20" w:type="dxa"/>
            </w:tcMar>
            <w:vAlign w:val="bottom"/>
          </w:tcPr>
          <w:p w14:paraId="59E4A3FD"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3FE" w14:textId="77777777" w:rsidR="00D7560A" w:rsidRDefault="00D7560A">
            <w:pPr>
              <w:widowControl/>
              <w:jc w:val="left"/>
              <w:rPr>
                <w:rFonts w:ascii="Times New Roman" w:eastAsia="宋体" w:hAnsi="宋体" w:cs="宋体"/>
                <w:kern w:val="0"/>
                <w:sz w:val="24"/>
              </w:rPr>
            </w:pPr>
          </w:p>
        </w:tc>
        <w:tc>
          <w:tcPr>
            <w:tcW w:w="0" w:type="auto"/>
            <w:gridSpan w:val="2"/>
            <w:tcBorders>
              <w:top w:val="single" w:sz="4" w:space="0" w:color="000000"/>
              <w:left w:val="nil"/>
              <w:bottom w:val="nil"/>
              <w:right w:val="nil"/>
            </w:tcBorders>
            <w:shd w:val="clear" w:color="auto" w:fill="FFFFFF"/>
            <w:tcMar>
              <w:top w:w="40" w:type="dxa"/>
              <w:left w:w="20" w:type="dxa"/>
              <w:bottom w:w="40" w:type="dxa"/>
              <w:right w:w="0" w:type="dxa"/>
            </w:tcMar>
            <w:vAlign w:val="bottom"/>
          </w:tcPr>
          <w:p w14:paraId="59E4A3FF"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27,476 </w:t>
            </w:r>
          </w:p>
        </w:tc>
        <w:tc>
          <w:tcPr>
            <w:tcW w:w="0" w:type="auto"/>
            <w:tcBorders>
              <w:top w:val="single" w:sz="4" w:space="0" w:color="000000"/>
              <w:left w:val="nil"/>
              <w:bottom w:val="nil"/>
              <w:right w:val="nil"/>
            </w:tcBorders>
            <w:shd w:val="clear" w:color="auto" w:fill="FFFFFF"/>
            <w:tcMar>
              <w:top w:w="40" w:type="dxa"/>
              <w:left w:w="0" w:type="dxa"/>
              <w:bottom w:w="40" w:type="dxa"/>
              <w:right w:w="20" w:type="dxa"/>
            </w:tcMar>
            <w:vAlign w:val="bottom"/>
          </w:tcPr>
          <w:p w14:paraId="59E4A400"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401" w14:textId="77777777" w:rsidR="00D7560A" w:rsidRDefault="00D7560A">
            <w:pPr>
              <w:widowControl/>
              <w:jc w:val="left"/>
              <w:rPr>
                <w:rFonts w:ascii="Times New Roman" w:eastAsia="宋体" w:hAnsi="宋体" w:cs="宋体"/>
                <w:kern w:val="0"/>
                <w:sz w:val="24"/>
              </w:rPr>
            </w:pPr>
          </w:p>
        </w:tc>
        <w:tc>
          <w:tcPr>
            <w:tcW w:w="0" w:type="auto"/>
            <w:gridSpan w:val="2"/>
            <w:tcBorders>
              <w:top w:val="single" w:sz="4" w:space="0" w:color="000000"/>
              <w:left w:val="nil"/>
              <w:bottom w:val="nil"/>
              <w:right w:val="nil"/>
            </w:tcBorders>
            <w:shd w:val="clear" w:color="auto" w:fill="FFFFFF"/>
            <w:tcMar>
              <w:top w:w="40" w:type="dxa"/>
              <w:left w:w="20" w:type="dxa"/>
              <w:bottom w:w="40" w:type="dxa"/>
              <w:right w:w="0" w:type="dxa"/>
            </w:tcMar>
            <w:vAlign w:val="bottom"/>
          </w:tcPr>
          <w:p w14:paraId="59E4A402"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(23,100)</w:t>
            </w:r>
          </w:p>
        </w:tc>
        <w:tc>
          <w:tcPr>
            <w:tcW w:w="0" w:type="auto"/>
            <w:tcBorders>
              <w:top w:val="single" w:sz="4" w:space="0" w:color="000000"/>
              <w:left w:val="nil"/>
              <w:bottom w:val="nil"/>
              <w:right w:val="nil"/>
            </w:tcBorders>
            <w:shd w:val="clear" w:color="auto" w:fill="FFFFFF"/>
            <w:tcMar>
              <w:top w:w="40" w:type="dxa"/>
              <w:left w:w="0" w:type="dxa"/>
              <w:bottom w:w="40" w:type="dxa"/>
              <w:right w:w="20" w:type="dxa"/>
            </w:tcMar>
            <w:vAlign w:val="bottom"/>
          </w:tcPr>
          <w:p w14:paraId="59E4A403"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404" w14:textId="77777777" w:rsidR="00D7560A" w:rsidRDefault="00D7560A">
            <w:pPr>
              <w:widowControl/>
              <w:jc w:val="left"/>
              <w:rPr>
                <w:rFonts w:ascii="Times New Roman" w:eastAsia="宋体" w:hAnsi="宋体" w:cs="宋体"/>
                <w:kern w:val="0"/>
                <w:sz w:val="24"/>
              </w:rPr>
            </w:pPr>
          </w:p>
        </w:tc>
        <w:tc>
          <w:tcPr>
            <w:tcW w:w="0" w:type="auto"/>
            <w:gridSpan w:val="2"/>
            <w:tcBorders>
              <w:top w:val="single" w:sz="4" w:space="0" w:color="000000"/>
              <w:left w:val="nil"/>
              <w:bottom w:val="nil"/>
              <w:right w:val="nil"/>
            </w:tcBorders>
            <w:shd w:val="clear" w:color="auto" w:fill="FFFFFF"/>
            <w:tcMar>
              <w:top w:w="40" w:type="dxa"/>
              <w:left w:w="20" w:type="dxa"/>
              <w:bottom w:w="40" w:type="dxa"/>
              <w:right w:w="0" w:type="dxa"/>
            </w:tcMar>
            <w:vAlign w:val="bottom"/>
          </w:tcPr>
          <w:p w14:paraId="59E4A405"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4,376 </w:t>
            </w:r>
          </w:p>
        </w:tc>
        <w:tc>
          <w:tcPr>
            <w:tcW w:w="0" w:type="auto"/>
            <w:tcBorders>
              <w:top w:val="single" w:sz="4" w:space="0" w:color="000000"/>
              <w:left w:val="nil"/>
              <w:bottom w:val="nil"/>
              <w:right w:val="nil"/>
            </w:tcBorders>
            <w:shd w:val="clear" w:color="auto" w:fill="FFFFFF"/>
            <w:tcMar>
              <w:top w:w="40" w:type="dxa"/>
              <w:left w:w="0" w:type="dxa"/>
              <w:bottom w:w="40" w:type="dxa"/>
              <w:right w:w="20" w:type="dxa"/>
            </w:tcMar>
            <w:vAlign w:val="bottom"/>
          </w:tcPr>
          <w:p w14:paraId="59E4A406" w14:textId="77777777" w:rsidR="00D7560A" w:rsidRDefault="00D7560A">
            <w:pPr>
              <w:widowControl/>
              <w:jc w:val="right"/>
              <w:rPr>
                <w:rFonts w:ascii="Times New Roman" w:eastAsia="宋体" w:hAnsi="宋体" w:cs="宋体"/>
                <w:kern w:val="0"/>
                <w:sz w:val="24"/>
              </w:rPr>
            </w:pPr>
          </w:p>
        </w:tc>
      </w:tr>
      <w:tr w:rsidR="00D7560A" w14:paraId="59E4A41A"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9E4A408"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Indefinite-lived trade names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A409"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3,085 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A40A"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40B"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A40C"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A40D"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40E"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A40F"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3,085 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A410"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411"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A412"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3,085 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A413"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414"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A415"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A416"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417"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A418"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3,085 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A419" w14:textId="77777777" w:rsidR="00D7560A" w:rsidRDefault="00D7560A">
            <w:pPr>
              <w:widowControl/>
              <w:jc w:val="right"/>
              <w:rPr>
                <w:rFonts w:ascii="Times New Roman" w:eastAsia="宋体" w:hAnsi="宋体" w:cs="宋体"/>
                <w:kern w:val="0"/>
                <w:sz w:val="24"/>
              </w:rPr>
            </w:pPr>
          </w:p>
        </w:tc>
      </w:tr>
      <w:tr w:rsidR="00D7560A" w14:paraId="59E4A433" w14:textId="77777777">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59E4A41B"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Total intangible assets</w:t>
            </w: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59E4A41C"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59E4A41D"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30,559 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59E4A41E"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41F"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59E4A420"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59E4A421"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(23,587)</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59E4A422"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423"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59E4A424"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59E4A425"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6,972 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59E4A426"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427"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59E4A428"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59E4A429"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30,561 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59E4A42A"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42B"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59E4A42C"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59E4A42D"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(23,100)</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59E4A42E"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42F"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59E4A430"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59E4A431"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7,461 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59E4A432" w14:textId="77777777" w:rsidR="00D7560A" w:rsidRDefault="00D7560A">
            <w:pPr>
              <w:widowControl/>
              <w:jc w:val="right"/>
              <w:rPr>
                <w:rFonts w:ascii="Times New Roman" w:eastAsia="宋体" w:hAnsi="宋体" w:cs="宋体"/>
                <w:kern w:val="0"/>
                <w:sz w:val="24"/>
              </w:rPr>
            </w:pPr>
          </w:p>
        </w:tc>
      </w:tr>
    </w:tbl>
    <w:p w14:paraId="59E4A434"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A435"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Amortization expense related to </w:t>
      </w:r>
      <w:r>
        <w:rPr>
          <w:rFonts w:ascii="Times New Roman" w:eastAsia="宋体" w:hAnsi="Times New Roman" w:cs="Times New Roman"/>
          <w:color w:val="000000"/>
          <w:kern w:val="0"/>
          <w:sz w:val="20"/>
          <w:szCs w:val="20"/>
          <w:lang w:bidi="ar"/>
        </w:rPr>
        <w:t>definite-lived intangible assets was $244 million and $442 million for the three months ended July 29, 2022 and July 30, 2021, respectively, and $487 million and $887 million for the six months ended July 29, 2022 and July 30, 2021, respectively. There wer</w:t>
      </w:r>
      <w:r>
        <w:rPr>
          <w:rFonts w:ascii="Times New Roman" w:eastAsia="宋体" w:hAnsi="Times New Roman" w:cs="Times New Roman"/>
          <w:color w:val="000000"/>
          <w:kern w:val="0"/>
          <w:sz w:val="20"/>
          <w:szCs w:val="20"/>
          <w:lang w:bidi="ar"/>
        </w:rPr>
        <w:t>e no material impairment charges related to intangible assets during the three or six months ended July 29, 2022 and July 30, 2021.</w:t>
      </w:r>
    </w:p>
    <w:p w14:paraId="59E4A436"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A437"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A438"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38</w:t>
      </w:r>
    </w:p>
    <w:p w14:paraId="59E4A439"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A43A" w14:textId="77777777" w:rsidR="00D7560A" w:rsidRDefault="001E3CAB">
      <w:pPr>
        <w:widowControl/>
        <w:jc w:val="center"/>
      </w:pPr>
      <w:r>
        <w:rPr>
          <w:rFonts w:ascii="宋体" w:eastAsia="宋体" w:hAnsi="宋体" w:cs="宋体"/>
          <w:kern w:val="0"/>
          <w:sz w:val="24"/>
        </w:rPr>
        <w:pict w14:anchorId="59E4C7F1">
          <v:rect id="_x0000_i1062" style="width:6in;height:1.5pt" o:hralign="center" o:hrstd="t" o:hr="t" fillcolor="#a0a0a0" stroked="f"/>
        </w:pict>
      </w:r>
    </w:p>
    <w:p w14:paraId="59E4A43B" w14:textId="77777777" w:rsidR="00D7560A" w:rsidRDefault="001E3CAB">
      <w:pPr>
        <w:widowControl/>
        <w:jc w:val="left"/>
        <w:rPr>
          <w:rFonts w:ascii="宋体" w:eastAsia="宋体" w:hAnsi="宋体" w:cs="宋体"/>
          <w:kern w:val="0"/>
          <w:sz w:val="24"/>
        </w:rPr>
      </w:pPr>
      <w:hyperlink w:anchor="if933dd1d5d004d2495dd7029e3ecad00_13" w:history="1">
        <w:r>
          <w:rPr>
            <w:rStyle w:val="a4"/>
            <w:rFonts w:ascii="Times New Roman" w:eastAsia="宋体" w:hAnsi="Times New Roman" w:cs="Times New Roman"/>
            <w:sz w:val="20"/>
            <w:szCs w:val="20"/>
          </w:rPr>
          <w:t>Table of Contents</w:t>
        </w:r>
      </w:hyperlink>
    </w:p>
    <w:p w14:paraId="59E4A43C"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DELL TECHNOLOGIES INC.</w:t>
      </w:r>
    </w:p>
    <w:p w14:paraId="59E4A43D"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 xml:space="preserve">NOTES TO </w:t>
      </w:r>
      <w:r>
        <w:rPr>
          <w:rFonts w:ascii="Times New Roman" w:eastAsia="宋体" w:hAnsi="Times New Roman" w:cs="Times New Roman"/>
          <w:b/>
          <w:bCs/>
          <w:color w:val="000000"/>
          <w:kern w:val="0"/>
          <w:sz w:val="20"/>
          <w:szCs w:val="20"/>
          <w:lang w:bidi="ar"/>
        </w:rPr>
        <w:t>THE CONDENSED CONSOLIDATED FINANCIAL STATEMENTS (Continued)</w:t>
      </w:r>
    </w:p>
    <w:p w14:paraId="59E4A43E"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(unaudited)</w:t>
      </w:r>
    </w:p>
    <w:p w14:paraId="59E4A43F"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A440" w14:textId="77777777" w:rsidR="00D7560A" w:rsidRDefault="001E3CAB">
      <w:pPr>
        <w:widowControl/>
        <w:spacing w:after="12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The following table presents the estimated future annual pre-tax amortization expense of definite-lived intangible assets as of the date indicated: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51"/>
        <w:gridCol w:w="6593"/>
        <w:gridCol w:w="36"/>
        <w:gridCol w:w="121"/>
        <w:gridCol w:w="1498"/>
        <w:gridCol w:w="37"/>
      </w:tblGrid>
      <w:tr w:rsidR="00D7560A" w14:paraId="59E4A447" w14:textId="77777777">
        <w:trPr>
          <w:jc w:val="center"/>
        </w:trPr>
        <w:tc>
          <w:tcPr>
            <w:tcW w:w="50" w:type="pct"/>
            <w:tcBorders>
              <w:top w:val="nil"/>
              <w:left w:val="nil"/>
              <w:bottom w:val="nil"/>
              <w:right w:val="nil"/>
            </w:tcBorders>
            <w:shd w:val="clear" w:color="auto" w:fill="auto"/>
            <w:vAlign w:val="bottom"/>
          </w:tcPr>
          <w:p w14:paraId="59E4A441" w14:textId="77777777" w:rsidR="00D7560A" w:rsidRDefault="00D7560A">
            <w:pPr>
              <w:widowControl/>
              <w:jc w:val="left"/>
              <w:rPr>
                <w:rFonts w:ascii="Times New Roman" w:eastAsia="宋体" w:hAnsi="宋体" w:cs="宋体"/>
                <w:kern w:val="0"/>
                <w:sz w:val="24"/>
              </w:rPr>
            </w:pPr>
          </w:p>
        </w:tc>
        <w:tc>
          <w:tcPr>
            <w:tcW w:w="3972" w:type="pct"/>
            <w:tcBorders>
              <w:top w:val="nil"/>
              <w:left w:val="nil"/>
              <w:bottom w:val="nil"/>
              <w:right w:val="nil"/>
            </w:tcBorders>
            <w:shd w:val="clear" w:color="auto" w:fill="auto"/>
            <w:vAlign w:val="bottom"/>
          </w:tcPr>
          <w:p w14:paraId="59E4A442"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A443"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A444" w14:textId="77777777" w:rsidR="00D7560A" w:rsidRDefault="00D7560A">
            <w:pPr>
              <w:widowControl/>
              <w:jc w:val="left"/>
              <w:rPr>
                <w:rFonts w:ascii="Times New Roman" w:eastAsia="宋体" w:hAnsi="宋体" w:cs="宋体"/>
                <w:kern w:val="0"/>
                <w:sz w:val="24"/>
              </w:rPr>
            </w:pPr>
          </w:p>
        </w:tc>
        <w:tc>
          <w:tcPr>
            <w:tcW w:w="917" w:type="pct"/>
            <w:tcBorders>
              <w:top w:val="nil"/>
              <w:left w:val="nil"/>
              <w:bottom w:val="nil"/>
              <w:right w:val="nil"/>
            </w:tcBorders>
            <w:shd w:val="clear" w:color="auto" w:fill="auto"/>
            <w:vAlign w:val="bottom"/>
          </w:tcPr>
          <w:p w14:paraId="59E4A445"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A446" w14:textId="77777777" w:rsidR="00D7560A" w:rsidRDefault="00D7560A">
            <w:pPr>
              <w:widowControl/>
              <w:jc w:val="left"/>
              <w:rPr>
                <w:rFonts w:ascii="Times New Roman" w:eastAsia="宋体" w:hAnsi="宋体" w:cs="宋体"/>
                <w:kern w:val="0"/>
                <w:sz w:val="24"/>
              </w:rPr>
            </w:pPr>
          </w:p>
        </w:tc>
      </w:tr>
      <w:tr w:rsidR="00D7560A" w14:paraId="59E4A44A"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A448"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9E4A449"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29, 2022</w:t>
            </w:r>
          </w:p>
        </w:tc>
      </w:tr>
      <w:tr w:rsidR="00D7560A" w14:paraId="59E4A44D"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A44B"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59E4A44C"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(in </w:t>
            </w:r>
            <w:r>
              <w:rPr>
                <w:rFonts w:ascii="Times New Roman" w:eastAsia="宋体" w:hAnsi="Times New Roman" w:cs="Times New Roman"/>
                <w:color w:val="000000"/>
                <w:kern w:val="0"/>
                <w:sz w:val="20"/>
                <w:szCs w:val="20"/>
                <w:lang w:bidi="ar"/>
              </w:rPr>
              <w:t>millions)</w:t>
            </w:r>
          </w:p>
        </w:tc>
      </w:tr>
      <w:tr w:rsidR="00D7560A" w14:paraId="59E4A452"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9E4A44E"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Fiscal 2023 (remaining six months)</w:t>
            </w: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9E4A44F"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9E4A450"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488 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A451" w14:textId="77777777" w:rsidR="00D7560A" w:rsidRDefault="00D7560A">
            <w:pPr>
              <w:widowControl/>
              <w:jc w:val="right"/>
              <w:rPr>
                <w:rFonts w:ascii="Times New Roman" w:eastAsia="宋体" w:hAnsi="宋体" w:cs="宋体"/>
                <w:kern w:val="0"/>
                <w:sz w:val="24"/>
              </w:rPr>
            </w:pPr>
          </w:p>
        </w:tc>
      </w:tr>
      <w:tr w:rsidR="00D7560A" w14:paraId="59E4A456"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59E4A453"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Fiscal 2024</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A454"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776 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A455" w14:textId="77777777" w:rsidR="00D7560A" w:rsidRDefault="00D7560A">
            <w:pPr>
              <w:widowControl/>
              <w:jc w:val="right"/>
              <w:rPr>
                <w:rFonts w:ascii="Times New Roman" w:eastAsia="宋体" w:hAnsi="宋体" w:cs="宋体"/>
                <w:kern w:val="0"/>
                <w:sz w:val="24"/>
              </w:rPr>
            </w:pPr>
          </w:p>
        </w:tc>
      </w:tr>
      <w:tr w:rsidR="00D7560A" w14:paraId="59E4A45A"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9E4A457"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Fiscal 2025</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A458"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607 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A459" w14:textId="77777777" w:rsidR="00D7560A" w:rsidRDefault="00D7560A">
            <w:pPr>
              <w:widowControl/>
              <w:jc w:val="right"/>
              <w:rPr>
                <w:rFonts w:ascii="Times New Roman" w:eastAsia="宋体" w:hAnsi="宋体" w:cs="宋体"/>
                <w:kern w:val="0"/>
                <w:sz w:val="24"/>
              </w:rPr>
            </w:pPr>
          </w:p>
        </w:tc>
      </w:tr>
      <w:tr w:rsidR="00D7560A" w14:paraId="59E4A45E"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59E4A45B"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Fiscal 2026</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A45C"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474 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A45D" w14:textId="77777777" w:rsidR="00D7560A" w:rsidRDefault="00D7560A">
            <w:pPr>
              <w:widowControl/>
              <w:jc w:val="right"/>
              <w:rPr>
                <w:rFonts w:ascii="Times New Roman" w:eastAsia="宋体" w:hAnsi="宋体" w:cs="宋体"/>
                <w:kern w:val="0"/>
                <w:sz w:val="24"/>
              </w:rPr>
            </w:pPr>
          </w:p>
        </w:tc>
      </w:tr>
      <w:tr w:rsidR="00D7560A" w14:paraId="59E4A462"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9E4A45F"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Fiscal 2027</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A460"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361 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A461" w14:textId="77777777" w:rsidR="00D7560A" w:rsidRDefault="00D7560A">
            <w:pPr>
              <w:widowControl/>
              <w:jc w:val="right"/>
              <w:rPr>
                <w:rFonts w:ascii="Times New Roman" w:eastAsia="宋体" w:hAnsi="宋体" w:cs="宋体"/>
                <w:kern w:val="0"/>
                <w:sz w:val="24"/>
              </w:rPr>
            </w:pPr>
          </w:p>
        </w:tc>
      </w:tr>
      <w:tr w:rsidR="00D7560A" w14:paraId="59E4A466"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59E4A463"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Thereafter</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A464"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1,181 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A465" w14:textId="77777777" w:rsidR="00D7560A" w:rsidRDefault="00D7560A">
            <w:pPr>
              <w:widowControl/>
              <w:jc w:val="right"/>
              <w:rPr>
                <w:rFonts w:ascii="Times New Roman" w:eastAsia="宋体" w:hAnsi="宋体" w:cs="宋体"/>
                <w:kern w:val="0"/>
                <w:sz w:val="24"/>
              </w:rPr>
            </w:pPr>
          </w:p>
        </w:tc>
      </w:tr>
      <w:tr w:rsidR="00D7560A" w14:paraId="59E4A46B" w14:textId="77777777">
        <w:trPr>
          <w:jc w:val="center"/>
        </w:trPr>
        <w:tc>
          <w:tcPr>
            <w:tcW w:w="0" w:type="auto"/>
            <w:gridSpan w:val="3"/>
            <w:tcBorders>
              <w:top w:val="nil"/>
              <w:left w:val="nil"/>
              <w:bottom w:val="nil"/>
              <w:right w:val="nil"/>
            </w:tcBorders>
            <w:shd w:val="clear" w:color="auto" w:fill="CCEEFF"/>
            <w:tcMar>
              <w:top w:w="40" w:type="dxa"/>
              <w:left w:w="155" w:type="dxa"/>
              <w:bottom w:w="40" w:type="dxa"/>
              <w:right w:w="20" w:type="dxa"/>
            </w:tcMar>
            <w:vAlign w:val="bottom"/>
          </w:tcPr>
          <w:p w14:paraId="59E4A467"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Total</w:t>
            </w: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59E4A468"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59E4A469"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3,887 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59E4A46A" w14:textId="77777777" w:rsidR="00D7560A" w:rsidRDefault="00D7560A">
            <w:pPr>
              <w:widowControl/>
              <w:jc w:val="right"/>
              <w:rPr>
                <w:rFonts w:ascii="Times New Roman" w:eastAsia="宋体" w:hAnsi="宋体" w:cs="宋体"/>
                <w:kern w:val="0"/>
                <w:sz w:val="24"/>
              </w:rPr>
            </w:pPr>
          </w:p>
        </w:tc>
      </w:tr>
    </w:tbl>
    <w:p w14:paraId="59E4A46C" w14:textId="77777777" w:rsidR="00D7560A" w:rsidRDefault="001E3CAB">
      <w:pPr>
        <w:widowControl/>
        <w:spacing w:before="100"/>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A46D"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Goodwill and Intangible Assets Impairment Testing</w:t>
      </w:r>
    </w:p>
    <w:p w14:paraId="59E4A46E"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A46F"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Goodwill and </w:t>
      </w:r>
      <w:r>
        <w:rPr>
          <w:rFonts w:ascii="Times New Roman" w:eastAsia="宋体" w:hAnsi="Times New Roman" w:cs="Times New Roman"/>
          <w:color w:val="000000"/>
          <w:kern w:val="0"/>
          <w:sz w:val="20"/>
          <w:szCs w:val="20"/>
          <w:lang w:bidi="ar"/>
        </w:rPr>
        <w:t>indefinite-lived intangible assets are tested for impairment annually during the third fiscal quarter and whenever events or circumstances may indicate that an impairment has occurred.</w:t>
      </w:r>
    </w:p>
    <w:p w14:paraId="59E4A470"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A471"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For the annual impairment review in the third quarter of Fiscal 2022,</w:t>
      </w:r>
      <w:r>
        <w:rPr>
          <w:rFonts w:ascii="Times New Roman" w:eastAsia="宋体" w:hAnsi="Times New Roman" w:cs="Times New Roman"/>
          <w:color w:val="000000"/>
          <w:kern w:val="0"/>
          <w:sz w:val="20"/>
          <w:szCs w:val="20"/>
          <w:lang w:bidi="ar"/>
        </w:rPr>
        <w:t xml:space="preserve"> the Company elected to bypass the assessment of qualitative factors to determine whether it was more likely than not that the fair value of a reporting unit was less than its carrying amount, including goodwill. In electing to bypass the qualitative asses</w:t>
      </w:r>
      <w:r>
        <w:rPr>
          <w:rFonts w:ascii="Times New Roman" w:eastAsia="宋体" w:hAnsi="Times New Roman" w:cs="Times New Roman"/>
          <w:color w:val="000000"/>
          <w:kern w:val="0"/>
          <w:sz w:val="20"/>
          <w:szCs w:val="20"/>
          <w:lang w:bidi="ar"/>
        </w:rPr>
        <w:t>sment, the Company proceeded directly to perform a quantitative goodwill impairment test to measure the fair value of each goodwill reporting unit relative to its carrying amount, and to determine the amount of goodwill impairment loss to be recognized, if</w:t>
      </w:r>
      <w:r>
        <w:rPr>
          <w:rFonts w:ascii="Times New Roman" w:eastAsia="宋体" w:hAnsi="Times New Roman" w:cs="Times New Roman"/>
          <w:color w:val="000000"/>
          <w:kern w:val="0"/>
          <w:sz w:val="20"/>
          <w:szCs w:val="20"/>
          <w:lang w:bidi="ar"/>
        </w:rPr>
        <w:t xml:space="preserve"> any.</w:t>
      </w:r>
    </w:p>
    <w:p w14:paraId="59E4A472"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A473"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Management exercised significant judgment related to the above assessment, including the identification of goodwill reporting units, assignment of assets and liabilities to goodwill reporting units, assignment of goodwill to reporting units, and de</w:t>
      </w:r>
      <w:r>
        <w:rPr>
          <w:rFonts w:ascii="Times New Roman" w:eastAsia="宋体" w:hAnsi="Times New Roman" w:cs="Times New Roman"/>
          <w:color w:val="000000"/>
          <w:kern w:val="0"/>
          <w:sz w:val="20"/>
          <w:szCs w:val="20"/>
          <w:lang w:bidi="ar"/>
        </w:rPr>
        <w:t>termination of the fair value of each goodwill reporting unit. The fair value of each goodwill reporting unit is generally estimated using a combination of public company multiples and discounted cash flow methodologies, except with respect to Secureworks,</w:t>
      </w:r>
      <w:r>
        <w:rPr>
          <w:rFonts w:ascii="Times New Roman" w:eastAsia="宋体" w:hAnsi="Times New Roman" w:cs="Times New Roman"/>
          <w:color w:val="000000"/>
          <w:kern w:val="0"/>
          <w:sz w:val="20"/>
          <w:szCs w:val="20"/>
          <w:lang w:bidi="ar"/>
        </w:rPr>
        <w:t xml:space="preserve"> which is a publicly-traded entity, in which case the fair value is determined based primarily on the public company market valuation. The discounted cash flow and public company multiples methodologies require significant judgment, including estimation of</w:t>
      </w:r>
      <w:r>
        <w:rPr>
          <w:rFonts w:ascii="Times New Roman" w:eastAsia="宋体" w:hAnsi="Times New Roman" w:cs="Times New Roman"/>
          <w:color w:val="000000"/>
          <w:kern w:val="0"/>
          <w:sz w:val="20"/>
          <w:szCs w:val="20"/>
          <w:lang w:bidi="ar"/>
        </w:rPr>
        <w:t xml:space="preserve"> future revenues, gross margins, and operating expenses, which are dependent on internal forecasts, current and anticipated economic conditions and trends, selection of market multiples through assessment of the reporting unit’s performance relative to pee</w:t>
      </w:r>
      <w:r>
        <w:rPr>
          <w:rFonts w:ascii="Times New Roman" w:eastAsia="宋体" w:hAnsi="Times New Roman" w:cs="Times New Roman"/>
          <w:color w:val="000000"/>
          <w:kern w:val="0"/>
          <w:sz w:val="20"/>
          <w:szCs w:val="20"/>
          <w:lang w:bidi="ar"/>
        </w:rPr>
        <w:t xml:space="preserve">r competitors, the estimation of the long-term revenue growth rate and discount rate of the Company’s business, and the determination of the Company’s weighted average cost of capital. Changes in these estimates and assumptions could materially affect the </w:t>
      </w:r>
      <w:r>
        <w:rPr>
          <w:rFonts w:ascii="Times New Roman" w:eastAsia="宋体" w:hAnsi="Times New Roman" w:cs="Times New Roman"/>
          <w:color w:val="000000"/>
          <w:kern w:val="0"/>
          <w:sz w:val="20"/>
          <w:szCs w:val="20"/>
          <w:lang w:bidi="ar"/>
        </w:rPr>
        <w:t>fair value of the goodwill reporting unit, potentially resulting in a non-cash impairment charge.</w:t>
      </w:r>
    </w:p>
    <w:p w14:paraId="59E4A474"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A475"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The fair value of the indefinite-lived trade names is generally estimated using discounted cash flow methodologies. These methodologies require </w:t>
      </w:r>
      <w:r>
        <w:rPr>
          <w:rFonts w:ascii="Times New Roman" w:eastAsia="宋体" w:hAnsi="Times New Roman" w:cs="Times New Roman"/>
          <w:color w:val="000000"/>
          <w:kern w:val="0"/>
          <w:sz w:val="20"/>
          <w:szCs w:val="20"/>
          <w:lang w:bidi="ar"/>
        </w:rPr>
        <w:t>significant judgment, including estimation of future revenue, the estimation of the long-term revenue growth rate of the Company’s business and the determination of the Company’s weighted average cost of capital and royalty rates. Changes in these estimate</w:t>
      </w:r>
      <w:r>
        <w:rPr>
          <w:rFonts w:ascii="Times New Roman" w:eastAsia="宋体" w:hAnsi="Times New Roman" w:cs="Times New Roman"/>
          <w:color w:val="000000"/>
          <w:kern w:val="0"/>
          <w:sz w:val="20"/>
          <w:szCs w:val="20"/>
          <w:lang w:bidi="ar"/>
        </w:rPr>
        <w:t>s and assumptions could materially affect the fair value of the indefinite-lived intangible assets, potentially resulting in a non-cash impairment charge.</w:t>
      </w:r>
    </w:p>
    <w:p w14:paraId="59E4A476"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A477"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Based on the results of the annual impairment test performed during the fiscal year ended January 2</w:t>
      </w:r>
      <w:r>
        <w:rPr>
          <w:rFonts w:ascii="Times New Roman" w:eastAsia="宋体" w:hAnsi="Times New Roman" w:cs="Times New Roman"/>
          <w:color w:val="000000"/>
          <w:kern w:val="0"/>
          <w:sz w:val="20"/>
          <w:szCs w:val="20"/>
          <w:lang w:bidi="ar"/>
        </w:rPr>
        <w:t>8, 2022, the fair values of each of the reporting units exceeded their carrying values. The Company did not recognize any material impairments during the six months ended July 29, 2022.</w:t>
      </w:r>
    </w:p>
    <w:p w14:paraId="59E4A478"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A479"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39</w:t>
      </w:r>
    </w:p>
    <w:p w14:paraId="59E4A47A"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A47B" w14:textId="77777777" w:rsidR="00D7560A" w:rsidRDefault="001E3CAB">
      <w:pPr>
        <w:widowControl/>
        <w:jc w:val="center"/>
      </w:pPr>
      <w:r>
        <w:rPr>
          <w:rFonts w:ascii="宋体" w:eastAsia="宋体" w:hAnsi="宋体" w:cs="宋体"/>
          <w:kern w:val="0"/>
          <w:sz w:val="24"/>
        </w:rPr>
        <w:pict w14:anchorId="59E4C7F2">
          <v:rect id="_x0000_i1063" style="width:6in;height:1.5pt" o:hralign="center" o:hrstd="t" o:hr="t" fillcolor="#a0a0a0" stroked="f"/>
        </w:pict>
      </w:r>
    </w:p>
    <w:p w14:paraId="59E4A47C" w14:textId="77777777" w:rsidR="00D7560A" w:rsidRDefault="001E3CAB">
      <w:pPr>
        <w:widowControl/>
        <w:jc w:val="left"/>
        <w:rPr>
          <w:rFonts w:ascii="宋体" w:eastAsia="宋体" w:hAnsi="宋体" w:cs="宋体"/>
          <w:kern w:val="0"/>
          <w:sz w:val="24"/>
        </w:rPr>
      </w:pPr>
      <w:hyperlink w:anchor="if933dd1d5d004d2495dd7029e3ecad00_13" w:history="1">
        <w:r>
          <w:rPr>
            <w:rStyle w:val="a4"/>
            <w:rFonts w:ascii="Times New Roman" w:eastAsia="宋体" w:hAnsi="Times New Roman" w:cs="Times New Roman"/>
            <w:sz w:val="20"/>
            <w:szCs w:val="20"/>
          </w:rPr>
          <w:t>Table</w:t>
        </w:r>
        <w:r>
          <w:rPr>
            <w:rStyle w:val="a4"/>
            <w:rFonts w:ascii="Times New Roman" w:eastAsia="宋体" w:hAnsi="Times New Roman" w:cs="Times New Roman"/>
            <w:sz w:val="20"/>
            <w:szCs w:val="20"/>
          </w:rPr>
          <w:t xml:space="preserve"> of Contents</w:t>
        </w:r>
      </w:hyperlink>
    </w:p>
    <w:p w14:paraId="59E4A47D"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DELL TECHNOLOGIES INC.</w:t>
      </w:r>
    </w:p>
    <w:p w14:paraId="59E4A47E"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NOTES TO THE CONDENSED CONSOLIDATED FINANCIAL STATEMENTS (Continued)</w:t>
      </w:r>
    </w:p>
    <w:p w14:paraId="59E4A47F"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(unaudited)</w:t>
      </w:r>
    </w:p>
    <w:p w14:paraId="59E4A480"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A481"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 xml:space="preserve">NOTE 10 — DEFERRED REVENUE </w:t>
      </w:r>
    </w:p>
    <w:p w14:paraId="59E4A482"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A483"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i/>
          <w:iCs/>
          <w:color w:val="000000"/>
          <w:kern w:val="0"/>
          <w:sz w:val="20"/>
          <w:szCs w:val="20"/>
          <w:lang w:bidi="ar"/>
        </w:rPr>
        <w:t>Deferred Revenue</w:t>
      </w:r>
      <w:r>
        <w:rPr>
          <w:rFonts w:ascii="Times New Roman" w:eastAsia="宋体" w:hAnsi="Times New Roman" w:cs="Times New Roman"/>
          <w:b/>
          <w:bCs/>
          <w:i/>
          <w:iCs/>
          <w:color w:val="000000"/>
          <w:kern w:val="0"/>
          <w:sz w:val="20"/>
          <w:szCs w:val="20"/>
          <w:lang w:bidi="ar"/>
        </w:rPr>
        <w:t xml:space="preserve"> </w:t>
      </w:r>
      <w:r>
        <w:rPr>
          <w:rFonts w:ascii="Times New Roman" w:eastAsia="宋体" w:hAnsi="Times New Roman" w:cs="Times New Roman"/>
          <w:color w:val="000000"/>
          <w:kern w:val="0"/>
          <w:sz w:val="20"/>
          <w:szCs w:val="20"/>
          <w:lang w:bidi="ar"/>
        </w:rPr>
        <w:t xml:space="preserve">— Deferred revenue consists of support and deployment services, software </w:t>
      </w:r>
      <w:r>
        <w:rPr>
          <w:rFonts w:ascii="Times New Roman" w:eastAsia="宋体" w:hAnsi="Times New Roman" w:cs="Times New Roman"/>
          <w:color w:val="000000"/>
          <w:kern w:val="0"/>
          <w:sz w:val="20"/>
          <w:szCs w:val="20"/>
          <w:lang w:bidi="ar"/>
        </w:rPr>
        <w:t>maintenance, training, Software-as-a-Service, and undelivered hardware and professional services, consisting of installations and consulting engagements. Deferred revenue is recorded when the Company has invoiced or payments have been received for undelive</w:t>
      </w:r>
      <w:r>
        <w:rPr>
          <w:rFonts w:ascii="Times New Roman" w:eastAsia="宋体" w:hAnsi="Times New Roman" w:cs="Times New Roman"/>
          <w:color w:val="000000"/>
          <w:kern w:val="0"/>
          <w:sz w:val="20"/>
          <w:szCs w:val="20"/>
          <w:lang w:bidi="ar"/>
        </w:rPr>
        <w:t>red products or services where transfer of control has not occurred. Revenue is recognized as the Company’s performance obligations under the contract are completed.</w:t>
      </w:r>
    </w:p>
    <w:p w14:paraId="59E4A484"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A485" w14:textId="77777777" w:rsidR="00D7560A" w:rsidRDefault="001E3CAB">
      <w:pPr>
        <w:widowControl/>
        <w:spacing w:after="12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The following table presents the changes in the Company’s deferred revenue for the perio</w:t>
      </w:r>
      <w:r>
        <w:rPr>
          <w:rFonts w:ascii="Times New Roman" w:eastAsia="宋体" w:hAnsi="Times New Roman" w:cs="Times New Roman"/>
          <w:color w:val="000000"/>
          <w:kern w:val="0"/>
          <w:sz w:val="20"/>
          <w:szCs w:val="20"/>
          <w:lang w:bidi="ar"/>
        </w:rPr>
        <w:t>ds indicated:</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40"/>
        <w:gridCol w:w="2530"/>
        <w:gridCol w:w="39"/>
        <w:gridCol w:w="120"/>
        <w:gridCol w:w="1194"/>
        <w:gridCol w:w="36"/>
        <w:gridCol w:w="36"/>
        <w:gridCol w:w="36"/>
        <w:gridCol w:w="36"/>
        <w:gridCol w:w="120"/>
        <w:gridCol w:w="1195"/>
        <w:gridCol w:w="36"/>
        <w:gridCol w:w="36"/>
        <w:gridCol w:w="36"/>
        <w:gridCol w:w="36"/>
        <w:gridCol w:w="120"/>
        <w:gridCol w:w="1195"/>
        <w:gridCol w:w="36"/>
        <w:gridCol w:w="36"/>
        <w:gridCol w:w="36"/>
        <w:gridCol w:w="36"/>
        <w:gridCol w:w="120"/>
        <w:gridCol w:w="1195"/>
        <w:gridCol w:w="36"/>
      </w:tblGrid>
      <w:tr w:rsidR="00D7560A" w14:paraId="59E4A49E" w14:textId="77777777">
        <w:tc>
          <w:tcPr>
            <w:tcW w:w="50" w:type="pct"/>
            <w:tcBorders>
              <w:top w:val="nil"/>
              <w:left w:val="nil"/>
              <w:bottom w:val="nil"/>
              <w:right w:val="nil"/>
            </w:tcBorders>
            <w:shd w:val="clear" w:color="auto" w:fill="auto"/>
            <w:vAlign w:val="bottom"/>
          </w:tcPr>
          <w:p w14:paraId="59E4A486" w14:textId="77777777" w:rsidR="00D7560A" w:rsidRDefault="00D7560A">
            <w:pPr>
              <w:widowControl/>
              <w:jc w:val="left"/>
              <w:rPr>
                <w:rFonts w:ascii="Times New Roman" w:eastAsia="宋体" w:hAnsi="宋体" w:cs="宋体"/>
                <w:kern w:val="0"/>
                <w:sz w:val="24"/>
              </w:rPr>
            </w:pPr>
          </w:p>
        </w:tc>
        <w:tc>
          <w:tcPr>
            <w:tcW w:w="1582" w:type="pct"/>
            <w:tcBorders>
              <w:top w:val="nil"/>
              <w:left w:val="nil"/>
              <w:bottom w:val="nil"/>
              <w:right w:val="nil"/>
            </w:tcBorders>
            <w:shd w:val="clear" w:color="auto" w:fill="auto"/>
            <w:vAlign w:val="bottom"/>
          </w:tcPr>
          <w:p w14:paraId="59E4A487"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A488"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A489" w14:textId="77777777" w:rsidR="00D7560A" w:rsidRDefault="00D7560A">
            <w:pPr>
              <w:widowControl/>
              <w:jc w:val="left"/>
              <w:rPr>
                <w:rFonts w:ascii="Times New Roman" w:eastAsia="宋体" w:hAnsi="宋体" w:cs="宋体"/>
                <w:kern w:val="0"/>
                <w:sz w:val="24"/>
              </w:rPr>
            </w:pPr>
          </w:p>
        </w:tc>
        <w:tc>
          <w:tcPr>
            <w:tcW w:w="762" w:type="pct"/>
            <w:tcBorders>
              <w:top w:val="nil"/>
              <w:left w:val="nil"/>
              <w:bottom w:val="nil"/>
              <w:right w:val="nil"/>
            </w:tcBorders>
            <w:shd w:val="clear" w:color="auto" w:fill="auto"/>
            <w:vAlign w:val="bottom"/>
          </w:tcPr>
          <w:p w14:paraId="59E4A48A"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A48B"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A48C" w14:textId="77777777" w:rsidR="00D7560A" w:rsidRDefault="00D7560A">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59E4A48D"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A48E"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A48F" w14:textId="77777777" w:rsidR="00D7560A" w:rsidRDefault="00D7560A">
            <w:pPr>
              <w:widowControl/>
              <w:jc w:val="left"/>
              <w:rPr>
                <w:rFonts w:ascii="Times New Roman" w:eastAsia="宋体" w:hAnsi="宋体" w:cs="宋体"/>
                <w:kern w:val="0"/>
                <w:sz w:val="24"/>
              </w:rPr>
            </w:pPr>
          </w:p>
        </w:tc>
        <w:tc>
          <w:tcPr>
            <w:tcW w:w="762" w:type="pct"/>
            <w:tcBorders>
              <w:top w:val="nil"/>
              <w:left w:val="nil"/>
              <w:bottom w:val="nil"/>
              <w:right w:val="nil"/>
            </w:tcBorders>
            <w:shd w:val="clear" w:color="auto" w:fill="auto"/>
            <w:vAlign w:val="bottom"/>
          </w:tcPr>
          <w:p w14:paraId="59E4A490"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A491"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A492" w14:textId="77777777" w:rsidR="00D7560A" w:rsidRDefault="00D7560A">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59E4A493"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A494"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A495" w14:textId="77777777" w:rsidR="00D7560A" w:rsidRDefault="00D7560A">
            <w:pPr>
              <w:widowControl/>
              <w:jc w:val="left"/>
              <w:rPr>
                <w:rFonts w:ascii="Times New Roman" w:eastAsia="宋体" w:hAnsi="宋体" w:cs="宋体"/>
                <w:kern w:val="0"/>
                <w:sz w:val="24"/>
              </w:rPr>
            </w:pPr>
          </w:p>
        </w:tc>
        <w:tc>
          <w:tcPr>
            <w:tcW w:w="762" w:type="pct"/>
            <w:tcBorders>
              <w:top w:val="nil"/>
              <w:left w:val="nil"/>
              <w:bottom w:val="nil"/>
              <w:right w:val="nil"/>
            </w:tcBorders>
            <w:shd w:val="clear" w:color="auto" w:fill="auto"/>
            <w:vAlign w:val="bottom"/>
          </w:tcPr>
          <w:p w14:paraId="59E4A496"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A497"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A498" w14:textId="77777777" w:rsidR="00D7560A" w:rsidRDefault="00D7560A">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59E4A499"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A49A"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A49B" w14:textId="77777777" w:rsidR="00D7560A" w:rsidRDefault="00D7560A">
            <w:pPr>
              <w:widowControl/>
              <w:jc w:val="left"/>
              <w:rPr>
                <w:rFonts w:ascii="Times New Roman" w:eastAsia="宋体" w:hAnsi="宋体" w:cs="宋体"/>
                <w:kern w:val="0"/>
                <w:sz w:val="24"/>
              </w:rPr>
            </w:pPr>
          </w:p>
        </w:tc>
        <w:tc>
          <w:tcPr>
            <w:tcW w:w="762" w:type="pct"/>
            <w:tcBorders>
              <w:top w:val="nil"/>
              <w:left w:val="nil"/>
              <w:bottom w:val="nil"/>
              <w:right w:val="nil"/>
            </w:tcBorders>
            <w:shd w:val="clear" w:color="auto" w:fill="auto"/>
            <w:vAlign w:val="bottom"/>
          </w:tcPr>
          <w:p w14:paraId="59E4A49C"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A49D" w14:textId="77777777" w:rsidR="00D7560A" w:rsidRDefault="00D7560A">
            <w:pPr>
              <w:widowControl/>
              <w:jc w:val="left"/>
              <w:rPr>
                <w:rFonts w:ascii="Times New Roman" w:eastAsia="宋体" w:hAnsi="宋体" w:cs="宋体"/>
                <w:kern w:val="0"/>
                <w:sz w:val="24"/>
              </w:rPr>
            </w:pPr>
          </w:p>
        </w:tc>
      </w:tr>
      <w:tr w:rsidR="00D7560A" w14:paraId="59E4A4A3"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A49F" w14:textId="77777777" w:rsidR="00D7560A" w:rsidRDefault="00D7560A">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59E4A4A0"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Three Months Ended</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A4A1" w14:textId="77777777" w:rsidR="00D7560A" w:rsidRDefault="00D7560A">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59E4A4A2"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Six Months Ended</w:t>
            </w:r>
          </w:p>
        </w:tc>
      </w:tr>
      <w:tr w:rsidR="00D7560A" w14:paraId="59E4A4AC"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A4A4"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59E4A4A5"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29, 2022</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59E4A4A6"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59E4A4A7"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30, 2021</w:t>
            </w: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59E4A4A8"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59E4A4A9"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29, 2022</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59E4A4AA"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59E4A4AB"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30, 2021</w:t>
            </w:r>
          </w:p>
        </w:tc>
      </w:tr>
      <w:tr w:rsidR="00D7560A" w14:paraId="59E4A4AF"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A4AD" w14:textId="77777777" w:rsidR="00D7560A" w:rsidRDefault="00D7560A">
            <w:pPr>
              <w:widowControl/>
              <w:jc w:val="left"/>
              <w:rPr>
                <w:rFonts w:ascii="Times New Roman" w:eastAsia="宋体" w:hAnsi="宋体" w:cs="宋体"/>
                <w:kern w:val="0"/>
                <w:sz w:val="24"/>
              </w:rPr>
            </w:pPr>
          </w:p>
        </w:tc>
        <w:tc>
          <w:tcPr>
            <w:tcW w:w="0" w:type="auto"/>
            <w:gridSpan w:val="21"/>
            <w:tcBorders>
              <w:top w:val="single" w:sz="8" w:space="0" w:color="000000"/>
              <w:left w:val="nil"/>
              <w:bottom w:val="nil"/>
              <w:right w:val="nil"/>
            </w:tcBorders>
            <w:shd w:val="clear" w:color="auto" w:fill="auto"/>
            <w:tcMar>
              <w:top w:w="40" w:type="dxa"/>
              <w:left w:w="20" w:type="dxa"/>
              <w:bottom w:w="40" w:type="dxa"/>
              <w:right w:w="20" w:type="dxa"/>
            </w:tcMar>
            <w:vAlign w:val="bottom"/>
          </w:tcPr>
          <w:p w14:paraId="59E4A4AE"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(in </w:t>
            </w:r>
            <w:r>
              <w:rPr>
                <w:rFonts w:ascii="Times New Roman" w:eastAsia="宋体" w:hAnsi="Times New Roman" w:cs="Times New Roman"/>
                <w:color w:val="000000"/>
                <w:kern w:val="0"/>
                <w:sz w:val="20"/>
                <w:szCs w:val="20"/>
                <w:lang w:bidi="ar"/>
              </w:rPr>
              <w:t>millions)</w:t>
            </w:r>
          </w:p>
        </w:tc>
      </w:tr>
      <w:tr w:rsidR="00D7560A" w14:paraId="59E4A4B8"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9E4A4B0"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i/>
                <w:iCs/>
                <w:color w:val="000000"/>
                <w:kern w:val="0"/>
                <w:sz w:val="20"/>
                <w:szCs w:val="20"/>
                <w:lang w:bidi="ar"/>
              </w:rPr>
              <w:t>Deferred revenue:</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4B1"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4B2"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4B3"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4B4"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4B5"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4B6"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4B7" w14:textId="77777777" w:rsidR="00D7560A" w:rsidRDefault="00D7560A">
            <w:pPr>
              <w:widowControl/>
              <w:jc w:val="left"/>
              <w:rPr>
                <w:rFonts w:ascii="Times New Roman" w:eastAsia="宋体" w:hAnsi="宋体" w:cs="宋体"/>
                <w:kern w:val="0"/>
                <w:sz w:val="24"/>
              </w:rPr>
            </w:pPr>
          </w:p>
        </w:tc>
      </w:tr>
      <w:tr w:rsidR="00D7560A" w14:paraId="59E4A4C9"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59E4A4B9"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Deferred revenue at beginning of period</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9E4A4BA"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9E4A4BB"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27,403 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A4BC"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4BD"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9E4A4BE"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9E4A4BF"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26,282 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A4C0"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4C1"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9E4A4C2"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9E4A4C3"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27,573 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A4C4"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4C5"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9E4A4C6"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9E4A4C7"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25,592 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A4C8" w14:textId="77777777" w:rsidR="00D7560A" w:rsidRDefault="00D7560A">
            <w:pPr>
              <w:widowControl/>
              <w:jc w:val="right"/>
              <w:rPr>
                <w:rFonts w:ascii="Times New Roman" w:eastAsia="宋体" w:hAnsi="宋体" w:cs="宋体"/>
                <w:kern w:val="0"/>
                <w:sz w:val="24"/>
              </w:rPr>
            </w:pPr>
          </w:p>
        </w:tc>
      </w:tr>
      <w:tr w:rsidR="00D7560A" w14:paraId="59E4A4D6"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9E4A4CA"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Revenue deferrals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A4CB"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5,572 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A4CC"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4CD"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A4CE"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5,281 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A4CF"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4D0"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A4D1"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10,547 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A4D2"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4D3"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A4D4"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10,560 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A4D5" w14:textId="77777777" w:rsidR="00D7560A" w:rsidRDefault="00D7560A">
            <w:pPr>
              <w:widowControl/>
              <w:jc w:val="right"/>
              <w:rPr>
                <w:rFonts w:ascii="Times New Roman" w:eastAsia="宋体" w:hAnsi="宋体" w:cs="宋体"/>
                <w:kern w:val="0"/>
                <w:sz w:val="24"/>
              </w:rPr>
            </w:pPr>
          </w:p>
        </w:tc>
      </w:tr>
      <w:tr w:rsidR="00D7560A" w14:paraId="59E4A4E3"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59E4A4D7"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Revenue recognized</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A4D8"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(4,950)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A4D9"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4DA"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A4DB"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(4,740)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A4DC"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4DD"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A4DE"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(9,930)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A4DF"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4E0"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A4E1"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(9,329)</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A4E2" w14:textId="77777777" w:rsidR="00D7560A" w:rsidRDefault="00D7560A">
            <w:pPr>
              <w:widowControl/>
              <w:jc w:val="right"/>
              <w:rPr>
                <w:rFonts w:ascii="Times New Roman" w:eastAsia="宋体" w:hAnsi="宋体" w:cs="宋体"/>
                <w:kern w:val="0"/>
                <w:sz w:val="24"/>
              </w:rPr>
            </w:pPr>
          </w:p>
        </w:tc>
      </w:tr>
      <w:tr w:rsidR="00D7560A" w14:paraId="59E4A4F0"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9E4A4E4"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Other (a)</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A4E5"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A4E6"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4E7"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A4E8"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(155)</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A4E9"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4EA"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A4EB"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(165)</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A4EC"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4ED"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A4EE"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(155)</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A4EF" w14:textId="77777777" w:rsidR="00D7560A" w:rsidRDefault="00D7560A">
            <w:pPr>
              <w:widowControl/>
              <w:jc w:val="right"/>
              <w:rPr>
                <w:rFonts w:ascii="Times New Roman" w:eastAsia="宋体" w:hAnsi="宋体" w:cs="宋体"/>
                <w:kern w:val="0"/>
                <w:sz w:val="24"/>
              </w:rPr>
            </w:pPr>
          </w:p>
        </w:tc>
      </w:tr>
      <w:tr w:rsidR="00D7560A" w14:paraId="59E4A501"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59E4A4F1"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Deferred revenue at end of period</w:t>
            </w: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59E4A4F2"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FFFFFF"/>
            <w:tcMar>
              <w:top w:w="40" w:type="dxa"/>
              <w:left w:w="0" w:type="dxa"/>
              <w:bottom w:w="40" w:type="dxa"/>
              <w:right w:w="0" w:type="dxa"/>
            </w:tcMar>
            <w:vAlign w:val="bottom"/>
          </w:tcPr>
          <w:p w14:paraId="59E4A4F3"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28,025 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59E4A4F4"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4F5"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59E4A4F6"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FFFFFF"/>
            <w:tcMar>
              <w:top w:w="40" w:type="dxa"/>
              <w:left w:w="0" w:type="dxa"/>
              <w:bottom w:w="40" w:type="dxa"/>
              <w:right w:w="0" w:type="dxa"/>
            </w:tcMar>
            <w:vAlign w:val="bottom"/>
          </w:tcPr>
          <w:p w14:paraId="59E4A4F7"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26,668 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59E4A4F8"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4F9"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59E4A4FA"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FFFFFF"/>
            <w:tcMar>
              <w:top w:w="40" w:type="dxa"/>
              <w:left w:w="0" w:type="dxa"/>
              <w:bottom w:w="40" w:type="dxa"/>
              <w:right w:w="0" w:type="dxa"/>
            </w:tcMar>
            <w:vAlign w:val="bottom"/>
          </w:tcPr>
          <w:p w14:paraId="59E4A4FB"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28,025 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59E4A4FC"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4FD"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59E4A4FE"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FFFFFF"/>
            <w:tcMar>
              <w:top w:w="40" w:type="dxa"/>
              <w:left w:w="0" w:type="dxa"/>
              <w:bottom w:w="40" w:type="dxa"/>
              <w:right w:w="0" w:type="dxa"/>
            </w:tcMar>
            <w:vAlign w:val="bottom"/>
          </w:tcPr>
          <w:p w14:paraId="59E4A4FF"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26,668 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59E4A500" w14:textId="77777777" w:rsidR="00D7560A" w:rsidRDefault="00D7560A">
            <w:pPr>
              <w:widowControl/>
              <w:jc w:val="right"/>
              <w:rPr>
                <w:rFonts w:ascii="Times New Roman" w:eastAsia="宋体" w:hAnsi="宋体" w:cs="宋体"/>
                <w:kern w:val="0"/>
                <w:sz w:val="24"/>
              </w:rPr>
            </w:pPr>
          </w:p>
        </w:tc>
      </w:tr>
      <w:tr w:rsidR="00D7560A" w14:paraId="59E4A512" w14:textId="77777777">
        <w:tc>
          <w:tcPr>
            <w:tcW w:w="0" w:type="auto"/>
            <w:gridSpan w:val="3"/>
            <w:tcBorders>
              <w:top w:val="nil"/>
              <w:left w:val="nil"/>
              <w:bottom w:val="nil"/>
              <w:right w:val="nil"/>
            </w:tcBorders>
            <w:shd w:val="clear" w:color="auto" w:fill="CCEEFF"/>
            <w:tcMar>
              <w:top w:w="40" w:type="dxa"/>
              <w:left w:w="155" w:type="dxa"/>
              <w:bottom w:w="40" w:type="dxa"/>
              <w:right w:w="20" w:type="dxa"/>
            </w:tcMar>
            <w:vAlign w:val="bottom"/>
          </w:tcPr>
          <w:p w14:paraId="59E4A502"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Short-term deferred revenue</w:t>
            </w:r>
          </w:p>
        </w:tc>
        <w:tc>
          <w:tcPr>
            <w:tcW w:w="0" w:type="auto"/>
            <w:tcBorders>
              <w:top w:val="double" w:sz="2" w:space="0" w:color="000000"/>
              <w:left w:val="nil"/>
              <w:bottom w:val="nil"/>
              <w:right w:val="nil"/>
            </w:tcBorders>
            <w:shd w:val="clear" w:color="auto" w:fill="CCEEFF"/>
            <w:tcMar>
              <w:top w:w="40" w:type="dxa"/>
              <w:left w:w="20" w:type="dxa"/>
              <w:bottom w:w="40" w:type="dxa"/>
              <w:right w:w="0" w:type="dxa"/>
            </w:tcMar>
            <w:vAlign w:val="bottom"/>
          </w:tcPr>
          <w:p w14:paraId="59E4A503"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double" w:sz="2" w:space="0" w:color="000000"/>
              <w:left w:val="nil"/>
              <w:bottom w:val="nil"/>
              <w:right w:val="nil"/>
            </w:tcBorders>
            <w:shd w:val="clear" w:color="auto" w:fill="CCEEFF"/>
            <w:tcMar>
              <w:top w:w="40" w:type="dxa"/>
              <w:left w:w="0" w:type="dxa"/>
              <w:bottom w:w="40" w:type="dxa"/>
              <w:right w:w="0" w:type="dxa"/>
            </w:tcMar>
            <w:vAlign w:val="bottom"/>
          </w:tcPr>
          <w:p w14:paraId="59E4A504"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14,724 </w:t>
            </w:r>
          </w:p>
        </w:tc>
        <w:tc>
          <w:tcPr>
            <w:tcW w:w="0" w:type="auto"/>
            <w:tcBorders>
              <w:top w:val="double" w:sz="2" w:space="0" w:color="000000"/>
              <w:left w:val="nil"/>
              <w:bottom w:val="nil"/>
              <w:right w:val="nil"/>
            </w:tcBorders>
            <w:shd w:val="clear" w:color="auto" w:fill="CCEEFF"/>
            <w:tcMar>
              <w:top w:w="40" w:type="dxa"/>
              <w:left w:w="0" w:type="dxa"/>
              <w:bottom w:w="40" w:type="dxa"/>
              <w:right w:w="20" w:type="dxa"/>
            </w:tcMar>
            <w:vAlign w:val="bottom"/>
          </w:tcPr>
          <w:p w14:paraId="59E4A505"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506" w14:textId="77777777" w:rsidR="00D7560A" w:rsidRDefault="00D7560A">
            <w:pPr>
              <w:widowControl/>
              <w:jc w:val="left"/>
              <w:rPr>
                <w:rFonts w:ascii="Times New Roman" w:eastAsia="宋体" w:hAnsi="宋体" w:cs="宋体"/>
                <w:kern w:val="0"/>
                <w:sz w:val="24"/>
              </w:rPr>
            </w:pPr>
          </w:p>
        </w:tc>
        <w:tc>
          <w:tcPr>
            <w:tcW w:w="0" w:type="auto"/>
            <w:tcBorders>
              <w:top w:val="double" w:sz="2" w:space="0" w:color="000000"/>
              <w:left w:val="nil"/>
              <w:bottom w:val="nil"/>
              <w:right w:val="nil"/>
            </w:tcBorders>
            <w:shd w:val="clear" w:color="auto" w:fill="CCEEFF"/>
            <w:tcMar>
              <w:top w:w="40" w:type="dxa"/>
              <w:left w:w="20" w:type="dxa"/>
              <w:bottom w:w="40" w:type="dxa"/>
              <w:right w:w="0" w:type="dxa"/>
            </w:tcMar>
            <w:vAlign w:val="bottom"/>
          </w:tcPr>
          <w:p w14:paraId="59E4A507"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double" w:sz="2" w:space="0" w:color="000000"/>
              <w:left w:val="nil"/>
              <w:bottom w:val="nil"/>
              <w:right w:val="nil"/>
            </w:tcBorders>
            <w:shd w:val="clear" w:color="auto" w:fill="CCEEFF"/>
            <w:tcMar>
              <w:top w:w="40" w:type="dxa"/>
              <w:left w:w="0" w:type="dxa"/>
              <w:bottom w:w="40" w:type="dxa"/>
              <w:right w:w="0" w:type="dxa"/>
            </w:tcMar>
            <w:vAlign w:val="bottom"/>
          </w:tcPr>
          <w:p w14:paraId="59E4A508"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13,765 </w:t>
            </w:r>
          </w:p>
        </w:tc>
        <w:tc>
          <w:tcPr>
            <w:tcW w:w="0" w:type="auto"/>
            <w:tcBorders>
              <w:top w:val="double" w:sz="2" w:space="0" w:color="000000"/>
              <w:left w:val="nil"/>
              <w:bottom w:val="nil"/>
              <w:right w:val="nil"/>
            </w:tcBorders>
            <w:shd w:val="clear" w:color="auto" w:fill="CCEEFF"/>
            <w:tcMar>
              <w:top w:w="40" w:type="dxa"/>
              <w:left w:w="0" w:type="dxa"/>
              <w:bottom w:w="40" w:type="dxa"/>
              <w:right w:w="20" w:type="dxa"/>
            </w:tcMar>
            <w:vAlign w:val="bottom"/>
          </w:tcPr>
          <w:p w14:paraId="59E4A509"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50A" w14:textId="77777777" w:rsidR="00D7560A" w:rsidRDefault="00D7560A">
            <w:pPr>
              <w:widowControl/>
              <w:jc w:val="left"/>
              <w:rPr>
                <w:rFonts w:ascii="Times New Roman" w:eastAsia="宋体" w:hAnsi="宋体" w:cs="宋体"/>
                <w:kern w:val="0"/>
                <w:sz w:val="24"/>
              </w:rPr>
            </w:pPr>
          </w:p>
        </w:tc>
        <w:tc>
          <w:tcPr>
            <w:tcW w:w="0" w:type="auto"/>
            <w:tcBorders>
              <w:top w:val="double" w:sz="2" w:space="0" w:color="000000"/>
              <w:left w:val="nil"/>
              <w:bottom w:val="nil"/>
              <w:right w:val="nil"/>
            </w:tcBorders>
            <w:shd w:val="clear" w:color="auto" w:fill="CCEEFF"/>
            <w:tcMar>
              <w:top w:w="40" w:type="dxa"/>
              <w:left w:w="20" w:type="dxa"/>
              <w:bottom w:w="40" w:type="dxa"/>
              <w:right w:w="0" w:type="dxa"/>
            </w:tcMar>
            <w:vAlign w:val="bottom"/>
          </w:tcPr>
          <w:p w14:paraId="59E4A50B"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double" w:sz="2" w:space="0" w:color="000000"/>
              <w:left w:val="nil"/>
              <w:bottom w:val="nil"/>
              <w:right w:val="nil"/>
            </w:tcBorders>
            <w:shd w:val="clear" w:color="auto" w:fill="CCEEFF"/>
            <w:tcMar>
              <w:top w:w="40" w:type="dxa"/>
              <w:left w:w="0" w:type="dxa"/>
              <w:bottom w:w="40" w:type="dxa"/>
              <w:right w:w="0" w:type="dxa"/>
            </w:tcMar>
            <w:vAlign w:val="bottom"/>
          </w:tcPr>
          <w:p w14:paraId="59E4A50C"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14,724 </w:t>
            </w:r>
          </w:p>
        </w:tc>
        <w:tc>
          <w:tcPr>
            <w:tcW w:w="0" w:type="auto"/>
            <w:tcBorders>
              <w:top w:val="double" w:sz="2" w:space="0" w:color="000000"/>
              <w:left w:val="nil"/>
              <w:bottom w:val="nil"/>
              <w:right w:val="nil"/>
            </w:tcBorders>
            <w:shd w:val="clear" w:color="auto" w:fill="CCEEFF"/>
            <w:tcMar>
              <w:top w:w="40" w:type="dxa"/>
              <w:left w:w="0" w:type="dxa"/>
              <w:bottom w:w="40" w:type="dxa"/>
              <w:right w:w="20" w:type="dxa"/>
            </w:tcMar>
            <w:vAlign w:val="bottom"/>
          </w:tcPr>
          <w:p w14:paraId="59E4A50D"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50E" w14:textId="77777777" w:rsidR="00D7560A" w:rsidRDefault="00D7560A">
            <w:pPr>
              <w:widowControl/>
              <w:jc w:val="left"/>
              <w:rPr>
                <w:rFonts w:ascii="Times New Roman" w:eastAsia="宋体" w:hAnsi="宋体" w:cs="宋体"/>
                <w:kern w:val="0"/>
                <w:sz w:val="24"/>
              </w:rPr>
            </w:pPr>
          </w:p>
        </w:tc>
        <w:tc>
          <w:tcPr>
            <w:tcW w:w="0" w:type="auto"/>
            <w:tcBorders>
              <w:top w:val="double" w:sz="2" w:space="0" w:color="000000"/>
              <w:left w:val="nil"/>
              <w:bottom w:val="nil"/>
              <w:right w:val="nil"/>
            </w:tcBorders>
            <w:shd w:val="clear" w:color="auto" w:fill="CCEEFF"/>
            <w:tcMar>
              <w:top w:w="40" w:type="dxa"/>
              <w:left w:w="20" w:type="dxa"/>
              <w:bottom w:w="40" w:type="dxa"/>
              <w:right w:w="0" w:type="dxa"/>
            </w:tcMar>
            <w:vAlign w:val="bottom"/>
          </w:tcPr>
          <w:p w14:paraId="59E4A50F"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double" w:sz="2" w:space="0" w:color="000000"/>
              <w:left w:val="nil"/>
              <w:bottom w:val="nil"/>
              <w:right w:val="nil"/>
            </w:tcBorders>
            <w:shd w:val="clear" w:color="auto" w:fill="CCEEFF"/>
            <w:tcMar>
              <w:top w:w="40" w:type="dxa"/>
              <w:left w:w="0" w:type="dxa"/>
              <w:bottom w:w="40" w:type="dxa"/>
              <w:right w:w="0" w:type="dxa"/>
            </w:tcMar>
            <w:vAlign w:val="bottom"/>
          </w:tcPr>
          <w:p w14:paraId="59E4A510"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13,765 </w:t>
            </w:r>
          </w:p>
        </w:tc>
        <w:tc>
          <w:tcPr>
            <w:tcW w:w="0" w:type="auto"/>
            <w:tcBorders>
              <w:top w:val="double" w:sz="2" w:space="0" w:color="000000"/>
              <w:left w:val="nil"/>
              <w:bottom w:val="nil"/>
              <w:right w:val="nil"/>
            </w:tcBorders>
            <w:shd w:val="clear" w:color="auto" w:fill="CCEEFF"/>
            <w:tcMar>
              <w:top w:w="40" w:type="dxa"/>
              <w:left w:w="0" w:type="dxa"/>
              <w:bottom w:w="40" w:type="dxa"/>
              <w:right w:w="20" w:type="dxa"/>
            </w:tcMar>
            <w:vAlign w:val="bottom"/>
          </w:tcPr>
          <w:p w14:paraId="59E4A511" w14:textId="77777777" w:rsidR="00D7560A" w:rsidRDefault="00D7560A">
            <w:pPr>
              <w:widowControl/>
              <w:jc w:val="right"/>
              <w:rPr>
                <w:rFonts w:ascii="Times New Roman" w:eastAsia="宋体" w:hAnsi="宋体" w:cs="宋体"/>
                <w:kern w:val="0"/>
                <w:sz w:val="24"/>
              </w:rPr>
            </w:pPr>
          </w:p>
        </w:tc>
      </w:tr>
      <w:tr w:rsidR="00D7560A" w14:paraId="59E4A523" w14:textId="77777777">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59E4A513"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Long-term deferred revenue</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9E4A514"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9E4A515"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13,30</w:t>
            </w:r>
            <w:r>
              <w:rPr>
                <w:rFonts w:ascii="Times New Roman" w:eastAsia="宋体" w:hAnsi="Times New Roman" w:cs="Times New Roman"/>
                <w:color w:val="000000"/>
                <w:kern w:val="0"/>
                <w:sz w:val="20"/>
                <w:szCs w:val="20"/>
                <w:lang w:bidi="ar"/>
              </w:rPr>
              <w:t>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A516"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517"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9E4A518"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9E4A519"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12,903 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A51A"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51B"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9E4A51C"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9E4A51D"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13,301 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A51E"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51F"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9E4A520"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9E4A521"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12,903 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A522" w14:textId="77777777" w:rsidR="00D7560A" w:rsidRDefault="00D7560A">
            <w:pPr>
              <w:widowControl/>
              <w:jc w:val="right"/>
              <w:rPr>
                <w:rFonts w:ascii="Times New Roman" w:eastAsia="宋体" w:hAnsi="宋体" w:cs="宋体"/>
                <w:kern w:val="0"/>
                <w:sz w:val="24"/>
              </w:rPr>
            </w:pPr>
          </w:p>
        </w:tc>
      </w:tr>
    </w:tbl>
    <w:p w14:paraId="59E4A524"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____________________</w:t>
      </w:r>
    </w:p>
    <w:p w14:paraId="59E4A525" w14:textId="77777777" w:rsidR="00D7560A" w:rsidRDefault="001E3CAB">
      <w:pPr>
        <w:widowControl/>
        <w:ind w:left="360" w:hanging="36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(a)    For the six months ended July 29, 2022, Other represents the </w:t>
      </w:r>
      <w:r>
        <w:rPr>
          <w:rFonts w:ascii="Times New Roman" w:eastAsia="宋体" w:hAnsi="Times New Roman" w:cs="Times New Roman"/>
          <w:color w:val="000000"/>
          <w:kern w:val="0"/>
          <w:sz w:val="20"/>
          <w:szCs w:val="20"/>
          <w:lang w:bidi="ar"/>
        </w:rPr>
        <w:t>reclassification of deferred revenue to accrued and other liabilities. For the three and six months ended July 30, 2021, Other consists of divested deferred revenue from the sale of Boomi.</w:t>
      </w:r>
    </w:p>
    <w:p w14:paraId="59E4A526"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A527"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i/>
          <w:iCs/>
          <w:color w:val="000000"/>
          <w:kern w:val="0"/>
          <w:sz w:val="20"/>
          <w:szCs w:val="20"/>
          <w:lang w:bidi="ar"/>
        </w:rPr>
        <w:t xml:space="preserve">Remaining Performance Obligations </w:t>
      </w:r>
      <w:r>
        <w:rPr>
          <w:rFonts w:ascii="Times New Roman" w:eastAsia="宋体" w:hAnsi="Times New Roman" w:cs="Times New Roman"/>
          <w:color w:val="000000"/>
          <w:kern w:val="0"/>
          <w:sz w:val="20"/>
          <w:szCs w:val="20"/>
          <w:lang w:bidi="ar"/>
        </w:rPr>
        <w:t xml:space="preserve">— Remaining </w:t>
      </w:r>
      <w:r>
        <w:rPr>
          <w:rFonts w:ascii="Times New Roman" w:eastAsia="宋体" w:hAnsi="Times New Roman" w:cs="Times New Roman"/>
          <w:color w:val="000000"/>
          <w:kern w:val="0"/>
          <w:sz w:val="20"/>
          <w:szCs w:val="20"/>
          <w:lang w:bidi="ar"/>
        </w:rPr>
        <w:t xml:space="preserve">performance obligations represent the aggregate amount of the transaction price allocated to performance obligations not delivered, or partially undelivered, as of the end of the reporting period. Remaining performance obligations include deferred revenue </w:t>
      </w:r>
      <w:r>
        <w:rPr>
          <w:rFonts w:ascii="Times New Roman" w:eastAsia="宋体" w:hAnsi="Times New Roman" w:cs="Times New Roman"/>
          <w:color w:val="000000"/>
          <w:kern w:val="0"/>
          <w:sz w:val="20"/>
          <w:szCs w:val="20"/>
          <w:lang w:bidi="ar"/>
        </w:rPr>
        <w:t>plus unbilled amounts not yet recorded in deferred revenue. The value of the transaction price allocated to remaining performance obligations as of July 29, 2022 was approximately $41 billion. The Company expects to recognize approximately 61% of remaining</w:t>
      </w:r>
      <w:r>
        <w:rPr>
          <w:rFonts w:ascii="Times New Roman" w:eastAsia="宋体" w:hAnsi="Times New Roman" w:cs="Times New Roman"/>
          <w:color w:val="000000"/>
          <w:kern w:val="0"/>
          <w:sz w:val="20"/>
          <w:szCs w:val="20"/>
          <w:lang w:bidi="ar"/>
        </w:rPr>
        <w:t xml:space="preserve"> performance obligations as revenue in the next twelve months, and the remainder thereafter.</w:t>
      </w:r>
    </w:p>
    <w:p w14:paraId="59E4A528"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A529"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The aggregate amount of the transaction price allocated to remaining performance obligations does not include amounts owed under cancelable contracts where there</w:t>
      </w:r>
      <w:r>
        <w:rPr>
          <w:rFonts w:ascii="Times New Roman" w:eastAsia="宋体" w:hAnsi="Times New Roman" w:cs="Times New Roman"/>
          <w:color w:val="000000"/>
          <w:kern w:val="0"/>
          <w:sz w:val="20"/>
          <w:szCs w:val="20"/>
          <w:lang w:bidi="ar"/>
        </w:rPr>
        <w:t xml:space="preserve"> is no substantive termination penalty. The Company applied the practical expedient to exclude the value of remaining performance obligations for contracts for which revenue is recognized at the amount to which the Company has the right to invoice for serv</w:t>
      </w:r>
      <w:r>
        <w:rPr>
          <w:rFonts w:ascii="Times New Roman" w:eastAsia="宋体" w:hAnsi="Times New Roman" w:cs="Times New Roman"/>
          <w:color w:val="000000"/>
          <w:kern w:val="0"/>
          <w:sz w:val="20"/>
          <w:szCs w:val="20"/>
          <w:lang w:bidi="ar"/>
        </w:rPr>
        <w:t>ices performed.</w:t>
      </w:r>
    </w:p>
    <w:p w14:paraId="59E4A52A"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A52B"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Remaining performance obligation estimates are subject to change and are affected by several factors, including terminations, changes in the scope of contracts, periodic revalidation, adjustments for revenue that have not materialized, an</w:t>
      </w:r>
      <w:r>
        <w:rPr>
          <w:rFonts w:ascii="Times New Roman" w:eastAsia="宋体" w:hAnsi="Times New Roman" w:cs="Times New Roman"/>
          <w:color w:val="000000"/>
          <w:kern w:val="0"/>
          <w:sz w:val="20"/>
          <w:szCs w:val="20"/>
          <w:lang w:bidi="ar"/>
        </w:rPr>
        <w:t>d adjustments for currency.</w:t>
      </w:r>
    </w:p>
    <w:p w14:paraId="59E4A52C"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A52D"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A52E"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40</w:t>
      </w:r>
    </w:p>
    <w:p w14:paraId="59E4A52F"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A530" w14:textId="77777777" w:rsidR="00D7560A" w:rsidRDefault="001E3CAB">
      <w:pPr>
        <w:widowControl/>
        <w:jc w:val="center"/>
      </w:pPr>
      <w:r>
        <w:rPr>
          <w:rFonts w:ascii="宋体" w:eastAsia="宋体" w:hAnsi="宋体" w:cs="宋体"/>
          <w:kern w:val="0"/>
          <w:sz w:val="24"/>
        </w:rPr>
        <w:pict w14:anchorId="59E4C7F3">
          <v:rect id="_x0000_i1064" style="width:6in;height:1.5pt" o:hralign="center" o:hrstd="t" o:hr="t" fillcolor="#a0a0a0" stroked="f"/>
        </w:pict>
      </w:r>
    </w:p>
    <w:p w14:paraId="59E4A531" w14:textId="77777777" w:rsidR="00D7560A" w:rsidRDefault="001E3CAB">
      <w:pPr>
        <w:widowControl/>
        <w:jc w:val="left"/>
        <w:rPr>
          <w:rFonts w:ascii="宋体" w:eastAsia="宋体" w:hAnsi="宋体" w:cs="宋体"/>
          <w:kern w:val="0"/>
          <w:sz w:val="24"/>
        </w:rPr>
      </w:pPr>
      <w:hyperlink w:anchor="if933dd1d5d004d2495dd7029e3ecad00_13" w:history="1">
        <w:r>
          <w:rPr>
            <w:rStyle w:val="a4"/>
            <w:rFonts w:ascii="Times New Roman" w:eastAsia="宋体" w:hAnsi="Times New Roman" w:cs="Times New Roman"/>
            <w:sz w:val="20"/>
            <w:szCs w:val="20"/>
          </w:rPr>
          <w:t>Table of Contents</w:t>
        </w:r>
      </w:hyperlink>
    </w:p>
    <w:p w14:paraId="59E4A532"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DELL TECHNOLOGIES INC.</w:t>
      </w:r>
    </w:p>
    <w:p w14:paraId="59E4A533"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NOTES TO THE CONDENSED CONSOLIDATED FINANCIAL STATEMENTS (Continued)</w:t>
      </w:r>
    </w:p>
    <w:p w14:paraId="59E4A534"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(unaudited)</w:t>
      </w:r>
    </w:p>
    <w:p w14:paraId="59E4A535"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A536"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 xml:space="preserve">NOTE 11 — COMMITMENTS AND CONTINGENCIES </w:t>
      </w:r>
    </w:p>
    <w:p w14:paraId="59E4A537"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A538"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Purchase Obligations</w:t>
      </w:r>
    </w:p>
    <w:p w14:paraId="59E4A539"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A53A"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The Company has contractual obligations to purchase goods or services, which specify significant terms (including fixed or minimum quantities to be purchased), fixed, minimum, or variable pr</w:t>
      </w:r>
      <w:r>
        <w:rPr>
          <w:rFonts w:ascii="Times New Roman" w:eastAsia="宋体" w:hAnsi="Times New Roman" w:cs="Times New Roman"/>
          <w:color w:val="000000"/>
          <w:kern w:val="0"/>
          <w:sz w:val="20"/>
          <w:szCs w:val="20"/>
          <w:lang w:bidi="ar"/>
        </w:rPr>
        <w:t>ice provisions; and the approximate timing of the transaction. As of July 29, 2022, such purchase obligations were $4.0 billion, $0.5 billion, and $0.8 billion for the remaining six months of Fiscal 2023, Fiscal 2024, and Fiscal 2025 and thereafter, respec</w:t>
      </w:r>
      <w:r>
        <w:rPr>
          <w:rFonts w:ascii="Times New Roman" w:eastAsia="宋体" w:hAnsi="Times New Roman" w:cs="Times New Roman"/>
          <w:color w:val="000000"/>
          <w:kern w:val="0"/>
          <w:sz w:val="20"/>
          <w:szCs w:val="20"/>
          <w:lang w:bidi="ar"/>
        </w:rPr>
        <w:t>tively.</w:t>
      </w:r>
    </w:p>
    <w:p w14:paraId="59E4A53B"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A53C"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Legal Matters</w:t>
      </w:r>
    </w:p>
    <w:p w14:paraId="59E4A53D"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A53E"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The Company is involved in various claims, suits, assessments, investigations, and legal proceedings that arise from time to time in the ordinary course of its business, including those identified below, consisting of </w:t>
      </w:r>
      <w:r>
        <w:rPr>
          <w:rFonts w:ascii="Times New Roman" w:eastAsia="宋体" w:hAnsi="Times New Roman" w:cs="Times New Roman"/>
          <w:color w:val="000000"/>
          <w:kern w:val="0"/>
          <w:sz w:val="20"/>
          <w:szCs w:val="20"/>
          <w:lang w:bidi="ar"/>
        </w:rPr>
        <w:t>matters involving consumer, antitrust, tax, intellectual property, and other issues on a global basis. Pursuant to the Separation and Distribution Agreement referred to below, Dell Technologies shares responsibility with VMware for certain matters, as indi</w:t>
      </w:r>
      <w:r>
        <w:rPr>
          <w:rFonts w:ascii="Times New Roman" w:eastAsia="宋体" w:hAnsi="Times New Roman" w:cs="Times New Roman"/>
          <w:color w:val="000000"/>
          <w:kern w:val="0"/>
          <w:sz w:val="20"/>
          <w:szCs w:val="20"/>
          <w:lang w:bidi="ar"/>
        </w:rPr>
        <w:t>cated below, and VMware has agreed to indemnify Dell Technologies in whole or in part with respect to certain matters.</w:t>
      </w:r>
    </w:p>
    <w:p w14:paraId="59E4A53F"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A540"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The Company accrues a liability when it believes that it is both probable that a liability has been incurred and that it can reasonably</w:t>
      </w:r>
      <w:r>
        <w:rPr>
          <w:rFonts w:ascii="Times New Roman" w:eastAsia="宋体" w:hAnsi="Times New Roman" w:cs="Times New Roman"/>
          <w:color w:val="000000"/>
          <w:kern w:val="0"/>
          <w:sz w:val="20"/>
          <w:szCs w:val="20"/>
          <w:lang w:bidi="ar"/>
        </w:rPr>
        <w:t xml:space="preserve"> estimate the amount of the loss. The Company reviews these accruals at least quarterly and adjusts them to reflect ongoing negotiations, settlements, rulings, advice of legal counsel, and other relevant information. To the extent new information is obtain</w:t>
      </w:r>
      <w:r>
        <w:rPr>
          <w:rFonts w:ascii="Times New Roman" w:eastAsia="宋体" w:hAnsi="Times New Roman" w:cs="Times New Roman"/>
          <w:color w:val="000000"/>
          <w:kern w:val="0"/>
          <w:sz w:val="20"/>
          <w:szCs w:val="20"/>
          <w:lang w:bidi="ar"/>
        </w:rPr>
        <w:t>ed and the Company’s views on the probable outcomes of claims, suits, assessments, investigations, or legal proceedings change, changes in the Company’s accrued liabilities are recorded in the period in which such a determination is made. For some matters,</w:t>
      </w:r>
      <w:r>
        <w:rPr>
          <w:rFonts w:ascii="Times New Roman" w:eastAsia="宋体" w:hAnsi="Times New Roman" w:cs="Times New Roman"/>
          <w:color w:val="000000"/>
          <w:kern w:val="0"/>
          <w:sz w:val="20"/>
          <w:szCs w:val="20"/>
          <w:lang w:bidi="ar"/>
        </w:rPr>
        <w:t xml:space="preserve"> the incurrence of a liability is not probable or the amount cannot be reasonably estimated and therefore accruals have not been made. </w:t>
      </w:r>
    </w:p>
    <w:p w14:paraId="59E4A541"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A542"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The following is a discussion of the Company’s significant legal matters and other proceedings:</w:t>
      </w:r>
    </w:p>
    <w:p w14:paraId="59E4A543"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A544"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i/>
          <w:iCs/>
          <w:color w:val="000000"/>
          <w:kern w:val="0"/>
          <w:sz w:val="20"/>
          <w:szCs w:val="20"/>
          <w:lang w:bidi="ar"/>
        </w:rPr>
        <w:t>Class Actions Relate</w:t>
      </w:r>
      <w:r>
        <w:rPr>
          <w:rFonts w:ascii="Times New Roman" w:eastAsia="宋体" w:hAnsi="Times New Roman" w:cs="Times New Roman"/>
          <w:i/>
          <w:iCs/>
          <w:color w:val="000000"/>
          <w:kern w:val="0"/>
          <w:sz w:val="20"/>
          <w:szCs w:val="20"/>
          <w:lang w:bidi="ar"/>
        </w:rPr>
        <w:t>d to the Class V Transaction</w:t>
      </w:r>
      <w:r>
        <w:rPr>
          <w:rFonts w:ascii="Times New Roman" w:eastAsia="宋体" w:hAnsi="Times New Roman" w:cs="Times New Roman"/>
          <w:color w:val="000000"/>
          <w:kern w:val="0"/>
          <w:sz w:val="20"/>
          <w:szCs w:val="20"/>
          <w:lang w:bidi="ar"/>
        </w:rPr>
        <w:t xml:space="preserve"> — On December 28, 2018, the Company completed a transaction (the “Class V transaction”) in which it paid $14.0 billion in cash and issued 149,387,617 shares of its Class C Common Stock to holders of its Class V Common Stock in </w:t>
      </w:r>
      <w:r>
        <w:rPr>
          <w:rFonts w:ascii="Times New Roman" w:eastAsia="宋体" w:hAnsi="Times New Roman" w:cs="Times New Roman"/>
          <w:color w:val="000000"/>
          <w:kern w:val="0"/>
          <w:sz w:val="20"/>
          <w:szCs w:val="20"/>
          <w:lang w:bidi="ar"/>
        </w:rPr>
        <w:t>exchange for all outstanding shares of Class V Common Stock. As a result of the Class V transaction, the tracking stock feature of the Company’s capital structure associated with the Class V Common Stock was terminated. In November 2018, four purported sto</w:t>
      </w:r>
      <w:r>
        <w:rPr>
          <w:rFonts w:ascii="Times New Roman" w:eastAsia="宋体" w:hAnsi="Times New Roman" w:cs="Times New Roman"/>
          <w:color w:val="000000"/>
          <w:kern w:val="0"/>
          <w:sz w:val="20"/>
          <w:szCs w:val="20"/>
          <w:lang w:bidi="ar"/>
        </w:rPr>
        <w:t>ckholders brought putative class action complaints arising out of the Class V transaction. The actions were captioned Hallandale Beach Police and Fire Retirement Plan v. Michael Dell et al. (Civil Action No. 2018-0816-JTL), Howard Karp v. Michael Dell et a</w:t>
      </w:r>
      <w:r>
        <w:rPr>
          <w:rFonts w:ascii="Times New Roman" w:eastAsia="宋体" w:hAnsi="Times New Roman" w:cs="Times New Roman"/>
          <w:color w:val="000000"/>
          <w:kern w:val="0"/>
          <w:sz w:val="20"/>
          <w:szCs w:val="20"/>
          <w:lang w:bidi="ar"/>
        </w:rPr>
        <w:t>l. (Civil Action No. 2019-0032-JTL), Miramar Police Officers’ Retirement Plan v. Michael Dell et al. (Civil Action No. 2019-0049-JTL), and Steamfitters Local 449 Pension Plan v. Michael Dell et al. (Civil Action No. 2019-0115-JTL). The four actions were co</w:t>
      </w:r>
      <w:r>
        <w:rPr>
          <w:rFonts w:ascii="Times New Roman" w:eastAsia="宋体" w:hAnsi="Times New Roman" w:cs="Times New Roman"/>
          <w:color w:val="000000"/>
          <w:kern w:val="0"/>
          <w:sz w:val="20"/>
          <w:szCs w:val="20"/>
          <w:lang w:bidi="ar"/>
        </w:rPr>
        <w:t>nsolidated in the Delaware Chancery Court into In Re Dell Class V Litigation (Consol. C.A. No. 2018-0816-JTL). The suit currently names as defendants Michael S. Dell and certain of the other directors serving on the Board of Directors at the time of the Cl</w:t>
      </w:r>
      <w:r>
        <w:rPr>
          <w:rFonts w:ascii="Times New Roman" w:eastAsia="宋体" w:hAnsi="Times New Roman" w:cs="Times New Roman"/>
          <w:color w:val="000000"/>
          <w:kern w:val="0"/>
          <w:sz w:val="20"/>
          <w:szCs w:val="20"/>
          <w:lang w:bidi="ar"/>
        </w:rPr>
        <w:t>ass V transaction, certain stockholders of the Company, consisting of Michael S. Dell and Silver Lake Group LLC and certain of its affiliated funds, and Goldman Sachs &amp; Co. LLC (“Goldman Sachs”), which served as financial advisor to the Company in connecti</w:t>
      </w:r>
      <w:r>
        <w:rPr>
          <w:rFonts w:ascii="Times New Roman" w:eastAsia="宋体" w:hAnsi="Times New Roman" w:cs="Times New Roman"/>
          <w:color w:val="000000"/>
          <w:kern w:val="0"/>
          <w:sz w:val="20"/>
          <w:szCs w:val="20"/>
          <w:lang w:bidi="ar"/>
        </w:rPr>
        <w:t xml:space="preserve">on with the Class V transaction. In an amended complaint filed in August 2019, the plaintiffs generally allege that the director and stockholder defendants breached their fiduciary duties under Delaware law to the former holders of Class V Common Stock in </w:t>
      </w:r>
      <w:r>
        <w:rPr>
          <w:rFonts w:ascii="Times New Roman" w:eastAsia="宋体" w:hAnsi="Times New Roman" w:cs="Times New Roman"/>
          <w:color w:val="000000"/>
          <w:kern w:val="0"/>
          <w:sz w:val="20"/>
          <w:szCs w:val="20"/>
          <w:lang w:bidi="ar"/>
        </w:rPr>
        <w:t>connection with the Class V transaction by offering a transaction value that was allegedly billions of dollars below the fair value. The plaintiffs contend that the offer understated the value of shares surrendered by the former stockholders, which the pla</w:t>
      </w:r>
      <w:r>
        <w:rPr>
          <w:rFonts w:ascii="Times New Roman" w:eastAsia="宋体" w:hAnsi="Times New Roman" w:cs="Times New Roman"/>
          <w:color w:val="000000"/>
          <w:kern w:val="0"/>
          <w:sz w:val="20"/>
          <w:szCs w:val="20"/>
          <w:lang w:bidi="ar"/>
        </w:rPr>
        <w:t>intiffs allege should have reflected higher alternative valuations, including a valuation related to the value of the shares of VMware, Inc. common stock, and that the difference in values was wrongfully appropriated by the stockholder defendants. On Augus</w:t>
      </w:r>
      <w:r>
        <w:rPr>
          <w:rFonts w:ascii="Times New Roman" w:eastAsia="宋体" w:hAnsi="Times New Roman" w:cs="Times New Roman"/>
          <w:color w:val="000000"/>
          <w:kern w:val="0"/>
          <w:sz w:val="20"/>
          <w:szCs w:val="20"/>
          <w:lang w:bidi="ar"/>
        </w:rPr>
        <w:t>t 20, 2021, the plaintiffs added Goldman Sachs as a defendant and allege that it aided and abetted the alleged primary violations. In the complaint, the plaintiffs seek, among other remedies, a judicial declaration that the director and stockholder defenda</w:t>
      </w:r>
      <w:r>
        <w:rPr>
          <w:rFonts w:ascii="Times New Roman" w:eastAsia="宋体" w:hAnsi="Times New Roman" w:cs="Times New Roman"/>
          <w:color w:val="000000"/>
          <w:kern w:val="0"/>
          <w:sz w:val="20"/>
          <w:szCs w:val="20"/>
          <w:lang w:bidi="ar"/>
        </w:rPr>
        <w:t>nts breached their fiduciary duties. The plaintiffs also seek in the complaint disgorgement of all profits, benefits, and other compensation obtained by the defendants as a result of such alleged conduct and an award of unspecified damages, fees, and costs</w:t>
      </w:r>
      <w:r>
        <w:rPr>
          <w:rFonts w:ascii="Times New Roman" w:eastAsia="宋体" w:hAnsi="Times New Roman" w:cs="Times New Roman"/>
          <w:color w:val="000000"/>
          <w:kern w:val="0"/>
          <w:sz w:val="20"/>
          <w:szCs w:val="20"/>
          <w:lang w:bidi="ar"/>
        </w:rPr>
        <w:t>. The defendants filed a motion to dismiss the action in September 2019. The court denied the motion in June 2020 and the case is currently in the discovery phase. Trial is scheduled to begin on December 5, 2022. The Company is not a defendant in this acti</w:t>
      </w:r>
      <w:r>
        <w:rPr>
          <w:rFonts w:ascii="Times New Roman" w:eastAsia="宋体" w:hAnsi="Times New Roman" w:cs="Times New Roman"/>
          <w:color w:val="000000"/>
          <w:kern w:val="0"/>
          <w:sz w:val="20"/>
          <w:szCs w:val="20"/>
          <w:lang w:bidi="ar"/>
        </w:rPr>
        <w:t xml:space="preserve">on but is subject to director indemnification provisions under its certificate of incorporation and bylaws, and is a party to agreements with </w:t>
      </w:r>
    </w:p>
    <w:p w14:paraId="59E4A545"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A546"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41</w:t>
      </w:r>
    </w:p>
    <w:p w14:paraId="59E4A547"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A548" w14:textId="77777777" w:rsidR="00D7560A" w:rsidRDefault="001E3CAB">
      <w:pPr>
        <w:widowControl/>
        <w:jc w:val="center"/>
      </w:pPr>
      <w:r>
        <w:rPr>
          <w:rFonts w:ascii="宋体" w:eastAsia="宋体" w:hAnsi="宋体" w:cs="宋体"/>
          <w:kern w:val="0"/>
          <w:sz w:val="24"/>
        </w:rPr>
        <w:pict w14:anchorId="59E4C7F4">
          <v:rect id="_x0000_i1065" style="width:6in;height:1.5pt" o:hralign="center" o:hrstd="t" o:hr="t" fillcolor="#a0a0a0" stroked="f"/>
        </w:pict>
      </w:r>
    </w:p>
    <w:p w14:paraId="59E4A549" w14:textId="77777777" w:rsidR="00D7560A" w:rsidRDefault="001E3CAB">
      <w:pPr>
        <w:widowControl/>
        <w:jc w:val="left"/>
        <w:rPr>
          <w:rFonts w:ascii="宋体" w:eastAsia="宋体" w:hAnsi="宋体" w:cs="宋体"/>
          <w:kern w:val="0"/>
          <w:sz w:val="24"/>
        </w:rPr>
      </w:pPr>
      <w:hyperlink w:anchor="if933dd1d5d004d2495dd7029e3ecad00_13" w:history="1">
        <w:r>
          <w:rPr>
            <w:rStyle w:val="a4"/>
            <w:rFonts w:ascii="Times New Roman" w:eastAsia="宋体" w:hAnsi="Times New Roman" w:cs="Times New Roman"/>
            <w:sz w:val="20"/>
            <w:szCs w:val="20"/>
          </w:rPr>
          <w:t>Table of Contents</w:t>
        </w:r>
      </w:hyperlink>
    </w:p>
    <w:p w14:paraId="59E4A54A"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DELL TECHNOLOGIES INC.</w:t>
      </w:r>
    </w:p>
    <w:p w14:paraId="59E4A54B"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NOTES TO THE CONDENSED CONSOLIDATED FINANCIAL STATEMENTS (Continued)</w:t>
      </w:r>
    </w:p>
    <w:p w14:paraId="59E4A54C"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(unaudited)</w:t>
      </w:r>
    </w:p>
    <w:p w14:paraId="59E4A54D"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A54E"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the defendants that contain indemnification obligations of the Company, c</w:t>
      </w:r>
      <w:r>
        <w:rPr>
          <w:rFonts w:ascii="Times New Roman" w:eastAsia="宋体" w:hAnsi="Times New Roman" w:cs="Times New Roman"/>
          <w:color w:val="000000"/>
          <w:kern w:val="0"/>
          <w:sz w:val="20"/>
          <w:szCs w:val="20"/>
          <w:lang w:bidi="ar"/>
        </w:rPr>
        <w:t>onditioned on the satisfaction of the requirements set forth in such agreements, relating to service as a director, ownership of the Company’s securities, and provision of services, as applicable.</w:t>
      </w:r>
    </w:p>
    <w:p w14:paraId="59E4A54F"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A550"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i/>
          <w:iCs/>
          <w:color w:val="000000"/>
          <w:kern w:val="0"/>
          <w:sz w:val="20"/>
          <w:szCs w:val="20"/>
          <w:lang w:bidi="ar"/>
        </w:rPr>
        <w:t xml:space="preserve">Class Actions Related to VMware, Inc.’s </w:t>
      </w:r>
      <w:r>
        <w:rPr>
          <w:rFonts w:ascii="Times New Roman" w:eastAsia="宋体" w:hAnsi="Times New Roman" w:cs="Times New Roman"/>
          <w:i/>
          <w:iCs/>
          <w:color w:val="000000"/>
          <w:kern w:val="0"/>
          <w:sz w:val="20"/>
          <w:szCs w:val="20"/>
          <w:lang w:bidi="ar"/>
        </w:rPr>
        <w:t>Acquisition of Pivotal Software, Inc.</w:t>
      </w:r>
      <w:r>
        <w:rPr>
          <w:rFonts w:ascii="Times New Roman" w:eastAsia="宋体" w:hAnsi="Times New Roman" w:cs="Times New Roman"/>
          <w:color w:val="000000"/>
          <w:kern w:val="0"/>
          <w:sz w:val="20"/>
          <w:szCs w:val="20"/>
          <w:lang w:bidi="ar"/>
        </w:rPr>
        <w:t xml:space="preserve"> — Two purported stockholders brought putative class action complaints arising out of VMware, Inc.’s acquisition of Pivotal Software, Inc. (“Pivotal”) on December 30, 2019. The two actions were consolidated in the Delaw</w:t>
      </w:r>
      <w:r>
        <w:rPr>
          <w:rFonts w:ascii="Times New Roman" w:eastAsia="宋体" w:hAnsi="Times New Roman" w:cs="Times New Roman"/>
          <w:color w:val="000000"/>
          <w:kern w:val="0"/>
          <w:sz w:val="20"/>
          <w:szCs w:val="20"/>
          <w:lang w:bidi="ar"/>
        </w:rPr>
        <w:t xml:space="preserve">are Chancery Court into In re: Pivotal Software, Inc. Stockholders Litigation (Civil Action No. 2020-0440-KSJM). The complaint names as defendants the Company, VMware, Inc., Michael S. Dell, and certain officers of Pivotal. The plaintiffs generally allege </w:t>
      </w:r>
      <w:r>
        <w:rPr>
          <w:rFonts w:ascii="Times New Roman" w:eastAsia="宋体" w:hAnsi="Times New Roman" w:cs="Times New Roman"/>
          <w:color w:val="000000"/>
          <w:kern w:val="0"/>
          <w:sz w:val="20"/>
          <w:szCs w:val="20"/>
          <w:lang w:bidi="ar"/>
        </w:rPr>
        <w:t>that the defendants breached their fiduciary duties to the former holders of Pivotal Class A Common Stock in connection with VMware, Inc.’s acquisition of Pivotal by allegedly causing Pivotal to enter into a transaction that favored the interests of Pivota</w:t>
      </w:r>
      <w:r>
        <w:rPr>
          <w:rFonts w:ascii="Times New Roman" w:eastAsia="宋体" w:hAnsi="Times New Roman" w:cs="Times New Roman"/>
          <w:color w:val="000000"/>
          <w:kern w:val="0"/>
          <w:sz w:val="20"/>
          <w:szCs w:val="20"/>
          <w:lang w:bidi="ar"/>
        </w:rPr>
        <w:t>l’s controlling stockholders at the expense of such former stockholders. The parties have reached an agreement to settle the litigation and are seeking the court’s approval of the settlement.</w:t>
      </w:r>
    </w:p>
    <w:p w14:paraId="59E4A551"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A552"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i/>
          <w:iCs/>
          <w:color w:val="000000"/>
          <w:kern w:val="0"/>
          <w:sz w:val="20"/>
          <w:szCs w:val="20"/>
          <w:lang w:bidi="ar"/>
        </w:rPr>
        <w:t>Other Litigation</w:t>
      </w:r>
      <w:r>
        <w:rPr>
          <w:rFonts w:ascii="Times New Roman" w:eastAsia="宋体" w:hAnsi="Times New Roman" w:cs="Times New Roman"/>
          <w:color w:val="000000"/>
          <w:kern w:val="0"/>
          <w:sz w:val="20"/>
          <w:szCs w:val="20"/>
          <w:lang w:bidi="ar"/>
        </w:rPr>
        <w:t xml:space="preserve"> — Dell does not currently anticipate that any</w:t>
      </w:r>
      <w:r>
        <w:rPr>
          <w:rFonts w:ascii="Times New Roman" w:eastAsia="宋体" w:hAnsi="Times New Roman" w:cs="Times New Roman"/>
          <w:color w:val="000000"/>
          <w:kern w:val="0"/>
          <w:sz w:val="20"/>
          <w:szCs w:val="20"/>
          <w:lang w:bidi="ar"/>
        </w:rPr>
        <w:t xml:space="preserve"> of the other various legal proceedings it is involved in will have a material adverse effect on its business, financial condition, results of operations, or cash flows.</w:t>
      </w:r>
    </w:p>
    <w:p w14:paraId="59E4A553"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A554"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In accordance with the relevant accounting guidance, the Company provides disclosure</w:t>
      </w:r>
      <w:r>
        <w:rPr>
          <w:rFonts w:ascii="Times New Roman" w:eastAsia="宋体" w:hAnsi="Times New Roman" w:cs="Times New Roman"/>
          <w:color w:val="000000"/>
          <w:kern w:val="0"/>
          <w:sz w:val="20"/>
          <w:szCs w:val="20"/>
          <w:lang w:bidi="ar"/>
        </w:rPr>
        <w:t>s of matters where it is at least reasonably possible that the Company could experience a material loss exceeding the amounts already accrued for these or other proceedings or matters. In addition, the Company also discloses matters based on its considerat</w:t>
      </w:r>
      <w:r>
        <w:rPr>
          <w:rFonts w:ascii="Times New Roman" w:eastAsia="宋体" w:hAnsi="Times New Roman" w:cs="Times New Roman"/>
          <w:color w:val="000000"/>
          <w:kern w:val="0"/>
          <w:sz w:val="20"/>
          <w:szCs w:val="20"/>
          <w:lang w:bidi="ar"/>
        </w:rPr>
        <w:t>ion of other matters and qualitative factors, including the experience of other companies in the industry, and investor, customer, and employee relations considerations. As of July 29, 2022, the Company does not believe there is a reasonable possibility th</w:t>
      </w:r>
      <w:r>
        <w:rPr>
          <w:rFonts w:ascii="Times New Roman" w:eastAsia="宋体" w:hAnsi="Times New Roman" w:cs="Times New Roman"/>
          <w:color w:val="000000"/>
          <w:kern w:val="0"/>
          <w:sz w:val="20"/>
          <w:szCs w:val="20"/>
          <w:lang w:bidi="ar"/>
        </w:rPr>
        <w:t xml:space="preserve">at a material loss exceeding the amounts already accrued for these or other proceedings or matters has been incurred. However, since the ultimate resolution of any such proceedings and matters is inherently unpredictable, the Company’s business, financial </w:t>
      </w:r>
      <w:r>
        <w:rPr>
          <w:rFonts w:ascii="Times New Roman" w:eastAsia="宋体" w:hAnsi="Times New Roman" w:cs="Times New Roman"/>
          <w:color w:val="000000"/>
          <w:kern w:val="0"/>
          <w:sz w:val="20"/>
          <w:szCs w:val="20"/>
          <w:lang w:bidi="ar"/>
        </w:rPr>
        <w:t>condition, results of operations, or cash flows could be materially affected in any particular period by unfavorable outcomes in one or more of these proceedings or matters. Whether the outcome of any claim, suit, assessment, investigation, or legal procee</w:t>
      </w:r>
      <w:r>
        <w:rPr>
          <w:rFonts w:ascii="Times New Roman" w:eastAsia="宋体" w:hAnsi="Times New Roman" w:cs="Times New Roman"/>
          <w:color w:val="000000"/>
          <w:kern w:val="0"/>
          <w:sz w:val="20"/>
          <w:szCs w:val="20"/>
          <w:lang w:bidi="ar"/>
        </w:rPr>
        <w:t>ding, individually or collectively, could have a material adverse effect on the Company’s business, financial condition, results of operations, or cash flows will depend on a number of factors, including the nature, timing, and amount of any associated exp</w:t>
      </w:r>
      <w:r>
        <w:rPr>
          <w:rFonts w:ascii="Times New Roman" w:eastAsia="宋体" w:hAnsi="Times New Roman" w:cs="Times New Roman"/>
          <w:color w:val="000000"/>
          <w:kern w:val="0"/>
          <w:sz w:val="20"/>
          <w:szCs w:val="20"/>
          <w:lang w:bidi="ar"/>
        </w:rPr>
        <w:t>enses, amounts paid in settlement, damages, or other remedies or consequences.</w:t>
      </w:r>
    </w:p>
    <w:p w14:paraId="59E4A555"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A556"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Indemnifications Obligations</w:t>
      </w:r>
    </w:p>
    <w:p w14:paraId="59E4A557"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A558"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In the ordinary course of business, the Company enters into various contracts under which it may agree to indemnify other parties for losses inc</w:t>
      </w:r>
      <w:r>
        <w:rPr>
          <w:rFonts w:ascii="Times New Roman" w:eastAsia="宋体" w:hAnsi="Times New Roman" w:cs="Times New Roman"/>
          <w:color w:val="000000"/>
          <w:kern w:val="0"/>
          <w:sz w:val="20"/>
          <w:szCs w:val="20"/>
          <w:lang w:bidi="ar"/>
        </w:rPr>
        <w:t xml:space="preserve">urred from certain events as defined in the relevant contract, such as litigation, regulatory penalties, or claims relating to past performance. Such indemnification obligations may not be subject to maximum loss clauses. Historically, payments related to </w:t>
      </w:r>
      <w:r>
        <w:rPr>
          <w:rFonts w:ascii="Times New Roman" w:eastAsia="宋体" w:hAnsi="Times New Roman" w:cs="Times New Roman"/>
          <w:color w:val="000000"/>
          <w:kern w:val="0"/>
          <w:sz w:val="20"/>
          <w:szCs w:val="20"/>
          <w:lang w:bidi="ar"/>
        </w:rPr>
        <w:t>these indemnification obligations have not been material to the Company.</w:t>
      </w:r>
    </w:p>
    <w:p w14:paraId="59E4A559"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A55A"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Under the Separation and Distribution Agreement described in Note 2 of the Notes to the Condensed Consolidated Financial Statements, Dell Technologies has agreed to </w:t>
      </w:r>
      <w:r>
        <w:rPr>
          <w:rFonts w:ascii="Times New Roman" w:eastAsia="宋体" w:hAnsi="Times New Roman" w:cs="Times New Roman"/>
          <w:color w:val="000000"/>
          <w:kern w:val="0"/>
          <w:sz w:val="20"/>
          <w:szCs w:val="20"/>
          <w:lang w:bidi="ar"/>
        </w:rPr>
        <w:t>indemnify VMware, Inc., each of its subsidiaries and each of their respective directors, officers, and employees from and against all liabilities relating to, arising out of or resulting from, among other matters, the liabilities allocated to Dell Technolo</w:t>
      </w:r>
      <w:r>
        <w:rPr>
          <w:rFonts w:ascii="Times New Roman" w:eastAsia="宋体" w:hAnsi="Times New Roman" w:cs="Times New Roman"/>
          <w:color w:val="000000"/>
          <w:kern w:val="0"/>
          <w:sz w:val="20"/>
          <w:szCs w:val="20"/>
          <w:lang w:bidi="ar"/>
        </w:rPr>
        <w:t>gies as part of the separation of Dell Technologies and VMware and their respective businesses as a result of the VMware Spin-off (the “Separation”). VMware similarly has agreed to indemnify Dell Technologies Inc., each of its subsidiaries and each of thei</w:t>
      </w:r>
      <w:r>
        <w:rPr>
          <w:rFonts w:ascii="Times New Roman" w:eastAsia="宋体" w:hAnsi="Times New Roman" w:cs="Times New Roman"/>
          <w:color w:val="000000"/>
          <w:kern w:val="0"/>
          <w:sz w:val="20"/>
          <w:szCs w:val="20"/>
          <w:lang w:bidi="ar"/>
        </w:rPr>
        <w:t>r respective directors, officers, and employees from and against all liabilities relating to, arising out of or resulting from, among other matters, the liabilities allocated to VMware as part of the Separation. Dell Technologies expects VMware to fully pe</w:t>
      </w:r>
      <w:r>
        <w:rPr>
          <w:rFonts w:ascii="Times New Roman" w:eastAsia="宋体" w:hAnsi="Times New Roman" w:cs="Times New Roman"/>
          <w:color w:val="000000"/>
          <w:kern w:val="0"/>
          <w:sz w:val="20"/>
          <w:szCs w:val="20"/>
          <w:lang w:bidi="ar"/>
        </w:rPr>
        <w:t>rform under the terms of the Separation and Distribution Agreement.</w:t>
      </w:r>
    </w:p>
    <w:p w14:paraId="59E4A55B"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A55C"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For information on the cross-indemnifications related to the tax matters agreement between the Company and VMware described in Note 2 of the Notes to the Condensed Consolidated Financial Statements effective upon the Separation on November 1, 2021, see Not</w:t>
      </w:r>
      <w:r>
        <w:rPr>
          <w:rFonts w:ascii="Times New Roman" w:eastAsia="宋体" w:hAnsi="Times New Roman" w:cs="Times New Roman"/>
          <w:color w:val="000000"/>
          <w:kern w:val="0"/>
          <w:sz w:val="20"/>
          <w:szCs w:val="20"/>
          <w:lang w:bidi="ar"/>
        </w:rPr>
        <w:t xml:space="preserve">e 2 and Note 16 of the Notes to the Condensed Consolidated Financial Statements. </w:t>
      </w:r>
    </w:p>
    <w:p w14:paraId="59E4A55D"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A55E"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A55F"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42</w:t>
      </w:r>
    </w:p>
    <w:p w14:paraId="59E4A560"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A561" w14:textId="77777777" w:rsidR="00D7560A" w:rsidRDefault="001E3CAB">
      <w:pPr>
        <w:widowControl/>
        <w:jc w:val="center"/>
      </w:pPr>
      <w:r>
        <w:rPr>
          <w:rFonts w:ascii="宋体" w:eastAsia="宋体" w:hAnsi="宋体" w:cs="宋体"/>
          <w:kern w:val="0"/>
          <w:sz w:val="24"/>
        </w:rPr>
        <w:pict w14:anchorId="59E4C7F5">
          <v:rect id="_x0000_i1066" style="width:6in;height:1.5pt" o:hralign="center" o:hrstd="t" o:hr="t" fillcolor="#a0a0a0" stroked="f"/>
        </w:pict>
      </w:r>
    </w:p>
    <w:p w14:paraId="59E4A562" w14:textId="77777777" w:rsidR="00D7560A" w:rsidRDefault="001E3CAB">
      <w:pPr>
        <w:widowControl/>
        <w:jc w:val="left"/>
        <w:rPr>
          <w:rFonts w:ascii="宋体" w:eastAsia="宋体" w:hAnsi="宋体" w:cs="宋体"/>
          <w:kern w:val="0"/>
          <w:sz w:val="24"/>
        </w:rPr>
      </w:pPr>
      <w:hyperlink w:anchor="if933dd1d5d004d2495dd7029e3ecad00_13" w:history="1">
        <w:r>
          <w:rPr>
            <w:rStyle w:val="a4"/>
            <w:rFonts w:ascii="Times New Roman" w:eastAsia="宋体" w:hAnsi="Times New Roman" w:cs="Times New Roman"/>
            <w:sz w:val="20"/>
            <w:szCs w:val="20"/>
          </w:rPr>
          <w:t>Table of Contents</w:t>
        </w:r>
      </w:hyperlink>
    </w:p>
    <w:p w14:paraId="59E4A563"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DELL TECHNOLOGIES INC.</w:t>
      </w:r>
    </w:p>
    <w:p w14:paraId="59E4A564"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NOTES TO THE CONDENSED CONSOLIDATED FINANCIAL STATEMENTS (Conti</w:t>
      </w:r>
      <w:r>
        <w:rPr>
          <w:rFonts w:ascii="Times New Roman" w:eastAsia="宋体" w:hAnsi="Times New Roman" w:cs="Times New Roman"/>
          <w:b/>
          <w:bCs/>
          <w:color w:val="000000"/>
          <w:kern w:val="0"/>
          <w:sz w:val="20"/>
          <w:szCs w:val="20"/>
          <w:lang w:bidi="ar"/>
        </w:rPr>
        <w:t>nued)</w:t>
      </w:r>
    </w:p>
    <w:p w14:paraId="59E4A565"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(unaudited)</w:t>
      </w:r>
    </w:p>
    <w:p w14:paraId="59E4A566"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A567"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NOTE 12 — INCOME AND OTHER TAXES</w:t>
      </w:r>
    </w:p>
    <w:p w14:paraId="59E4A568"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A569"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For the three months ended July 29, 2022, the Company’s effective income tax rate was 20.3% on pre-tax income of $0.6 billion compared to 13.2% on pre-tax income of $0.7 billion for the three months en</w:t>
      </w:r>
      <w:r>
        <w:rPr>
          <w:rFonts w:ascii="Times New Roman" w:eastAsia="宋体" w:hAnsi="Times New Roman" w:cs="Times New Roman"/>
          <w:color w:val="000000"/>
          <w:kern w:val="0"/>
          <w:sz w:val="20"/>
          <w:szCs w:val="20"/>
          <w:lang w:bidi="ar"/>
        </w:rPr>
        <w:t>ded July 30, 2021. For the six months ended July 29, 2022, the Company’s effective income tax rate was 14.8% on pre-tax income of $1.8 billion compared to 9.6% on pre-tax income of $1.4 billion for the six months ended July 30, 2021. For both the three and</w:t>
      </w:r>
      <w:r>
        <w:rPr>
          <w:rFonts w:ascii="Times New Roman" w:eastAsia="宋体" w:hAnsi="Times New Roman" w:cs="Times New Roman"/>
          <w:color w:val="000000"/>
          <w:kern w:val="0"/>
          <w:sz w:val="20"/>
          <w:szCs w:val="20"/>
          <w:lang w:bidi="ar"/>
        </w:rPr>
        <w:t xml:space="preserve"> six months ended July 29, 2022, the changes in the Company’s effective tax rates were primarily attributable to changes in discrete tax items. Other increases to the Company’s effective income tax rates were primarily driven by a change in the jurisdictio</w:t>
      </w:r>
      <w:r>
        <w:rPr>
          <w:rFonts w:ascii="Times New Roman" w:eastAsia="宋体" w:hAnsi="Times New Roman" w:cs="Times New Roman"/>
          <w:color w:val="000000"/>
          <w:kern w:val="0"/>
          <w:sz w:val="20"/>
          <w:szCs w:val="20"/>
          <w:lang w:bidi="ar"/>
        </w:rPr>
        <w:t>nal mix of income and higher U.S. tax on foreign operations, the effects of which were partially offset by higher benefits from foreign tax credits.</w:t>
      </w:r>
    </w:p>
    <w:p w14:paraId="59E4A56A"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A56B"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Higher U.S. tax on foreign operations is attributable to the capitalization of research and development c</w:t>
      </w:r>
      <w:r>
        <w:rPr>
          <w:rFonts w:ascii="Times New Roman" w:eastAsia="宋体" w:hAnsi="Times New Roman" w:cs="Times New Roman"/>
          <w:color w:val="000000"/>
          <w:kern w:val="0"/>
          <w:sz w:val="20"/>
          <w:szCs w:val="20"/>
          <w:lang w:bidi="ar"/>
        </w:rPr>
        <w:t>osts. Under the Tax Cuts and Jobs Act, which was enacted on December 22, 2017, research and development costs incurred for tax years beginning after December 31, 2021 must be capitalized and amortized ratably over five or 15 years for tax purposes, dependi</w:t>
      </w:r>
      <w:r>
        <w:rPr>
          <w:rFonts w:ascii="Times New Roman" w:eastAsia="宋体" w:hAnsi="Times New Roman" w:cs="Times New Roman"/>
          <w:color w:val="000000"/>
          <w:kern w:val="0"/>
          <w:sz w:val="20"/>
          <w:szCs w:val="20"/>
          <w:lang w:bidi="ar"/>
        </w:rPr>
        <w:t xml:space="preserve">ng on where the research activities are conducted. The effective income tax rate for future quarters of Fiscal 2023 may be impacted by actions taken by the U.S. government to defer or repeal this provision, as well as by the actual mix of jurisdictions in </w:t>
      </w:r>
      <w:r>
        <w:rPr>
          <w:rFonts w:ascii="Times New Roman" w:eastAsia="宋体" w:hAnsi="Times New Roman" w:cs="Times New Roman"/>
          <w:color w:val="000000"/>
          <w:kern w:val="0"/>
          <w:sz w:val="20"/>
          <w:szCs w:val="20"/>
          <w:lang w:bidi="ar"/>
        </w:rPr>
        <w:t>which income is generated and the impact of any discrete tax items.</w:t>
      </w:r>
    </w:p>
    <w:p w14:paraId="59E4A56C"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A56D"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The differences between the estimated effective income tax rates and the U.S. federal statutory rate of 21% principally result from the Company’s geographical distribution of income, dif</w:t>
      </w:r>
      <w:r>
        <w:rPr>
          <w:rFonts w:ascii="Times New Roman" w:eastAsia="宋体" w:hAnsi="Times New Roman" w:cs="Times New Roman"/>
          <w:color w:val="000000"/>
          <w:kern w:val="0"/>
          <w:sz w:val="20"/>
          <w:szCs w:val="20"/>
          <w:lang w:bidi="ar"/>
        </w:rPr>
        <w:t>ferences between the book and tax treatment of certain items, and discrete tax items. In certain jurisdictions, the Company’s tax rate is significantly less than the applicable statutory rate as a result of tax holidays. The majority of the Company’s forei</w:t>
      </w:r>
      <w:r>
        <w:rPr>
          <w:rFonts w:ascii="Times New Roman" w:eastAsia="宋体" w:hAnsi="Times New Roman" w:cs="Times New Roman"/>
          <w:color w:val="000000"/>
          <w:kern w:val="0"/>
          <w:sz w:val="20"/>
          <w:szCs w:val="20"/>
          <w:lang w:bidi="ar"/>
        </w:rPr>
        <w:t>gn income that is subject to these tax holidays and lower tax rates is attributable to Singapore and China. A significant portion of these income tax benefits relate to a tax holiday that will be effective until January 31, 2029. The Company’s other tax ho</w:t>
      </w:r>
      <w:r>
        <w:rPr>
          <w:rFonts w:ascii="Times New Roman" w:eastAsia="宋体" w:hAnsi="Times New Roman" w:cs="Times New Roman"/>
          <w:color w:val="000000"/>
          <w:kern w:val="0"/>
          <w:sz w:val="20"/>
          <w:szCs w:val="20"/>
          <w:lang w:bidi="ar"/>
        </w:rPr>
        <w:t>lidays will expire in whole or in part during fiscal years 2030 through 2031. Many of these tax holidays and reduced tax rates may be extended when certain conditions are met or may be terminated early if certain conditions are not met. As of July 29, 2022</w:t>
      </w:r>
      <w:r>
        <w:rPr>
          <w:rFonts w:ascii="Times New Roman" w:eastAsia="宋体" w:hAnsi="Times New Roman" w:cs="Times New Roman"/>
          <w:color w:val="000000"/>
          <w:kern w:val="0"/>
          <w:sz w:val="20"/>
          <w:szCs w:val="20"/>
          <w:lang w:bidi="ar"/>
        </w:rPr>
        <w:t>, the Company was not aware of any matters of non-compliance related to these tax holidays.</w:t>
      </w:r>
    </w:p>
    <w:p w14:paraId="59E4A56E"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A56F"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The Internal Revenue Service is currently conducting tax examinations of the Company for fiscal years 2015 through 2019. The Company is also currently under </w:t>
      </w:r>
      <w:r>
        <w:rPr>
          <w:rFonts w:ascii="Times New Roman" w:eastAsia="宋体" w:hAnsi="Times New Roman" w:cs="Times New Roman"/>
          <w:color w:val="000000"/>
          <w:kern w:val="0"/>
          <w:sz w:val="20"/>
          <w:szCs w:val="20"/>
          <w:lang w:bidi="ar"/>
        </w:rPr>
        <w:t>income tax audits in various state and foreign jurisdictions. The Company is undergoing negotiations, and in some cases contested proceedings, relating to tax matters with the taxing authorities in these jurisdictions. The Company believes that it has vali</w:t>
      </w:r>
      <w:r>
        <w:rPr>
          <w:rFonts w:ascii="Times New Roman" w:eastAsia="宋体" w:hAnsi="Times New Roman" w:cs="Times New Roman"/>
          <w:color w:val="000000"/>
          <w:kern w:val="0"/>
          <w:sz w:val="20"/>
          <w:szCs w:val="20"/>
          <w:lang w:bidi="ar"/>
        </w:rPr>
        <w:t>d positions supporting its tax returns and that it has provided adequate reserves related to all matters contained in tax periods open to examination. Although the Company believes it has made adequate provisions for the uncertainties surrounding these aud</w:t>
      </w:r>
      <w:r>
        <w:rPr>
          <w:rFonts w:ascii="Times New Roman" w:eastAsia="宋体" w:hAnsi="Times New Roman" w:cs="Times New Roman"/>
          <w:color w:val="000000"/>
          <w:kern w:val="0"/>
          <w:sz w:val="20"/>
          <w:szCs w:val="20"/>
          <w:lang w:bidi="ar"/>
        </w:rPr>
        <w:t>its, should the Company experience unfavorable outcomes, such outcomes could have a material impact on its results of operations, financial position, and cash flows. With respect to major U.S., state and foreign taxing jurisdictions, the Company is general</w:t>
      </w:r>
      <w:r>
        <w:rPr>
          <w:rFonts w:ascii="Times New Roman" w:eastAsia="宋体" w:hAnsi="Times New Roman" w:cs="Times New Roman"/>
          <w:color w:val="000000"/>
          <w:kern w:val="0"/>
          <w:sz w:val="20"/>
          <w:szCs w:val="20"/>
          <w:lang w:bidi="ar"/>
        </w:rPr>
        <w:t>ly not subject to tax examinations for years prior to the fiscal year ended January 29, 2010.</w:t>
      </w:r>
    </w:p>
    <w:p w14:paraId="59E4A570"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A571"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Judgment is required in evaluating the Company’s uncertain tax positions and determining the Company’s provision for income taxes. The unrecognized tax benefits</w:t>
      </w:r>
      <w:r>
        <w:rPr>
          <w:rFonts w:ascii="Times New Roman" w:eastAsia="宋体" w:hAnsi="Times New Roman" w:cs="Times New Roman"/>
          <w:color w:val="000000"/>
          <w:kern w:val="0"/>
          <w:sz w:val="20"/>
          <w:szCs w:val="20"/>
          <w:lang w:bidi="ar"/>
        </w:rPr>
        <w:t xml:space="preserve"> were $1.2 billion as of both July 29, 2022 and January 28, 2022, and are included in other non-current liabilities in the Condensed Consolidated Statements of Financial Position. The Company does not anticipate a significant change to the total amount of </w:t>
      </w:r>
      <w:r>
        <w:rPr>
          <w:rFonts w:ascii="Times New Roman" w:eastAsia="宋体" w:hAnsi="Times New Roman" w:cs="Times New Roman"/>
          <w:color w:val="000000"/>
          <w:kern w:val="0"/>
          <w:sz w:val="20"/>
          <w:szCs w:val="20"/>
          <w:lang w:bidi="ar"/>
        </w:rPr>
        <w:t>unrecognized tax benefits within the next twelve months.</w:t>
      </w:r>
    </w:p>
    <w:p w14:paraId="59E4A572"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A573"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The Company takes certain non-income tax positions in the jurisdictions in which it operates and has received certain non-income tax assessments from various jurisdictions. The Company believes tha</w:t>
      </w:r>
      <w:r>
        <w:rPr>
          <w:rFonts w:ascii="Times New Roman" w:eastAsia="宋体" w:hAnsi="Times New Roman" w:cs="Times New Roman"/>
          <w:color w:val="000000"/>
          <w:kern w:val="0"/>
          <w:sz w:val="20"/>
          <w:szCs w:val="20"/>
          <w:lang w:bidi="ar"/>
        </w:rPr>
        <w:t>t a material loss in these matters is not probable and that it is not reasonably possible that a material loss exceeding amounts already accrued has been incurred. The Company believes its positions in these non-income tax litigation matters are supportabl</w:t>
      </w:r>
      <w:r>
        <w:rPr>
          <w:rFonts w:ascii="Times New Roman" w:eastAsia="宋体" w:hAnsi="Times New Roman" w:cs="Times New Roman"/>
          <w:color w:val="000000"/>
          <w:kern w:val="0"/>
          <w:sz w:val="20"/>
          <w:szCs w:val="20"/>
          <w:lang w:bidi="ar"/>
        </w:rPr>
        <w:t>e and that it ultimately will prevail in the matters. In the normal course of business, the Company’s positions and conclusions related to its non-income taxes could be challenged and assessments may be made. To the extent new information is obtained and t</w:t>
      </w:r>
      <w:r>
        <w:rPr>
          <w:rFonts w:ascii="Times New Roman" w:eastAsia="宋体" w:hAnsi="Times New Roman" w:cs="Times New Roman"/>
          <w:color w:val="000000"/>
          <w:kern w:val="0"/>
          <w:sz w:val="20"/>
          <w:szCs w:val="20"/>
          <w:lang w:bidi="ar"/>
        </w:rPr>
        <w:t>he Company’s views on its positions, probable outcomes of assessments, or litigation change, changes in estimates to the Company’s accrued liabilities would be recorded in the period in which such a determination is made. In the resolution process for inco</w:t>
      </w:r>
      <w:r>
        <w:rPr>
          <w:rFonts w:ascii="Times New Roman" w:eastAsia="宋体" w:hAnsi="Times New Roman" w:cs="Times New Roman"/>
          <w:color w:val="000000"/>
          <w:kern w:val="0"/>
          <w:sz w:val="20"/>
          <w:szCs w:val="20"/>
          <w:lang w:bidi="ar"/>
        </w:rPr>
        <w:t>me tax and non-income tax audits, the Company is required in certain situations to provide collateral guarantees or indemnification to regulators and tax authorities until the matter is resolved.</w:t>
      </w:r>
    </w:p>
    <w:p w14:paraId="59E4A574"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A575"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43</w:t>
      </w:r>
    </w:p>
    <w:p w14:paraId="59E4A576"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A577" w14:textId="77777777" w:rsidR="00D7560A" w:rsidRDefault="001E3CAB">
      <w:pPr>
        <w:widowControl/>
        <w:jc w:val="center"/>
      </w:pPr>
      <w:r>
        <w:rPr>
          <w:rFonts w:ascii="宋体" w:eastAsia="宋体" w:hAnsi="宋体" w:cs="宋体"/>
          <w:kern w:val="0"/>
          <w:sz w:val="24"/>
        </w:rPr>
        <w:pict w14:anchorId="59E4C7F6">
          <v:rect id="_x0000_i1067" style="width:6in;height:1.5pt" o:hralign="center" o:hrstd="t" o:hr="t" fillcolor="#a0a0a0" stroked="f"/>
        </w:pict>
      </w:r>
    </w:p>
    <w:p w14:paraId="59E4A578" w14:textId="77777777" w:rsidR="00D7560A" w:rsidRDefault="001E3CAB">
      <w:pPr>
        <w:widowControl/>
        <w:jc w:val="left"/>
        <w:rPr>
          <w:rFonts w:ascii="宋体" w:eastAsia="宋体" w:hAnsi="宋体" w:cs="宋体"/>
          <w:kern w:val="0"/>
          <w:sz w:val="24"/>
        </w:rPr>
      </w:pPr>
      <w:hyperlink w:anchor="if933dd1d5d004d2495dd7029e3ecad00_13" w:history="1">
        <w:r>
          <w:rPr>
            <w:rStyle w:val="a4"/>
            <w:rFonts w:ascii="Times New Roman" w:eastAsia="宋体" w:hAnsi="Times New Roman" w:cs="Times New Roman"/>
            <w:sz w:val="20"/>
            <w:szCs w:val="20"/>
          </w:rPr>
          <w:t>Table of Contents</w:t>
        </w:r>
      </w:hyperlink>
    </w:p>
    <w:p w14:paraId="59E4A579"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DELL TECHNOLOGIES INC.</w:t>
      </w:r>
    </w:p>
    <w:p w14:paraId="59E4A57A"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NOTES TO THE CONDENSED CONSOLIDATED FINANCIAL STATEMENTS (Continued)</w:t>
      </w:r>
    </w:p>
    <w:p w14:paraId="59E4A57B"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(unaudited)</w:t>
      </w:r>
    </w:p>
    <w:p w14:paraId="59E4A57C"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A57D"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 xml:space="preserve">NOTE 13 — ACCUMULATED OTHER COMPREHENSIVE INCOME (LOSS) </w:t>
      </w:r>
    </w:p>
    <w:p w14:paraId="59E4A57E"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A57F"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Accumulated ot</w:t>
      </w:r>
      <w:r>
        <w:rPr>
          <w:rFonts w:ascii="Times New Roman" w:eastAsia="宋体" w:hAnsi="Times New Roman" w:cs="Times New Roman"/>
          <w:color w:val="000000"/>
          <w:kern w:val="0"/>
          <w:sz w:val="20"/>
          <w:szCs w:val="20"/>
          <w:lang w:bidi="ar"/>
        </w:rPr>
        <w:t>her comprehensive income (loss) is presented in stockholders’ equity (deficit) in the Condensed Consolidated Statements of Financial Position and consists of amounts related to foreign currency translation adjustments, unrealized net gains (losses) on cash</w:t>
      </w:r>
      <w:r>
        <w:rPr>
          <w:rFonts w:ascii="Times New Roman" w:eastAsia="宋体" w:hAnsi="Times New Roman" w:cs="Times New Roman"/>
          <w:color w:val="000000"/>
          <w:kern w:val="0"/>
          <w:sz w:val="20"/>
          <w:szCs w:val="20"/>
          <w:lang w:bidi="ar"/>
        </w:rPr>
        <w:t xml:space="preserve"> flow hedges, and actuarial net gains (losses) from pension and other postretirement plans.</w:t>
      </w:r>
    </w:p>
    <w:p w14:paraId="59E4A580"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A581" w14:textId="77777777" w:rsidR="00D7560A" w:rsidRDefault="001E3CAB">
      <w:pPr>
        <w:widowControl/>
        <w:spacing w:after="12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The following table presents changes in accumulated other comprehensive income (loss), net of tax, by the following components as of the dates </w:t>
      </w:r>
      <w:r>
        <w:rPr>
          <w:rFonts w:ascii="Times New Roman" w:eastAsia="宋体" w:hAnsi="Times New Roman" w:cs="Times New Roman"/>
          <w:color w:val="000000"/>
          <w:kern w:val="0"/>
          <w:sz w:val="20"/>
          <w:szCs w:val="20"/>
          <w:lang w:bidi="ar"/>
        </w:rPr>
        <w:t>indicated:</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9"/>
        <w:gridCol w:w="3258"/>
        <w:gridCol w:w="38"/>
        <w:gridCol w:w="121"/>
        <w:gridCol w:w="979"/>
        <w:gridCol w:w="36"/>
        <w:gridCol w:w="36"/>
        <w:gridCol w:w="36"/>
        <w:gridCol w:w="36"/>
        <w:gridCol w:w="36"/>
        <w:gridCol w:w="36"/>
        <w:gridCol w:w="121"/>
        <w:gridCol w:w="639"/>
        <w:gridCol w:w="36"/>
        <w:gridCol w:w="36"/>
        <w:gridCol w:w="36"/>
        <w:gridCol w:w="36"/>
        <w:gridCol w:w="121"/>
        <w:gridCol w:w="1152"/>
        <w:gridCol w:w="36"/>
        <w:gridCol w:w="36"/>
        <w:gridCol w:w="36"/>
        <w:gridCol w:w="36"/>
        <w:gridCol w:w="121"/>
        <w:gridCol w:w="1207"/>
        <w:gridCol w:w="36"/>
      </w:tblGrid>
      <w:tr w:rsidR="00D7560A" w14:paraId="59E4A59C" w14:textId="77777777">
        <w:tc>
          <w:tcPr>
            <w:tcW w:w="50" w:type="pct"/>
            <w:tcBorders>
              <w:top w:val="nil"/>
              <w:left w:val="nil"/>
              <w:bottom w:val="nil"/>
              <w:right w:val="nil"/>
            </w:tcBorders>
            <w:shd w:val="clear" w:color="auto" w:fill="auto"/>
            <w:vAlign w:val="bottom"/>
          </w:tcPr>
          <w:p w14:paraId="59E4A582" w14:textId="77777777" w:rsidR="00D7560A" w:rsidRDefault="00D7560A">
            <w:pPr>
              <w:widowControl/>
              <w:jc w:val="left"/>
              <w:rPr>
                <w:rFonts w:ascii="Times New Roman" w:eastAsia="宋体" w:hAnsi="宋体" w:cs="宋体"/>
                <w:kern w:val="0"/>
                <w:sz w:val="24"/>
              </w:rPr>
            </w:pPr>
          </w:p>
        </w:tc>
        <w:tc>
          <w:tcPr>
            <w:tcW w:w="2247" w:type="pct"/>
            <w:tcBorders>
              <w:top w:val="nil"/>
              <w:left w:val="nil"/>
              <w:bottom w:val="nil"/>
              <w:right w:val="nil"/>
            </w:tcBorders>
            <w:shd w:val="clear" w:color="auto" w:fill="auto"/>
            <w:vAlign w:val="bottom"/>
          </w:tcPr>
          <w:p w14:paraId="59E4A583"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A584"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A585" w14:textId="77777777" w:rsidR="00D7560A" w:rsidRDefault="00D7560A">
            <w:pPr>
              <w:widowControl/>
              <w:jc w:val="left"/>
              <w:rPr>
                <w:rFonts w:ascii="Times New Roman" w:eastAsia="宋体" w:hAnsi="宋体" w:cs="宋体"/>
                <w:kern w:val="0"/>
                <w:sz w:val="24"/>
              </w:rPr>
            </w:pPr>
          </w:p>
        </w:tc>
        <w:tc>
          <w:tcPr>
            <w:tcW w:w="559" w:type="pct"/>
            <w:tcBorders>
              <w:top w:val="nil"/>
              <w:left w:val="nil"/>
              <w:bottom w:val="nil"/>
              <w:right w:val="nil"/>
            </w:tcBorders>
            <w:shd w:val="clear" w:color="auto" w:fill="auto"/>
            <w:vAlign w:val="bottom"/>
          </w:tcPr>
          <w:p w14:paraId="59E4A586"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A587"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A588" w14:textId="77777777" w:rsidR="00D7560A" w:rsidRDefault="00D7560A">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59E4A589"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A58A"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A58B" w14:textId="77777777" w:rsidR="00D7560A" w:rsidRDefault="00D7560A">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59E4A58C" w14:textId="77777777" w:rsidR="00D7560A" w:rsidRDefault="00D7560A">
            <w:pPr>
              <w:widowControl/>
              <w:jc w:val="left"/>
              <w:rPr>
                <w:rFonts w:ascii="Times New Roman" w:eastAsia="宋体" w:hAnsi="宋体" w:cs="宋体"/>
                <w:vanish/>
                <w:kern w:val="0"/>
                <w:sz w:val="24"/>
              </w:rPr>
            </w:pPr>
          </w:p>
        </w:tc>
        <w:tc>
          <w:tcPr>
            <w:tcW w:w="50" w:type="pct"/>
            <w:tcBorders>
              <w:top w:val="nil"/>
              <w:left w:val="nil"/>
              <w:bottom w:val="nil"/>
              <w:right w:val="nil"/>
            </w:tcBorders>
            <w:shd w:val="clear" w:color="auto" w:fill="auto"/>
            <w:vAlign w:val="bottom"/>
          </w:tcPr>
          <w:p w14:paraId="59E4A58D" w14:textId="77777777" w:rsidR="00D7560A" w:rsidRDefault="00D7560A">
            <w:pPr>
              <w:widowControl/>
              <w:jc w:val="left"/>
              <w:rPr>
                <w:rFonts w:ascii="Times New Roman" w:eastAsia="宋体" w:hAnsi="宋体" w:cs="宋体"/>
                <w:kern w:val="0"/>
                <w:sz w:val="24"/>
              </w:rPr>
            </w:pPr>
          </w:p>
        </w:tc>
        <w:tc>
          <w:tcPr>
            <w:tcW w:w="537" w:type="pct"/>
            <w:tcBorders>
              <w:top w:val="nil"/>
              <w:left w:val="nil"/>
              <w:bottom w:val="nil"/>
              <w:right w:val="nil"/>
            </w:tcBorders>
            <w:shd w:val="clear" w:color="auto" w:fill="auto"/>
            <w:vAlign w:val="bottom"/>
          </w:tcPr>
          <w:p w14:paraId="59E4A58E"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A58F"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A590" w14:textId="77777777" w:rsidR="00D7560A" w:rsidRDefault="00D7560A">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59E4A591"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A592"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A593" w14:textId="77777777" w:rsidR="00D7560A" w:rsidRDefault="00D7560A">
            <w:pPr>
              <w:widowControl/>
              <w:jc w:val="left"/>
              <w:rPr>
                <w:rFonts w:ascii="Times New Roman" w:eastAsia="宋体" w:hAnsi="宋体" w:cs="宋体"/>
                <w:kern w:val="0"/>
                <w:sz w:val="24"/>
              </w:rPr>
            </w:pPr>
          </w:p>
        </w:tc>
        <w:tc>
          <w:tcPr>
            <w:tcW w:w="624" w:type="pct"/>
            <w:tcBorders>
              <w:top w:val="nil"/>
              <w:left w:val="nil"/>
              <w:bottom w:val="nil"/>
              <w:right w:val="nil"/>
            </w:tcBorders>
            <w:shd w:val="clear" w:color="auto" w:fill="auto"/>
            <w:vAlign w:val="bottom"/>
          </w:tcPr>
          <w:p w14:paraId="59E4A594"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A595"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A596" w14:textId="77777777" w:rsidR="00D7560A" w:rsidRDefault="00D7560A">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59E4A597"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A598"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A599" w14:textId="77777777" w:rsidR="00D7560A" w:rsidRDefault="00D7560A">
            <w:pPr>
              <w:widowControl/>
              <w:jc w:val="left"/>
              <w:rPr>
                <w:rFonts w:ascii="Times New Roman" w:eastAsia="宋体" w:hAnsi="宋体" w:cs="宋体"/>
                <w:kern w:val="0"/>
                <w:sz w:val="24"/>
              </w:rPr>
            </w:pPr>
          </w:p>
        </w:tc>
        <w:tc>
          <w:tcPr>
            <w:tcW w:w="668" w:type="pct"/>
            <w:tcBorders>
              <w:top w:val="nil"/>
              <w:left w:val="nil"/>
              <w:bottom w:val="nil"/>
              <w:right w:val="nil"/>
            </w:tcBorders>
            <w:shd w:val="clear" w:color="auto" w:fill="auto"/>
            <w:vAlign w:val="bottom"/>
          </w:tcPr>
          <w:p w14:paraId="59E4A59A"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A59B" w14:textId="77777777" w:rsidR="00D7560A" w:rsidRDefault="00D7560A">
            <w:pPr>
              <w:widowControl/>
              <w:jc w:val="left"/>
              <w:rPr>
                <w:rFonts w:ascii="Times New Roman" w:eastAsia="宋体" w:hAnsi="宋体" w:cs="宋体"/>
                <w:kern w:val="0"/>
                <w:sz w:val="24"/>
              </w:rPr>
            </w:pPr>
          </w:p>
        </w:tc>
      </w:tr>
      <w:tr w:rsidR="00D7560A" w14:paraId="59E4A5A7"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A59D"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9E4A59E"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9"/>
                <w:szCs w:val="19"/>
                <w:lang w:bidi="ar"/>
              </w:rPr>
              <w:t>Foreign Currency Translation Adjustments</w:t>
            </w: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59E4A59F"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single" w:sz="8" w:space="0" w:color="000000"/>
              <w:right w:val="nil"/>
            </w:tcBorders>
            <w:shd w:val="clear" w:color="auto" w:fill="auto"/>
            <w:vAlign w:val="bottom"/>
          </w:tcPr>
          <w:p w14:paraId="59E4A5A0" w14:textId="77777777" w:rsidR="00D7560A" w:rsidRDefault="00D7560A">
            <w:pPr>
              <w:widowControl/>
              <w:jc w:val="left"/>
              <w:rPr>
                <w:rFonts w:ascii="Times New Roman" w:eastAsia="宋体" w:hAnsi="宋体" w:cs="宋体"/>
                <w:vanish/>
                <w:kern w:val="0"/>
                <w:sz w:val="24"/>
              </w:rPr>
            </w:pPr>
          </w:p>
        </w:tc>
        <w:tc>
          <w:tcPr>
            <w:tcW w:w="0" w:type="auto"/>
            <w:tcBorders>
              <w:top w:val="nil"/>
              <w:left w:val="nil"/>
              <w:bottom w:val="single" w:sz="8" w:space="0" w:color="000000"/>
              <w:right w:val="nil"/>
            </w:tcBorders>
            <w:shd w:val="clear" w:color="auto" w:fill="auto"/>
            <w:vAlign w:val="bottom"/>
          </w:tcPr>
          <w:p w14:paraId="59E4A5A1"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single" w:sz="8" w:space="0" w:color="000000"/>
              <w:right w:val="nil"/>
            </w:tcBorders>
            <w:shd w:val="clear" w:color="auto" w:fill="auto"/>
            <w:tcMar>
              <w:top w:w="40" w:type="dxa"/>
              <w:left w:w="20" w:type="dxa"/>
              <w:bottom w:w="40" w:type="dxa"/>
              <w:right w:w="20" w:type="dxa"/>
            </w:tcMar>
            <w:vAlign w:val="bottom"/>
          </w:tcPr>
          <w:p w14:paraId="59E4A5A2"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9"/>
                <w:szCs w:val="19"/>
                <w:lang w:bidi="ar"/>
              </w:rPr>
              <w:t>Cash Flow Hedges</w:t>
            </w: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59E4A5A3"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auto"/>
            <w:tcMar>
              <w:top w:w="40" w:type="dxa"/>
              <w:left w:w="20" w:type="dxa"/>
              <w:bottom w:w="40" w:type="dxa"/>
              <w:right w:w="20" w:type="dxa"/>
            </w:tcMar>
            <w:vAlign w:val="bottom"/>
          </w:tcPr>
          <w:p w14:paraId="59E4A5A4"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9"/>
                <w:szCs w:val="19"/>
                <w:lang w:bidi="ar"/>
              </w:rPr>
              <w:t>Pension and Other Postretirement Plans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A5A5"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auto"/>
            <w:tcMar>
              <w:top w:w="40" w:type="dxa"/>
              <w:left w:w="20" w:type="dxa"/>
              <w:bottom w:w="40" w:type="dxa"/>
              <w:right w:w="20" w:type="dxa"/>
            </w:tcMar>
            <w:vAlign w:val="bottom"/>
          </w:tcPr>
          <w:p w14:paraId="59E4A5A6"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9"/>
                <w:szCs w:val="19"/>
                <w:lang w:bidi="ar"/>
              </w:rPr>
              <w:t>Accumulated Other Comprehensive Income (Loss)</w:t>
            </w:r>
          </w:p>
        </w:tc>
      </w:tr>
      <w:tr w:rsidR="00D7560A" w14:paraId="59E4A5B0"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A5A8" w14:textId="77777777" w:rsidR="00D7560A" w:rsidRDefault="00D7560A">
            <w:pPr>
              <w:widowControl/>
              <w:jc w:val="left"/>
              <w:rPr>
                <w:rFonts w:ascii="Times New Roman" w:eastAsia="宋体" w:hAnsi="宋体" w:cs="宋体"/>
                <w:kern w:val="0"/>
                <w:sz w:val="24"/>
              </w:rPr>
            </w:pPr>
          </w:p>
        </w:tc>
        <w:tc>
          <w:tcPr>
            <w:tcW w:w="0" w:type="auto"/>
            <w:gridSpan w:val="17"/>
            <w:tcBorders>
              <w:top w:val="single" w:sz="8" w:space="0" w:color="000000"/>
              <w:left w:val="nil"/>
              <w:bottom w:val="nil"/>
              <w:right w:val="nil"/>
            </w:tcBorders>
            <w:shd w:val="clear" w:color="auto" w:fill="auto"/>
            <w:tcMar>
              <w:top w:w="40" w:type="dxa"/>
              <w:left w:w="20" w:type="dxa"/>
              <w:bottom w:w="40" w:type="dxa"/>
              <w:right w:w="20" w:type="dxa"/>
            </w:tcMar>
            <w:vAlign w:val="bottom"/>
          </w:tcPr>
          <w:p w14:paraId="59E4A5A9"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(in millions)</w:t>
            </w:r>
          </w:p>
        </w:tc>
        <w:tc>
          <w:tcPr>
            <w:tcW w:w="0" w:type="auto"/>
            <w:tcBorders>
              <w:top w:val="nil"/>
              <w:left w:val="nil"/>
              <w:bottom w:val="nil"/>
              <w:right w:val="nil"/>
            </w:tcBorders>
            <w:shd w:val="clear" w:color="auto" w:fill="auto"/>
            <w:vAlign w:val="bottom"/>
          </w:tcPr>
          <w:p w14:paraId="59E4A5AA"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A5AB"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A5AC"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A5AD"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A5AE"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A5AF" w14:textId="77777777" w:rsidR="00D7560A" w:rsidRDefault="00D7560A">
            <w:pPr>
              <w:widowControl/>
              <w:jc w:val="left"/>
              <w:rPr>
                <w:rFonts w:ascii="Times New Roman" w:eastAsia="宋体" w:hAnsi="宋体" w:cs="宋体"/>
                <w:kern w:val="0"/>
                <w:sz w:val="24"/>
              </w:rPr>
            </w:pPr>
          </w:p>
        </w:tc>
      </w:tr>
      <w:tr w:rsidR="00D7560A" w14:paraId="59E4A5BB" w14:textId="77777777">
        <w:trPr>
          <w:hidden/>
        </w:trPr>
        <w:tc>
          <w:tcPr>
            <w:tcW w:w="0" w:type="auto"/>
            <w:gridSpan w:val="3"/>
            <w:tcBorders>
              <w:top w:val="nil"/>
              <w:left w:val="nil"/>
              <w:bottom w:val="nil"/>
              <w:right w:val="nil"/>
            </w:tcBorders>
            <w:shd w:val="clear" w:color="auto" w:fill="auto"/>
            <w:vAlign w:val="bottom"/>
          </w:tcPr>
          <w:p w14:paraId="59E4A5B1"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5B2"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5B3" w14:textId="77777777" w:rsidR="00D7560A" w:rsidRDefault="00D7560A">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59E4A5B4" w14:textId="77777777" w:rsidR="00D7560A" w:rsidRDefault="00D7560A">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59E4A5B5"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5B6"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5B7"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5B8"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5B9"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5BA" w14:textId="77777777" w:rsidR="00D7560A" w:rsidRDefault="00D7560A">
            <w:pPr>
              <w:widowControl/>
              <w:jc w:val="left"/>
              <w:rPr>
                <w:rFonts w:ascii="Times New Roman" w:eastAsia="宋体" w:hAnsi="宋体" w:cs="宋体"/>
                <w:vanish/>
                <w:kern w:val="0"/>
                <w:sz w:val="24"/>
              </w:rPr>
            </w:pPr>
          </w:p>
        </w:tc>
      </w:tr>
      <w:tr w:rsidR="00D7560A" w14:paraId="59E4A5C6" w14:textId="77777777">
        <w:trPr>
          <w:hidden/>
        </w:trPr>
        <w:tc>
          <w:tcPr>
            <w:tcW w:w="0" w:type="auto"/>
            <w:gridSpan w:val="3"/>
            <w:tcBorders>
              <w:top w:val="nil"/>
              <w:left w:val="nil"/>
              <w:bottom w:val="nil"/>
              <w:right w:val="nil"/>
            </w:tcBorders>
            <w:shd w:val="clear" w:color="auto" w:fill="auto"/>
            <w:vAlign w:val="bottom"/>
          </w:tcPr>
          <w:p w14:paraId="59E4A5BC"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5BD"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5BE" w14:textId="77777777" w:rsidR="00D7560A" w:rsidRDefault="00D7560A">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59E4A5BF" w14:textId="77777777" w:rsidR="00D7560A" w:rsidRDefault="00D7560A">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59E4A5C0"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5C1"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5C2"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5C3"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5C4"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5C5" w14:textId="77777777" w:rsidR="00D7560A" w:rsidRDefault="00D7560A">
            <w:pPr>
              <w:widowControl/>
              <w:jc w:val="left"/>
              <w:rPr>
                <w:rFonts w:ascii="Times New Roman" w:eastAsia="宋体" w:hAnsi="宋体" w:cs="宋体"/>
                <w:vanish/>
                <w:kern w:val="0"/>
                <w:sz w:val="24"/>
              </w:rPr>
            </w:pPr>
          </w:p>
        </w:tc>
      </w:tr>
      <w:tr w:rsidR="00D7560A" w14:paraId="59E4A5D1" w14:textId="77777777">
        <w:trPr>
          <w:hidden/>
        </w:trPr>
        <w:tc>
          <w:tcPr>
            <w:tcW w:w="0" w:type="auto"/>
            <w:gridSpan w:val="3"/>
            <w:tcBorders>
              <w:top w:val="nil"/>
              <w:left w:val="nil"/>
              <w:bottom w:val="nil"/>
              <w:right w:val="nil"/>
            </w:tcBorders>
            <w:shd w:val="clear" w:color="auto" w:fill="auto"/>
            <w:vAlign w:val="bottom"/>
          </w:tcPr>
          <w:p w14:paraId="59E4A5C7"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5C8"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5C9" w14:textId="77777777" w:rsidR="00D7560A" w:rsidRDefault="00D7560A">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59E4A5CA" w14:textId="77777777" w:rsidR="00D7560A" w:rsidRDefault="00D7560A">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59E4A5CB"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5CC"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5CD"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5CE"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5CF"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5D0" w14:textId="77777777" w:rsidR="00D7560A" w:rsidRDefault="00D7560A">
            <w:pPr>
              <w:widowControl/>
              <w:jc w:val="left"/>
              <w:rPr>
                <w:rFonts w:ascii="Times New Roman" w:eastAsia="宋体" w:hAnsi="宋体" w:cs="宋体"/>
                <w:vanish/>
                <w:kern w:val="0"/>
                <w:sz w:val="24"/>
              </w:rPr>
            </w:pPr>
          </w:p>
        </w:tc>
      </w:tr>
      <w:tr w:rsidR="00D7560A" w14:paraId="59E4A5DC" w14:textId="77777777">
        <w:trPr>
          <w:hidden/>
        </w:trPr>
        <w:tc>
          <w:tcPr>
            <w:tcW w:w="0" w:type="auto"/>
            <w:gridSpan w:val="3"/>
            <w:tcBorders>
              <w:top w:val="nil"/>
              <w:left w:val="nil"/>
              <w:bottom w:val="nil"/>
              <w:right w:val="nil"/>
            </w:tcBorders>
            <w:shd w:val="clear" w:color="auto" w:fill="auto"/>
            <w:vAlign w:val="bottom"/>
          </w:tcPr>
          <w:p w14:paraId="59E4A5D2"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5D3"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5D4" w14:textId="77777777" w:rsidR="00D7560A" w:rsidRDefault="00D7560A">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59E4A5D5" w14:textId="77777777" w:rsidR="00D7560A" w:rsidRDefault="00D7560A">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59E4A5D6"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5D7"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5D8"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5D9"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5DA"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5DB" w14:textId="77777777" w:rsidR="00D7560A" w:rsidRDefault="00D7560A">
            <w:pPr>
              <w:widowControl/>
              <w:jc w:val="left"/>
              <w:rPr>
                <w:rFonts w:ascii="Times New Roman" w:eastAsia="宋体" w:hAnsi="宋体" w:cs="宋体"/>
                <w:vanish/>
                <w:kern w:val="0"/>
                <w:sz w:val="24"/>
              </w:rPr>
            </w:pPr>
          </w:p>
        </w:tc>
      </w:tr>
      <w:tr w:rsidR="00D7560A" w14:paraId="59E4A5E7" w14:textId="77777777">
        <w:trPr>
          <w:hidden/>
        </w:trPr>
        <w:tc>
          <w:tcPr>
            <w:tcW w:w="0" w:type="auto"/>
            <w:gridSpan w:val="3"/>
            <w:tcBorders>
              <w:top w:val="nil"/>
              <w:left w:val="nil"/>
              <w:bottom w:val="nil"/>
              <w:right w:val="nil"/>
            </w:tcBorders>
            <w:shd w:val="clear" w:color="auto" w:fill="auto"/>
            <w:vAlign w:val="bottom"/>
          </w:tcPr>
          <w:p w14:paraId="59E4A5DD"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5DE"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5DF" w14:textId="77777777" w:rsidR="00D7560A" w:rsidRDefault="00D7560A">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59E4A5E0" w14:textId="77777777" w:rsidR="00D7560A" w:rsidRDefault="00D7560A">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59E4A5E1"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5E2"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5E3"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5E4"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5E5"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5E6" w14:textId="77777777" w:rsidR="00D7560A" w:rsidRDefault="00D7560A">
            <w:pPr>
              <w:widowControl/>
              <w:jc w:val="left"/>
              <w:rPr>
                <w:rFonts w:ascii="Times New Roman" w:eastAsia="宋体" w:hAnsi="宋体" w:cs="宋体"/>
                <w:vanish/>
                <w:kern w:val="0"/>
                <w:sz w:val="24"/>
              </w:rPr>
            </w:pPr>
          </w:p>
        </w:tc>
      </w:tr>
      <w:tr w:rsidR="00D7560A" w14:paraId="59E4A5F2" w14:textId="77777777">
        <w:trPr>
          <w:hidden/>
        </w:trPr>
        <w:tc>
          <w:tcPr>
            <w:tcW w:w="0" w:type="auto"/>
            <w:gridSpan w:val="3"/>
            <w:tcBorders>
              <w:top w:val="nil"/>
              <w:left w:val="nil"/>
              <w:bottom w:val="nil"/>
              <w:right w:val="nil"/>
            </w:tcBorders>
            <w:shd w:val="clear" w:color="auto" w:fill="auto"/>
            <w:vAlign w:val="bottom"/>
          </w:tcPr>
          <w:p w14:paraId="59E4A5E8"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5E9"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5EA" w14:textId="77777777" w:rsidR="00D7560A" w:rsidRDefault="00D7560A">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59E4A5EB" w14:textId="77777777" w:rsidR="00D7560A" w:rsidRDefault="00D7560A">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59E4A5EC"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5ED"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5EE"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5EF"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5F0"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5F1" w14:textId="77777777" w:rsidR="00D7560A" w:rsidRDefault="00D7560A">
            <w:pPr>
              <w:widowControl/>
              <w:jc w:val="left"/>
              <w:rPr>
                <w:rFonts w:ascii="Times New Roman" w:eastAsia="宋体" w:hAnsi="宋体" w:cs="宋体"/>
                <w:vanish/>
                <w:kern w:val="0"/>
                <w:sz w:val="24"/>
              </w:rPr>
            </w:pPr>
          </w:p>
        </w:tc>
      </w:tr>
      <w:tr w:rsidR="00D7560A" w14:paraId="59E4A5FD" w14:textId="77777777">
        <w:trPr>
          <w:hidden/>
        </w:trPr>
        <w:tc>
          <w:tcPr>
            <w:tcW w:w="0" w:type="auto"/>
            <w:gridSpan w:val="3"/>
            <w:tcBorders>
              <w:top w:val="nil"/>
              <w:left w:val="nil"/>
              <w:bottom w:val="nil"/>
              <w:right w:val="nil"/>
            </w:tcBorders>
            <w:shd w:val="clear" w:color="auto" w:fill="auto"/>
            <w:vAlign w:val="bottom"/>
          </w:tcPr>
          <w:p w14:paraId="59E4A5F3"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5F4"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5F5" w14:textId="77777777" w:rsidR="00D7560A" w:rsidRDefault="00D7560A">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59E4A5F6" w14:textId="77777777" w:rsidR="00D7560A" w:rsidRDefault="00D7560A">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59E4A5F7"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5F8"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5F9"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5FA"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5FB"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5FC" w14:textId="77777777" w:rsidR="00D7560A" w:rsidRDefault="00D7560A">
            <w:pPr>
              <w:widowControl/>
              <w:jc w:val="left"/>
              <w:rPr>
                <w:rFonts w:ascii="Times New Roman" w:eastAsia="宋体" w:hAnsi="宋体" w:cs="宋体"/>
                <w:vanish/>
                <w:kern w:val="0"/>
                <w:sz w:val="24"/>
              </w:rPr>
            </w:pPr>
          </w:p>
        </w:tc>
      </w:tr>
      <w:tr w:rsidR="00D7560A" w14:paraId="59E4A608" w14:textId="77777777">
        <w:trPr>
          <w:hidden/>
        </w:trPr>
        <w:tc>
          <w:tcPr>
            <w:tcW w:w="0" w:type="auto"/>
            <w:gridSpan w:val="3"/>
            <w:tcBorders>
              <w:top w:val="nil"/>
              <w:left w:val="nil"/>
              <w:bottom w:val="nil"/>
              <w:right w:val="nil"/>
            </w:tcBorders>
            <w:shd w:val="clear" w:color="auto" w:fill="auto"/>
            <w:vAlign w:val="bottom"/>
          </w:tcPr>
          <w:p w14:paraId="59E4A5FE"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5FF"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600" w14:textId="77777777" w:rsidR="00D7560A" w:rsidRDefault="00D7560A">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59E4A601" w14:textId="77777777" w:rsidR="00D7560A" w:rsidRDefault="00D7560A">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59E4A602"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603"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604"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605"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606"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607" w14:textId="77777777" w:rsidR="00D7560A" w:rsidRDefault="00D7560A">
            <w:pPr>
              <w:widowControl/>
              <w:jc w:val="left"/>
              <w:rPr>
                <w:rFonts w:ascii="Times New Roman" w:eastAsia="宋体" w:hAnsi="宋体" w:cs="宋体"/>
                <w:vanish/>
                <w:kern w:val="0"/>
                <w:sz w:val="24"/>
              </w:rPr>
            </w:pPr>
          </w:p>
        </w:tc>
      </w:tr>
      <w:tr w:rsidR="00D7560A" w14:paraId="59E4A613" w14:textId="77777777">
        <w:trPr>
          <w:hidden/>
        </w:trPr>
        <w:tc>
          <w:tcPr>
            <w:tcW w:w="0" w:type="auto"/>
            <w:gridSpan w:val="3"/>
            <w:tcBorders>
              <w:top w:val="nil"/>
              <w:left w:val="nil"/>
              <w:bottom w:val="nil"/>
              <w:right w:val="nil"/>
            </w:tcBorders>
            <w:shd w:val="clear" w:color="auto" w:fill="auto"/>
            <w:vAlign w:val="bottom"/>
          </w:tcPr>
          <w:p w14:paraId="59E4A609"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60A"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60B" w14:textId="77777777" w:rsidR="00D7560A" w:rsidRDefault="00D7560A">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59E4A60C" w14:textId="77777777" w:rsidR="00D7560A" w:rsidRDefault="00D7560A">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59E4A60D"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60E"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60F"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610"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611"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612" w14:textId="77777777" w:rsidR="00D7560A" w:rsidRDefault="00D7560A">
            <w:pPr>
              <w:widowControl/>
              <w:jc w:val="left"/>
              <w:rPr>
                <w:rFonts w:ascii="Times New Roman" w:eastAsia="宋体" w:hAnsi="宋体" w:cs="宋体"/>
                <w:vanish/>
                <w:kern w:val="0"/>
                <w:sz w:val="24"/>
              </w:rPr>
            </w:pPr>
          </w:p>
        </w:tc>
      </w:tr>
      <w:tr w:rsidR="00D7560A" w14:paraId="59E4A61E" w14:textId="77777777">
        <w:trPr>
          <w:hidden/>
        </w:trPr>
        <w:tc>
          <w:tcPr>
            <w:tcW w:w="0" w:type="auto"/>
            <w:gridSpan w:val="3"/>
            <w:tcBorders>
              <w:top w:val="nil"/>
              <w:left w:val="nil"/>
              <w:bottom w:val="nil"/>
              <w:right w:val="nil"/>
            </w:tcBorders>
            <w:shd w:val="clear" w:color="auto" w:fill="auto"/>
            <w:vAlign w:val="bottom"/>
          </w:tcPr>
          <w:p w14:paraId="59E4A614"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615"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616" w14:textId="77777777" w:rsidR="00D7560A" w:rsidRDefault="00D7560A">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59E4A617" w14:textId="77777777" w:rsidR="00D7560A" w:rsidRDefault="00D7560A">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59E4A618"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619"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61A"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61B"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61C"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61D" w14:textId="77777777" w:rsidR="00D7560A" w:rsidRDefault="00D7560A">
            <w:pPr>
              <w:widowControl/>
              <w:jc w:val="left"/>
              <w:rPr>
                <w:rFonts w:ascii="Times New Roman" w:eastAsia="宋体" w:hAnsi="宋体" w:cs="宋体"/>
                <w:vanish/>
                <w:kern w:val="0"/>
                <w:sz w:val="24"/>
              </w:rPr>
            </w:pPr>
          </w:p>
        </w:tc>
      </w:tr>
      <w:tr w:rsidR="00D7560A" w14:paraId="59E4A629" w14:textId="77777777">
        <w:trPr>
          <w:hidden/>
        </w:trPr>
        <w:tc>
          <w:tcPr>
            <w:tcW w:w="0" w:type="auto"/>
            <w:gridSpan w:val="3"/>
            <w:tcBorders>
              <w:top w:val="nil"/>
              <w:left w:val="nil"/>
              <w:bottom w:val="nil"/>
              <w:right w:val="nil"/>
            </w:tcBorders>
            <w:shd w:val="clear" w:color="auto" w:fill="auto"/>
            <w:vAlign w:val="bottom"/>
          </w:tcPr>
          <w:p w14:paraId="59E4A61F"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620"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621" w14:textId="77777777" w:rsidR="00D7560A" w:rsidRDefault="00D7560A">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59E4A622" w14:textId="77777777" w:rsidR="00D7560A" w:rsidRDefault="00D7560A">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59E4A623"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624"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625"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626"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627"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628" w14:textId="77777777" w:rsidR="00D7560A" w:rsidRDefault="00D7560A">
            <w:pPr>
              <w:widowControl/>
              <w:jc w:val="left"/>
              <w:rPr>
                <w:rFonts w:ascii="Times New Roman" w:eastAsia="宋体" w:hAnsi="宋体" w:cs="宋体"/>
                <w:vanish/>
                <w:kern w:val="0"/>
                <w:sz w:val="24"/>
              </w:rPr>
            </w:pPr>
          </w:p>
        </w:tc>
      </w:tr>
      <w:tr w:rsidR="00D7560A" w14:paraId="59E4A634" w14:textId="77777777">
        <w:trPr>
          <w:hidden/>
        </w:trPr>
        <w:tc>
          <w:tcPr>
            <w:tcW w:w="0" w:type="auto"/>
            <w:gridSpan w:val="3"/>
            <w:tcBorders>
              <w:top w:val="nil"/>
              <w:left w:val="nil"/>
              <w:bottom w:val="nil"/>
              <w:right w:val="nil"/>
            </w:tcBorders>
            <w:shd w:val="clear" w:color="auto" w:fill="auto"/>
            <w:vAlign w:val="bottom"/>
          </w:tcPr>
          <w:p w14:paraId="59E4A62A"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62B"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62C" w14:textId="77777777" w:rsidR="00D7560A" w:rsidRDefault="00D7560A">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59E4A62D" w14:textId="77777777" w:rsidR="00D7560A" w:rsidRDefault="00D7560A">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59E4A62E"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62F"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630"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631"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632"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633" w14:textId="77777777" w:rsidR="00D7560A" w:rsidRDefault="00D7560A">
            <w:pPr>
              <w:widowControl/>
              <w:jc w:val="left"/>
              <w:rPr>
                <w:rFonts w:ascii="Times New Roman" w:eastAsia="宋体" w:hAnsi="宋体" w:cs="宋体"/>
                <w:vanish/>
                <w:kern w:val="0"/>
                <w:sz w:val="24"/>
              </w:rPr>
            </w:pPr>
          </w:p>
        </w:tc>
      </w:tr>
      <w:tr w:rsidR="00D7560A" w14:paraId="59E4A63F" w14:textId="77777777">
        <w:trPr>
          <w:hidden/>
        </w:trPr>
        <w:tc>
          <w:tcPr>
            <w:tcW w:w="0" w:type="auto"/>
            <w:gridSpan w:val="3"/>
            <w:tcBorders>
              <w:top w:val="nil"/>
              <w:left w:val="nil"/>
              <w:bottom w:val="nil"/>
              <w:right w:val="nil"/>
            </w:tcBorders>
            <w:shd w:val="clear" w:color="auto" w:fill="auto"/>
            <w:vAlign w:val="bottom"/>
          </w:tcPr>
          <w:p w14:paraId="59E4A635"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636"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637" w14:textId="77777777" w:rsidR="00D7560A" w:rsidRDefault="00D7560A">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59E4A638" w14:textId="77777777" w:rsidR="00D7560A" w:rsidRDefault="00D7560A">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59E4A639"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63A"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63B"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63C"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63D"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63E" w14:textId="77777777" w:rsidR="00D7560A" w:rsidRDefault="00D7560A">
            <w:pPr>
              <w:widowControl/>
              <w:jc w:val="left"/>
              <w:rPr>
                <w:rFonts w:ascii="Times New Roman" w:eastAsia="宋体" w:hAnsi="宋体" w:cs="宋体"/>
                <w:vanish/>
                <w:kern w:val="0"/>
                <w:sz w:val="24"/>
              </w:rPr>
            </w:pPr>
          </w:p>
        </w:tc>
      </w:tr>
      <w:tr w:rsidR="00D7560A" w14:paraId="59E4A64A" w14:textId="77777777">
        <w:trPr>
          <w:hidden/>
        </w:trPr>
        <w:tc>
          <w:tcPr>
            <w:tcW w:w="0" w:type="auto"/>
            <w:gridSpan w:val="3"/>
            <w:tcBorders>
              <w:top w:val="nil"/>
              <w:left w:val="nil"/>
              <w:bottom w:val="nil"/>
              <w:right w:val="nil"/>
            </w:tcBorders>
            <w:shd w:val="clear" w:color="auto" w:fill="auto"/>
            <w:vAlign w:val="bottom"/>
          </w:tcPr>
          <w:p w14:paraId="59E4A640"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641"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642" w14:textId="77777777" w:rsidR="00D7560A" w:rsidRDefault="00D7560A">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59E4A643" w14:textId="77777777" w:rsidR="00D7560A" w:rsidRDefault="00D7560A">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59E4A644"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645"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646"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647"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648"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649" w14:textId="77777777" w:rsidR="00D7560A" w:rsidRDefault="00D7560A">
            <w:pPr>
              <w:widowControl/>
              <w:jc w:val="left"/>
              <w:rPr>
                <w:rFonts w:ascii="Times New Roman" w:eastAsia="宋体" w:hAnsi="宋体" w:cs="宋体"/>
                <w:vanish/>
                <w:kern w:val="0"/>
                <w:sz w:val="24"/>
              </w:rPr>
            </w:pPr>
          </w:p>
        </w:tc>
      </w:tr>
      <w:tr w:rsidR="00D7560A" w14:paraId="59E4A655" w14:textId="77777777">
        <w:trPr>
          <w:hidden/>
        </w:trPr>
        <w:tc>
          <w:tcPr>
            <w:tcW w:w="0" w:type="auto"/>
            <w:gridSpan w:val="3"/>
            <w:tcBorders>
              <w:top w:val="nil"/>
              <w:left w:val="nil"/>
              <w:bottom w:val="nil"/>
              <w:right w:val="nil"/>
            </w:tcBorders>
            <w:shd w:val="clear" w:color="auto" w:fill="auto"/>
            <w:vAlign w:val="bottom"/>
          </w:tcPr>
          <w:p w14:paraId="59E4A64B"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64C"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64D" w14:textId="77777777" w:rsidR="00D7560A" w:rsidRDefault="00D7560A">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59E4A64E" w14:textId="77777777" w:rsidR="00D7560A" w:rsidRDefault="00D7560A">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59E4A64F"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650"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651"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652"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653"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654" w14:textId="77777777" w:rsidR="00D7560A" w:rsidRDefault="00D7560A">
            <w:pPr>
              <w:widowControl/>
              <w:jc w:val="left"/>
              <w:rPr>
                <w:rFonts w:ascii="Times New Roman" w:eastAsia="宋体" w:hAnsi="宋体" w:cs="宋体"/>
                <w:vanish/>
                <w:kern w:val="0"/>
                <w:sz w:val="24"/>
              </w:rPr>
            </w:pPr>
          </w:p>
        </w:tc>
      </w:tr>
      <w:tr w:rsidR="00D7560A" w14:paraId="59E4A660" w14:textId="77777777">
        <w:trPr>
          <w:hidden/>
        </w:trPr>
        <w:tc>
          <w:tcPr>
            <w:tcW w:w="0" w:type="auto"/>
            <w:gridSpan w:val="3"/>
            <w:tcBorders>
              <w:top w:val="nil"/>
              <w:left w:val="nil"/>
              <w:bottom w:val="nil"/>
              <w:right w:val="nil"/>
            </w:tcBorders>
            <w:shd w:val="clear" w:color="auto" w:fill="auto"/>
            <w:vAlign w:val="bottom"/>
          </w:tcPr>
          <w:p w14:paraId="59E4A656"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657"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658" w14:textId="77777777" w:rsidR="00D7560A" w:rsidRDefault="00D7560A">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59E4A659" w14:textId="77777777" w:rsidR="00D7560A" w:rsidRDefault="00D7560A">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59E4A65A"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65B"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65C"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65D"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65E"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65F" w14:textId="77777777" w:rsidR="00D7560A" w:rsidRDefault="00D7560A">
            <w:pPr>
              <w:widowControl/>
              <w:jc w:val="left"/>
              <w:rPr>
                <w:rFonts w:ascii="Times New Roman" w:eastAsia="宋体" w:hAnsi="宋体" w:cs="宋体"/>
                <w:vanish/>
                <w:kern w:val="0"/>
                <w:sz w:val="24"/>
              </w:rPr>
            </w:pPr>
          </w:p>
        </w:tc>
      </w:tr>
      <w:tr w:rsidR="00D7560A" w14:paraId="59E4A673"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9E4A661"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i/>
                <w:iCs/>
                <w:color w:val="000000"/>
                <w:kern w:val="0"/>
                <w:sz w:val="20"/>
                <w:szCs w:val="20"/>
                <w:lang w:bidi="ar"/>
              </w:rPr>
              <w:t>Balances as of January 28, 2022</w:t>
            </w: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9E4A662"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9E4A663"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(526)</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A664"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665"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A666" w14:textId="77777777" w:rsidR="00D7560A" w:rsidRDefault="00D7560A">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59E4A667" w14:textId="77777777" w:rsidR="00D7560A" w:rsidRDefault="00D7560A">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9E4A668"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9E4A669"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129 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A66A"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66B"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9E4A66C"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9E4A66D"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(34)</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A66E"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66F"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9E4A670"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9E4A671"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(431)</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A672" w14:textId="77777777" w:rsidR="00D7560A" w:rsidRDefault="00D7560A">
            <w:pPr>
              <w:widowControl/>
              <w:jc w:val="right"/>
              <w:rPr>
                <w:rFonts w:ascii="Times New Roman" w:eastAsia="宋体" w:hAnsi="宋体" w:cs="宋体"/>
                <w:kern w:val="0"/>
                <w:sz w:val="24"/>
              </w:rPr>
            </w:pPr>
          </w:p>
        </w:tc>
      </w:tr>
      <w:tr w:rsidR="00D7560A" w14:paraId="59E4A682" w14:textId="77777777">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59E4A674"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Other comprehensive income (loss) before reclassifications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A675"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(424)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A676"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677"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A678" w14:textId="77777777" w:rsidR="00D7560A" w:rsidRDefault="00D7560A">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59E4A679" w14:textId="77777777" w:rsidR="00D7560A" w:rsidRDefault="00D7560A">
            <w:pPr>
              <w:widowControl/>
              <w:jc w:val="left"/>
              <w:rPr>
                <w:rFonts w:ascii="Times New Roman" w:eastAsia="宋体" w:hAnsi="宋体" w:cs="宋体"/>
                <w:vanish/>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A67A"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538 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A67B"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67C"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A67D"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A67E"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67F"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A680"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127 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A681" w14:textId="77777777" w:rsidR="00D7560A" w:rsidRDefault="00D7560A">
            <w:pPr>
              <w:widowControl/>
              <w:jc w:val="right"/>
              <w:rPr>
                <w:rFonts w:ascii="Times New Roman" w:eastAsia="宋体" w:hAnsi="宋体" w:cs="宋体"/>
                <w:kern w:val="0"/>
                <w:sz w:val="24"/>
              </w:rPr>
            </w:pPr>
          </w:p>
        </w:tc>
      </w:tr>
      <w:tr w:rsidR="00D7560A" w14:paraId="59E4A691" w14:textId="77777777">
        <w:tc>
          <w:tcPr>
            <w:tcW w:w="0" w:type="auto"/>
            <w:gridSpan w:val="3"/>
            <w:tcBorders>
              <w:top w:val="nil"/>
              <w:left w:val="nil"/>
              <w:bottom w:val="nil"/>
              <w:right w:val="nil"/>
            </w:tcBorders>
            <w:shd w:val="clear" w:color="auto" w:fill="CCEEFF"/>
            <w:tcMar>
              <w:top w:w="40" w:type="dxa"/>
              <w:left w:w="245" w:type="dxa"/>
              <w:bottom w:w="40" w:type="dxa"/>
              <w:right w:w="20" w:type="dxa"/>
            </w:tcMar>
            <w:vAlign w:val="bottom"/>
          </w:tcPr>
          <w:p w14:paraId="59E4A683"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Amounts reclassified from accumulated other comprehensive income (loss)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A684"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A685"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686"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A687" w14:textId="77777777" w:rsidR="00D7560A" w:rsidRDefault="00D7560A">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59E4A688" w14:textId="77777777" w:rsidR="00D7560A" w:rsidRDefault="00D7560A">
            <w:pPr>
              <w:widowControl/>
              <w:jc w:val="left"/>
              <w:rPr>
                <w:rFonts w:ascii="Times New Roman" w:eastAsia="宋体" w:hAnsi="宋体" w:cs="宋体"/>
                <w:vanish/>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A689"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(402)</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A68A"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68B"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A68C"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A68D"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68E"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A68F"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(402)</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A690" w14:textId="77777777" w:rsidR="00D7560A" w:rsidRDefault="00D7560A">
            <w:pPr>
              <w:widowControl/>
              <w:jc w:val="right"/>
              <w:rPr>
                <w:rFonts w:ascii="Times New Roman" w:eastAsia="宋体" w:hAnsi="宋体" w:cs="宋体"/>
                <w:kern w:val="0"/>
                <w:sz w:val="24"/>
              </w:rPr>
            </w:pPr>
          </w:p>
        </w:tc>
      </w:tr>
      <w:tr w:rsidR="00D7560A" w14:paraId="59E4A6A0" w14:textId="77777777">
        <w:tc>
          <w:tcPr>
            <w:tcW w:w="0" w:type="auto"/>
            <w:gridSpan w:val="3"/>
            <w:tcBorders>
              <w:top w:val="nil"/>
              <w:left w:val="nil"/>
              <w:bottom w:val="nil"/>
              <w:right w:val="nil"/>
            </w:tcBorders>
            <w:shd w:val="clear" w:color="auto" w:fill="FFFFFF"/>
            <w:tcMar>
              <w:top w:w="40" w:type="dxa"/>
              <w:left w:w="515" w:type="dxa"/>
              <w:bottom w:w="40" w:type="dxa"/>
              <w:right w:w="20" w:type="dxa"/>
            </w:tcMar>
            <w:vAlign w:val="bottom"/>
          </w:tcPr>
          <w:p w14:paraId="59E4A692"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Total change for the period</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59E4A693"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(424)</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59E4A694"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695"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A696" w14:textId="77777777" w:rsidR="00D7560A" w:rsidRDefault="00D7560A">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59E4A697" w14:textId="77777777" w:rsidR="00D7560A" w:rsidRDefault="00D7560A">
            <w:pPr>
              <w:widowControl/>
              <w:jc w:val="left"/>
              <w:rPr>
                <w:rFonts w:ascii="Times New Roman" w:eastAsia="宋体" w:hAnsi="宋体" w:cs="宋体"/>
                <w:vanish/>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59E4A698"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136 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59E4A699"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69A" w14:textId="77777777" w:rsidR="00D7560A" w:rsidRDefault="00D7560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59E4A69B"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13 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59E4A69C"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69D" w14:textId="77777777" w:rsidR="00D7560A" w:rsidRDefault="00D7560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59E4A69E"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(275)</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59E4A69F" w14:textId="77777777" w:rsidR="00D7560A" w:rsidRDefault="00D7560A">
            <w:pPr>
              <w:widowControl/>
              <w:jc w:val="right"/>
              <w:rPr>
                <w:rFonts w:ascii="Times New Roman" w:eastAsia="宋体" w:hAnsi="宋体" w:cs="宋体"/>
                <w:kern w:val="0"/>
                <w:sz w:val="24"/>
              </w:rPr>
            </w:pPr>
          </w:p>
        </w:tc>
      </w:tr>
      <w:tr w:rsidR="00D7560A" w14:paraId="59E4A6AF" w14:textId="77777777">
        <w:tc>
          <w:tcPr>
            <w:tcW w:w="0" w:type="auto"/>
            <w:gridSpan w:val="3"/>
            <w:tcBorders>
              <w:top w:val="nil"/>
              <w:left w:val="nil"/>
              <w:bottom w:val="nil"/>
              <w:right w:val="nil"/>
            </w:tcBorders>
            <w:shd w:val="clear" w:color="auto" w:fill="CCEEFF"/>
            <w:tcMar>
              <w:top w:w="40" w:type="dxa"/>
              <w:left w:w="515" w:type="dxa"/>
              <w:bottom w:w="40" w:type="dxa"/>
              <w:right w:w="20" w:type="dxa"/>
            </w:tcMar>
            <w:vAlign w:val="bottom"/>
          </w:tcPr>
          <w:p w14:paraId="59E4A6A1"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Less: Change in comprehensive loss attributable to non-controlling interests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59E4A6A2"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59E4A6A3"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6A4"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A6A5" w14:textId="77777777" w:rsidR="00D7560A" w:rsidRDefault="00D7560A">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59E4A6A6" w14:textId="77777777" w:rsidR="00D7560A" w:rsidRDefault="00D7560A">
            <w:pPr>
              <w:widowControl/>
              <w:jc w:val="left"/>
              <w:rPr>
                <w:rFonts w:ascii="Times New Roman" w:eastAsia="宋体" w:hAnsi="宋体" w:cs="宋体"/>
                <w:vanish/>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59E4A6A7"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59E4A6A8"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6A9" w14:textId="77777777" w:rsidR="00D7560A" w:rsidRDefault="00D7560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59E4A6AA"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59E4A6AB"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6AC" w14:textId="77777777" w:rsidR="00D7560A" w:rsidRDefault="00D7560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59E4A6AD"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59E4A6AE" w14:textId="77777777" w:rsidR="00D7560A" w:rsidRDefault="00D7560A">
            <w:pPr>
              <w:widowControl/>
              <w:jc w:val="right"/>
              <w:rPr>
                <w:rFonts w:ascii="Times New Roman" w:eastAsia="宋体" w:hAnsi="宋体" w:cs="宋体"/>
                <w:kern w:val="0"/>
                <w:sz w:val="24"/>
              </w:rPr>
            </w:pPr>
          </w:p>
        </w:tc>
      </w:tr>
      <w:tr w:rsidR="00D7560A" w14:paraId="59E4A6C2"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59E4A6B0"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i/>
                <w:iCs/>
                <w:color w:val="000000"/>
                <w:kern w:val="0"/>
                <w:sz w:val="20"/>
                <w:szCs w:val="20"/>
                <w:lang w:bidi="ar"/>
              </w:rPr>
              <w:t>Balances as of July 29, 2022</w:t>
            </w: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59E4A6B1"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59E4A6B2"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(949)</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59E4A6B3"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6B4"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A6B5" w14:textId="77777777" w:rsidR="00D7560A" w:rsidRDefault="00D7560A">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59E4A6B6" w14:textId="77777777" w:rsidR="00D7560A" w:rsidRDefault="00D7560A">
            <w:pPr>
              <w:widowControl/>
              <w:jc w:val="left"/>
              <w:rPr>
                <w:rFonts w:ascii="Times New Roman" w:eastAsia="宋体" w:hAnsi="宋体" w:cs="宋体"/>
                <w:vanish/>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59E4A6B7"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59E4A6B8"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265 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59E4A6B9"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6BA"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59E4A6BB"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59E4A6BC"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(21)</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59E4A6BD"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6BE"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59E4A6BF"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59E4A6C0"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(705)</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59E4A6C1" w14:textId="77777777" w:rsidR="00D7560A" w:rsidRDefault="00D7560A">
            <w:pPr>
              <w:widowControl/>
              <w:jc w:val="right"/>
              <w:rPr>
                <w:rFonts w:ascii="Times New Roman" w:eastAsia="宋体" w:hAnsi="宋体" w:cs="宋体"/>
                <w:kern w:val="0"/>
                <w:sz w:val="24"/>
              </w:rPr>
            </w:pPr>
          </w:p>
        </w:tc>
      </w:tr>
    </w:tbl>
    <w:p w14:paraId="59E4A6C3"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A6C4" w14:textId="77777777" w:rsidR="00D7560A" w:rsidRDefault="001E3CAB">
      <w:pPr>
        <w:widowControl/>
        <w:spacing w:before="10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Amounts related </w:t>
      </w:r>
      <w:r>
        <w:rPr>
          <w:rFonts w:ascii="Times New Roman" w:eastAsia="宋体" w:hAnsi="Times New Roman" w:cs="Times New Roman"/>
          <w:color w:val="000000"/>
          <w:kern w:val="0"/>
          <w:sz w:val="20"/>
          <w:szCs w:val="20"/>
          <w:lang w:bidi="ar"/>
        </w:rPr>
        <w:t>to the Company’s cash flow hedges are reclassified to net income during the same period in which the items being hedged are recognized in earnings. See Note 8 of the Notes to the Condensed Consolidated Financial Statements for more information on the Compa</w:t>
      </w:r>
      <w:r>
        <w:rPr>
          <w:rFonts w:ascii="Times New Roman" w:eastAsia="宋体" w:hAnsi="Times New Roman" w:cs="Times New Roman"/>
          <w:color w:val="000000"/>
          <w:kern w:val="0"/>
          <w:sz w:val="20"/>
          <w:szCs w:val="20"/>
          <w:lang w:bidi="ar"/>
        </w:rPr>
        <w:t>ny’s derivative instruments.</w:t>
      </w:r>
    </w:p>
    <w:p w14:paraId="59E4A6C5"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A6C6"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A6C7"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44</w:t>
      </w:r>
    </w:p>
    <w:p w14:paraId="59E4A6C8"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A6C9" w14:textId="77777777" w:rsidR="00D7560A" w:rsidRDefault="001E3CAB">
      <w:pPr>
        <w:widowControl/>
        <w:jc w:val="center"/>
      </w:pPr>
      <w:r>
        <w:rPr>
          <w:rFonts w:ascii="宋体" w:eastAsia="宋体" w:hAnsi="宋体" w:cs="宋体"/>
          <w:kern w:val="0"/>
          <w:sz w:val="24"/>
        </w:rPr>
        <w:pict w14:anchorId="59E4C7F7">
          <v:rect id="_x0000_i1068" style="width:6in;height:1.5pt" o:hralign="center" o:hrstd="t" o:hr="t" fillcolor="#a0a0a0" stroked="f"/>
        </w:pict>
      </w:r>
    </w:p>
    <w:p w14:paraId="59E4A6CA" w14:textId="77777777" w:rsidR="00D7560A" w:rsidRDefault="001E3CAB">
      <w:pPr>
        <w:widowControl/>
        <w:jc w:val="left"/>
        <w:rPr>
          <w:rFonts w:ascii="宋体" w:eastAsia="宋体" w:hAnsi="宋体" w:cs="宋体"/>
          <w:kern w:val="0"/>
          <w:sz w:val="24"/>
        </w:rPr>
      </w:pPr>
      <w:hyperlink w:anchor="if933dd1d5d004d2495dd7029e3ecad00_13" w:history="1">
        <w:r>
          <w:rPr>
            <w:rStyle w:val="a4"/>
            <w:rFonts w:ascii="Times New Roman" w:eastAsia="宋体" w:hAnsi="Times New Roman" w:cs="Times New Roman"/>
            <w:sz w:val="20"/>
            <w:szCs w:val="20"/>
          </w:rPr>
          <w:t>Table of Contents</w:t>
        </w:r>
      </w:hyperlink>
    </w:p>
    <w:p w14:paraId="59E4A6CB"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DELL TECHNOLOGIES INC.</w:t>
      </w:r>
    </w:p>
    <w:p w14:paraId="59E4A6CC"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NOTES TO THE CONDENSED CONSOLIDATED FINANCIAL STATEMENTS (Continued)</w:t>
      </w:r>
    </w:p>
    <w:p w14:paraId="59E4A6CD"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(unaudited)</w:t>
      </w:r>
    </w:p>
    <w:p w14:paraId="59E4A6CE"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A6CF" w14:textId="77777777" w:rsidR="00D7560A" w:rsidRDefault="001E3CAB">
      <w:pPr>
        <w:widowControl/>
        <w:spacing w:after="12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The following table </w:t>
      </w:r>
      <w:r>
        <w:rPr>
          <w:rFonts w:ascii="Times New Roman" w:eastAsia="宋体" w:hAnsi="Times New Roman" w:cs="Times New Roman"/>
          <w:color w:val="000000"/>
          <w:kern w:val="0"/>
          <w:sz w:val="20"/>
          <w:szCs w:val="20"/>
          <w:lang w:bidi="ar"/>
        </w:rPr>
        <w:t>presents reclassifications out of accumulated other comprehensive income (loss), net of tax, to net income for the periods indicated:</w:t>
      </w:r>
    </w:p>
    <w:p w14:paraId="59E4A6D0" w14:textId="77777777" w:rsidR="00D7560A" w:rsidRDefault="001E3CAB">
      <w:pPr>
        <w:widowControl/>
        <w:spacing w:after="120"/>
        <w:jc w:val="left"/>
        <w:rPr>
          <w:rFonts w:ascii="宋体" w:eastAsia="宋体" w:hAnsi="宋体" w:cs="宋体"/>
          <w:kern w:val="0"/>
          <w:sz w:val="24"/>
        </w:rPr>
      </w:pPr>
      <w:r>
        <w:rPr>
          <w:rFonts w:ascii="宋体" w:eastAsia="宋体" w:hAnsi="宋体" w:cs="宋体" w:hint="eastAsia"/>
          <w:kern w:val="0"/>
          <w:sz w:val="24"/>
          <w:lang w:bidi="ar"/>
        </w:rPr>
        <w:t xml:space="preserve"> </w:t>
      </w:r>
    </w:p>
    <w:tbl>
      <w:tblPr>
        <w:tblW w:w="5000" w:type="pct"/>
        <w:jc w:val="center"/>
        <w:tblCellMar>
          <w:top w:w="15" w:type="dxa"/>
          <w:left w:w="15" w:type="dxa"/>
          <w:bottom w:w="15" w:type="dxa"/>
          <w:right w:w="15" w:type="dxa"/>
        </w:tblCellMar>
        <w:tblLook w:val="04A0" w:firstRow="1" w:lastRow="0" w:firstColumn="1" w:lastColumn="0" w:noHBand="0" w:noVBand="1"/>
      </w:tblPr>
      <w:tblGrid>
        <w:gridCol w:w="49"/>
        <w:gridCol w:w="2468"/>
        <w:gridCol w:w="37"/>
        <w:gridCol w:w="36"/>
        <w:gridCol w:w="36"/>
        <w:gridCol w:w="121"/>
        <w:gridCol w:w="692"/>
        <w:gridCol w:w="36"/>
        <w:gridCol w:w="36"/>
        <w:gridCol w:w="36"/>
        <w:gridCol w:w="36"/>
        <w:gridCol w:w="121"/>
        <w:gridCol w:w="704"/>
        <w:gridCol w:w="36"/>
        <w:gridCol w:w="36"/>
        <w:gridCol w:w="36"/>
        <w:gridCol w:w="36"/>
        <w:gridCol w:w="120"/>
        <w:gridCol w:w="681"/>
        <w:gridCol w:w="36"/>
        <w:gridCol w:w="36"/>
        <w:gridCol w:w="36"/>
        <w:gridCol w:w="36"/>
        <w:gridCol w:w="36"/>
        <w:gridCol w:w="36"/>
        <w:gridCol w:w="121"/>
        <w:gridCol w:w="693"/>
        <w:gridCol w:w="36"/>
        <w:gridCol w:w="36"/>
        <w:gridCol w:w="36"/>
        <w:gridCol w:w="36"/>
        <w:gridCol w:w="121"/>
        <w:gridCol w:w="704"/>
        <w:gridCol w:w="36"/>
        <w:gridCol w:w="36"/>
        <w:gridCol w:w="36"/>
        <w:gridCol w:w="36"/>
        <w:gridCol w:w="121"/>
        <w:gridCol w:w="683"/>
        <w:gridCol w:w="36"/>
      </w:tblGrid>
      <w:tr w:rsidR="00D7560A" w14:paraId="59E4A6F9" w14:textId="77777777">
        <w:trPr>
          <w:jc w:val="center"/>
        </w:trPr>
        <w:tc>
          <w:tcPr>
            <w:tcW w:w="50" w:type="pct"/>
            <w:tcBorders>
              <w:top w:val="nil"/>
              <w:left w:val="nil"/>
              <w:bottom w:val="nil"/>
              <w:right w:val="nil"/>
            </w:tcBorders>
            <w:shd w:val="clear" w:color="auto" w:fill="auto"/>
            <w:vAlign w:val="bottom"/>
          </w:tcPr>
          <w:p w14:paraId="59E4A6D1" w14:textId="77777777" w:rsidR="00D7560A" w:rsidRDefault="00D7560A">
            <w:pPr>
              <w:widowControl/>
              <w:jc w:val="left"/>
              <w:rPr>
                <w:rFonts w:ascii="Times New Roman" w:eastAsia="宋体" w:hAnsi="宋体" w:cs="宋体"/>
                <w:kern w:val="0"/>
                <w:sz w:val="24"/>
              </w:rPr>
            </w:pPr>
          </w:p>
        </w:tc>
        <w:tc>
          <w:tcPr>
            <w:tcW w:w="1597" w:type="pct"/>
            <w:tcBorders>
              <w:top w:val="nil"/>
              <w:left w:val="nil"/>
              <w:bottom w:val="nil"/>
              <w:right w:val="nil"/>
            </w:tcBorders>
            <w:shd w:val="clear" w:color="auto" w:fill="auto"/>
            <w:vAlign w:val="bottom"/>
          </w:tcPr>
          <w:p w14:paraId="59E4A6D2"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A6D3"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A6D4" w14:textId="77777777" w:rsidR="00D7560A" w:rsidRDefault="00D7560A">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59E4A6D5" w14:textId="77777777" w:rsidR="00D7560A" w:rsidRDefault="00D7560A">
            <w:pPr>
              <w:widowControl/>
              <w:jc w:val="left"/>
              <w:rPr>
                <w:rFonts w:ascii="Times New Roman" w:eastAsia="宋体" w:hAnsi="宋体" w:cs="宋体"/>
                <w:vanish/>
                <w:kern w:val="0"/>
                <w:sz w:val="24"/>
              </w:rPr>
            </w:pPr>
          </w:p>
        </w:tc>
        <w:tc>
          <w:tcPr>
            <w:tcW w:w="50" w:type="pct"/>
            <w:tcBorders>
              <w:top w:val="nil"/>
              <w:left w:val="nil"/>
              <w:bottom w:val="nil"/>
              <w:right w:val="nil"/>
            </w:tcBorders>
            <w:shd w:val="clear" w:color="auto" w:fill="auto"/>
            <w:vAlign w:val="bottom"/>
          </w:tcPr>
          <w:p w14:paraId="59E4A6D6" w14:textId="77777777" w:rsidR="00D7560A" w:rsidRDefault="00D7560A">
            <w:pPr>
              <w:widowControl/>
              <w:jc w:val="left"/>
              <w:rPr>
                <w:rFonts w:ascii="Times New Roman" w:eastAsia="宋体" w:hAnsi="宋体" w:cs="宋体"/>
                <w:kern w:val="0"/>
                <w:sz w:val="24"/>
              </w:rPr>
            </w:pPr>
          </w:p>
        </w:tc>
        <w:tc>
          <w:tcPr>
            <w:tcW w:w="478" w:type="pct"/>
            <w:tcBorders>
              <w:top w:val="nil"/>
              <w:left w:val="nil"/>
              <w:bottom w:val="nil"/>
              <w:right w:val="nil"/>
            </w:tcBorders>
            <w:shd w:val="clear" w:color="auto" w:fill="auto"/>
            <w:vAlign w:val="bottom"/>
          </w:tcPr>
          <w:p w14:paraId="59E4A6D7"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A6D8"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A6D9" w14:textId="77777777" w:rsidR="00D7560A" w:rsidRDefault="00D7560A">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59E4A6DA"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A6DB"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A6DC" w14:textId="77777777" w:rsidR="00D7560A" w:rsidRDefault="00D7560A">
            <w:pPr>
              <w:widowControl/>
              <w:jc w:val="left"/>
              <w:rPr>
                <w:rFonts w:ascii="Times New Roman" w:eastAsia="宋体" w:hAnsi="宋体" w:cs="宋体"/>
                <w:kern w:val="0"/>
                <w:sz w:val="24"/>
              </w:rPr>
            </w:pPr>
          </w:p>
        </w:tc>
        <w:tc>
          <w:tcPr>
            <w:tcW w:w="478" w:type="pct"/>
            <w:tcBorders>
              <w:top w:val="nil"/>
              <w:left w:val="nil"/>
              <w:bottom w:val="nil"/>
              <w:right w:val="nil"/>
            </w:tcBorders>
            <w:shd w:val="clear" w:color="auto" w:fill="auto"/>
            <w:vAlign w:val="bottom"/>
          </w:tcPr>
          <w:p w14:paraId="59E4A6DD"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A6DE"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A6DF" w14:textId="77777777" w:rsidR="00D7560A" w:rsidRDefault="00D7560A">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59E4A6E0"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A6E1"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A6E2" w14:textId="77777777" w:rsidR="00D7560A" w:rsidRDefault="00D7560A">
            <w:pPr>
              <w:widowControl/>
              <w:jc w:val="left"/>
              <w:rPr>
                <w:rFonts w:ascii="Times New Roman" w:eastAsia="宋体" w:hAnsi="宋体" w:cs="宋体"/>
                <w:kern w:val="0"/>
                <w:sz w:val="24"/>
              </w:rPr>
            </w:pPr>
          </w:p>
        </w:tc>
        <w:tc>
          <w:tcPr>
            <w:tcW w:w="478" w:type="pct"/>
            <w:tcBorders>
              <w:top w:val="nil"/>
              <w:left w:val="nil"/>
              <w:bottom w:val="nil"/>
              <w:right w:val="nil"/>
            </w:tcBorders>
            <w:shd w:val="clear" w:color="auto" w:fill="auto"/>
            <w:vAlign w:val="bottom"/>
          </w:tcPr>
          <w:p w14:paraId="59E4A6E3"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A6E4"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A6E5" w14:textId="77777777" w:rsidR="00D7560A" w:rsidRDefault="00D7560A">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59E4A6E6"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A6E7"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A6E8" w14:textId="77777777" w:rsidR="00D7560A" w:rsidRDefault="00D7560A">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59E4A6E9" w14:textId="77777777" w:rsidR="00D7560A" w:rsidRDefault="00D7560A">
            <w:pPr>
              <w:widowControl/>
              <w:jc w:val="left"/>
              <w:rPr>
                <w:rFonts w:ascii="Times New Roman" w:eastAsia="宋体" w:hAnsi="宋体" w:cs="宋体"/>
                <w:vanish/>
                <w:kern w:val="0"/>
                <w:sz w:val="24"/>
              </w:rPr>
            </w:pPr>
          </w:p>
        </w:tc>
        <w:tc>
          <w:tcPr>
            <w:tcW w:w="50" w:type="pct"/>
            <w:tcBorders>
              <w:top w:val="nil"/>
              <w:left w:val="nil"/>
              <w:bottom w:val="nil"/>
              <w:right w:val="nil"/>
            </w:tcBorders>
            <w:shd w:val="clear" w:color="auto" w:fill="auto"/>
            <w:vAlign w:val="bottom"/>
          </w:tcPr>
          <w:p w14:paraId="59E4A6EA" w14:textId="77777777" w:rsidR="00D7560A" w:rsidRDefault="00D7560A">
            <w:pPr>
              <w:widowControl/>
              <w:jc w:val="left"/>
              <w:rPr>
                <w:rFonts w:ascii="Times New Roman" w:eastAsia="宋体" w:hAnsi="宋体" w:cs="宋体"/>
                <w:kern w:val="0"/>
                <w:sz w:val="24"/>
              </w:rPr>
            </w:pPr>
          </w:p>
        </w:tc>
        <w:tc>
          <w:tcPr>
            <w:tcW w:w="478" w:type="pct"/>
            <w:tcBorders>
              <w:top w:val="nil"/>
              <w:left w:val="nil"/>
              <w:bottom w:val="nil"/>
              <w:right w:val="nil"/>
            </w:tcBorders>
            <w:shd w:val="clear" w:color="auto" w:fill="auto"/>
            <w:vAlign w:val="bottom"/>
          </w:tcPr>
          <w:p w14:paraId="59E4A6EB"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A6EC"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A6ED" w14:textId="77777777" w:rsidR="00D7560A" w:rsidRDefault="00D7560A">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59E4A6EE"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A6EF"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A6F0" w14:textId="77777777" w:rsidR="00D7560A" w:rsidRDefault="00D7560A">
            <w:pPr>
              <w:widowControl/>
              <w:jc w:val="left"/>
              <w:rPr>
                <w:rFonts w:ascii="Times New Roman" w:eastAsia="宋体" w:hAnsi="宋体" w:cs="宋体"/>
                <w:kern w:val="0"/>
                <w:sz w:val="24"/>
              </w:rPr>
            </w:pPr>
          </w:p>
        </w:tc>
        <w:tc>
          <w:tcPr>
            <w:tcW w:w="478" w:type="pct"/>
            <w:tcBorders>
              <w:top w:val="nil"/>
              <w:left w:val="nil"/>
              <w:bottom w:val="nil"/>
              <w:right w:val="nil"/>
            </w:tcBorders>
            <w:shd w:val="clear" w:color="auto" w:fill="auto"/>
            <w:vAlign w:val="bottom"/>
          </w:tcPr>
          <w:p w14:paraId="59E4A6F1"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A6F2"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A6F3" w14:textId="77777777" w:rsidR="00D7560A" w:rsidRDefault="00D7560A">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59E4A6F4"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A6F5"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A6F6" w14:textId="77777777" w:rsidR="00D7560A" w:rsidRDefault="00D7560A">
            <w:pPr>
              <w:widowControl/>
              <w:jc w:val="left"/>
              <w:rPr>
                <w:rFonts w:ascii="Times New Roman" w:eastAsia="宋体" w:hAnsi="宋体" w:cs="宋体"/>
                <w:kern w:val="0"/>
                <w:sz w:val="24"/>
              </w:rPr>
            </w:pPr>
          </w:p>
        </w:tc>
        <w:tc>
          <w:tcPr>
            <w:tcW w:w="479" w:type="pct"/>
            <w:tcBorders>
              <w:top w:val="nil"/>
              <w:left w:val="nil"/>
              <w:bottom w:val="nil"/>
              <w:right w:val="nil"/>
            </w:tcBorders>
            <w:shd w:val="clear" w:color="auto" w:fill="auto"/>
            <w:vAlign w:val="bottom"/>
          </w:tcPr>
          <w:p w14:paraId="59E4A6F7"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A6F8" w14:textId="77777777" w:rsidR="00D7560A" w:rsidRDefault="00D7560A">
            <w:pPr>
              <w:widowControl/>
              <w:jc w:val="left"/>
              <w:rPr>
                <w:rFonts w:ascii="Times New Roman" w:eastAsia="宋体" w:hAnsi="宋体" w:cs="宋体"/>
                <w:kern w:val="0"/>
                <w:sz w:val="24"/>
              </w:rPr>
            </w:pPr>
          </w:p>
        </w:tc>
      </w:tr>
      <w:tr w:rsidR="00D7560A" w14:paraId="59E4A704"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A6FA"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A6FB" w14:textId="77777777" w:rsidR="00D7560A" w:rsidRDefault="00D7560A">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59E4A6FC" w14:textId="77777777" w:rsidR="00D7560A" w:rsidRDefault="00D7560A">
            <w:pPr>
              <w:widowControl/>
              <w:jc w:val="left"/>
              <w:rPr>
                <w:rFonts w:ascii="Times New Roman" w:eastAsia="宋体" w:hAnsi="宋体" w:cs="宋体"/>
                <w:vanish/>
                <w:kern w:val="0"/>
                <w:sz w:val="24"/>
              </w:rPr>
            </w:pPr>
          </w:p>
        </w:tc>
        <w:tc>
          <w:tcPr>
            <w:tcW w:w="0" w:type="auto"/>
            <w:gridSpan w:val="29"/>
            <w:tcBorders>
              <w:top w:val="nil"/>
              <w:left w:val="nil"/>
              <w:bottom w:val="single" w:sz="8" w:space="0" w:color="000000"/>
              <w:right w:val="nil"/>
            </w:tcBorders>
            <w:shd w:val="clear" w:color="auto" w:fill="FFFFFF"/>
            <w:tcMar>
              <w:top w:w="40" w:type="dxa"/>
              <w:left w:w="20" w:type="dxa"/>
              <w:bottom w:w="40" w:type="dxa"/>
              <w:right w:w="20" w:type="dxa"/>
            </w:tcMar>
            <w:vAlign w:val="bottom"/>
          </w:tcPr>
          <w:p w14:paraId="59E4A6FD"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Three Months Ended</w:t>
            </w:r>
          </w:p>
        </w:tc>
        <w:tc>
          <w:tcPr>
            <w:tcW w:w="0" w:type="auto"/>
            <w:tcBorders>
              <w:top w:val="nil"/>
              <w:left w:val="nil"/>
              <w:bottom w:val="single" w:sz="8" w:space="0" w:color="000000"/>
              <w:right w:val="nil"/>
            </w:tcBorders>
            <w:shd w:val="clear" w:color="auto" w:fill="auto"/>
            <w:vAlign w:val="bottom"/>
          </w:tcPr>
          <w:p w14:paraId="59E4A6FE"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single" w:sz="8" w:space="0" w:color="000000"/>
              <w:right w:val="nil"/>
            </w:tcBorders>
            <w:shd w:val="clear" w:color="auto" w:fill="auto"/>
            <w:vAlign w:val="bottom"/>
          </w:tcPr>
          <w:p w14:paraId="59E4A6FF"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single" w:sz="8" w:space="0" w:color="000000"/>
              <w:right w:val="nil"/>
            </w:tcBorders>
            <w:shd w:val="clear" w:color="auto" w:fill="auto"/>
            <w:vAlign w:val="bottom"/>
          </w:tcPr>
          <w:p w14:paraId="59E4A700"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single" w:sz="8" w:space="0" w:color="000000"/>
              <w:right w:val="nil"/>
            </w:tcBorders>
            <w:shd w:val="clear" w:color="auto" w:fill="auto"/>
            <w:vAlign w:val="bottom"/>
          </w:tcPr>
          <w:p w14:paraId="59E4A701"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single" w:sz="8" w:space="0" w:color="000000"/>
              <w:right w:val="nil"/>
            </w:tcBorders>
            <w:shd w:val="clear" w:color="auto" w:fill="auto"/>
            <w:vAlign w:val="bottom"/>
          </w:tcPr>
          <w:p w14:paraId="59E4A702"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single" w:sz="8" w:space="0" w:color="000000"/>
              <w:right w:val="nil"/>
            </w:tcBorders>
            <w:shd w:val="clear" w:color="auto" w:fill="auto"/>
            <w:vAlign w:val="bottom"/>
          </w:tcPr>
          <w:p w14:paraId="59E4A703" w14:textId="77777777" w:rsidR="00D7560A" w:rsidRDefault="00D7560A">
            <w:pPr>
              <w:widowControl/>
              <w:jc w:val="left"/>
              <w:rPr>
                <w:rFonts w:ascii="Times New Roman" w:eastAsia="宋体" w:hAnsi="宋体" w:cs="宋体"/>
                <w:kern w:val="0"/>
                <w:sz w:val="24"/>
              </w:rPr>
            </w:pPr>
          </w:p>
        </w:tc>
      </w:tr>
      <w:tr w:rsidR="00D7560A" w14:paraId="59E4A70D"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A705"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A706" w14:textId="77777777" w:rsidR="00D7560A" w:rsidRDefault="00D7560A">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59E4A707" w14:textId="77777777" w:rsidR="00D7560A" w:rsidRDefault="00D7560A">
            <w:pPr>
              <w:widowControl/>
              <w:jc w:val="left"/>
              <w:rPr>
                <w:rFonts w:ascii="Times New Roman" w:eastAsia="宋体" w:hAnsi="宋体" w:cs="宋体"/>
                <w:vanish/>
                <w:kern w:val="0"/>
                <w:sz w:val="24"/>
              </w:rPr>
            </w:pPr>
          </w:p>
        </w:tc>
        <w:tc>
          <w:tcPr>
            <w:tcW w:w="0" w:type="auto"/>
            <w:gridSpan w:val="15"/>
            <w:tcBorders>
              <w:top w:val="single" w:sz="8" w:space="0" w:color="000000"/>
              <w:left w:val="nil"/>
              <w:bottom w:val="nil"/>
              <w:right w:val="nil"/>
            </w:tcBorders>
            <w:shd w:val="clear" w:color="auto" w:fill="auto"/>
            <w:tcMar>
              <w:top w:w="40" w:type="dxa"/>
              <w:left w:w="20" w:type="dxa"/>
              <w:bottom w:w="40" w:type="dxa"/>
              <w:right w:w="20" w:type="dxa"/>
            </w:tcMar>
            <w:vAlign w:val="bottom"/>
          </w:tcPr>
          <w:p w14:paraId="59E4A708"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29, 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59E4A709"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A70A" w14:textId="77777777" w:rsidR="00D7560A" w:rsidRDefault="00D7560A">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59E4A70B" w14:textId="77777777" w:rsidR="00D7560A" w:rsidRDefault="00D7560A">
            <w:pPr>
              <w:widowControl/>
              <w:jc w:val="left"/>
              <w:rPr>
                <w:rFonts w:ascii="Times New Roman" w:eastAsia="宋体" w:hAnsi="宋体" w:cs="宋体"/>
                <w:vanish/>
                <w:kern w:val="0"/>
                <w:sz w:val="24"/>
              </w:rPr>
            </w:pPr>
          </w:p>
        </w:tc>
        <w:tc>
          <w:tcPr>
            <w:tcW w:w="0" w:type="auto"/>
            <w:gridSpan w:val="15"/>
            <w:tcBorders>
              <w:top w:val="single" w:sz="8" w:space="0" w:color="000000"/>
              <w:left w:val="nil"/>
              <w:bottom w:val="nil"/>
              <w:right w:val="nil"/>
            </w:tcBorders>
            <w:shd w:val="clear" w:color="auto" w:fill="auto"/>
            <w:tcMar>
              <w:top w:w="40" w:type="dxa"/>
              <w:left w:w="20" w:type="dxa"/>
              <w:bottom w:w="40" w:type="dxa"/>
              <w:right w:w="20" w:type="dxa"/>
            </w:tcMar>
            <w:vAlign w:val="bottom"/>
          </w:tcPr>
          <w:p w14:paraId="59E4A70C"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30, 2021</w:t>
            </w:r>
          </w:p>
        </w:tc>
      </w:tr>
      <w:tr w:rsidR="00D7560A" w14:paraId="59E4A71E"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A70E"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A70F" w14:textId="77777777" w:rsidR="00D7560A" w:rsidRDefault="00D7560A">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59E4A710" w14:textId="77777777" w:rsidR="00D7560A" w:rsidRDefault="00D7560A">
            <w:pPr>
              <w:widowControl/>
              <w:jc w:val="left"/>
              <w:rPr>
                <w:rFonts w:ascii="Times New Roman" w:eastAsia="宋体" w:hAnsi="宋体" w:cs="宋体"/>
                <w:vanish/>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59E4A711"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Cash Flow Hedges</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59E4A712"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59E4A713"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Pensions</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59E4A714"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59E4A715"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Total</w:t>
            </w: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59E4A716"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single" w:sz="8" w:space="0" w:color="000000"/>
              <w:right w:val="nil"/>
            </w:tcBorders>
            <w:shd w:val="clear" w:color="auto" w:fill="auto"/>
            <w:vAlign w:val="bottom"/>
          </w:tcPr>
          <w:p w14:paraId="59E4A717" w14:textId="77777777" w:rsidR="00D7560A" w:rsidRDefault="00D7560A">
            <w:pPr>
              <w:widowControl/>
              <w:jc w:val="left"/>
              <w:rPr>
                <w:rFonts w:ascii="Times New Roman" w:eastAsia="宋体" w:hAnsi="宋体" w:cs="宋体"/>
                <w:vanish/>
                <w:kern w:val="0"/>
                <w:sz w:val="24"/>
              </w:rPr>
            </w:pPr>
          </w:p>
        </w:tc>
        <w:tc>
          <w:tcPr>
            <w:tcW w:w="0" w:type="auto"/>
            <w:tcBorders>
              <w:top w:val="nil"/>
              <w:left w:val="nil"/>
              <w:bottom w:val="single" w:sz="8" w:space="0" w:color="000000"/>
              <w:right w:val="nil"/>
            </w:tcBorders>
            <w:shd w:val="clear" w:color="auto" w:fill="auto"/>
            <w:vAlign w:val="bottom"/>
          </w:tcPr>
          <w:p w14:paraId="59E4A718" w14:textId="77777777" w:rsidR="00D7560A" w:rsidRDefault="00D7560A">
            <w:pPr>
              <w:widowControl/>
              <w:jc w:val="left"/>
              <w:rPr>
                <w:rFonts w:ascii="Times New Roman" w:eastAsia="宋体" w:hAnsi="宋体" w:cs="宋体"/>
                <w:vanish/>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59E4A719"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Cash Flow Hedges</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59E4A71A"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59E4A71B"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Pensions</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59E4A71C"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59E4A71D"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Total</w:t>
            </w:r>
          </w:p>
        </w:tc>
      </w:tr>
      <w:tr w:rsidR="00D7560A" w14:paraId="59E4A729" w14:textId="77777777">
        <w:trPr>
          <w:jc w:val="center"/>
        </w:trPr>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71F"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A720" w14:textId="77777777" w:rsidR="00D7560A" w:rsidRDefault="00D7560A">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59E4A721" w14:textId="77777777" w:rsidR="00D7560A" w:rsidRDefault="00D7560A">
            <w:pPr>
              <w:widowControl/>
              <w:jc w:val="left"/>
              <w:rPr>
                <w:rFonts w:ascii="Times New Roman" w:eastAsia="宋体" w:hAnsi="宋体" w:cs="宋体"/>
                <w:vanish/>
                <w:kern w:val="0"/>
                <w:sz w:val="24"/>
              </w:rPr>
            </w:pPr>
          </w:p>
        </w:tc>
        <w:tc>
          <w:tcPr>
            <w:tcW w:w="0" w:type="auto"/>
            <w:gridSpan w:val="29"/>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59E4A722"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(in millions)</w:t>
            </w:r>
          </w:p>
        </w:tc>
        <w:tc>
          <w:tcPr>
            <w:tcW w:w="0" w:type="auto"/>
            <w:tcBorders>
              <w:top w:val="nil"/>
              <w:left w:val="nil"/>
              <w:bottom w:val="nil"/>
              <w:right w:val="nil"/>
            </w:tcBorders>
            <w:shd w:val="clear" w:color="auto" w:fill="auto"/>
            <w:vAlign w:val="bottom"/>
          </w:tcPr>
          <w:p w14:paraId="59E4A723"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A724"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A725"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A726"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A727"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A728" w14:textId="77777777" w:rsidR="00D7560A" w:rsidRDefault="00D7560A">
            <w:pPr>
              <w:widowControl/>
              <w:jc w:val="left"/>
              <w:rPr>
                <w:rFonts w:ascii="Times New Roman" w:eastAsia="宋体" w:hAnsi="宋体" w:cs="宋体"/>
                <w:kern w:val="0"/>
                <w:sz w:val="24"/>
              </w:rPr>
            </w:pPr>
          </w:p>
        </w:tc>
      </w:tr>
      <w:tr w:rsidR="00D7560A" w14:paraId="59E4A73A"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center"/>
          </w:tcPr>
          <w:p w14:paraId="59E4A72A" w14:textId="77777777" w:rsidR="00D7560A" w:rsidRDefault="001E3CAB">
            <w:pPr>
              <w:widowControl/>
              <w:jc w:val="left"/>
              <w:textAlignment w:val="center"/>
              <w:rPr>
                <w:rFonts w:ascii="宋体" w:eastAsia="宋体" w:hAnsi="宋体" w:cs="宋体"/>
                <w:kern w:val="0"/>
                <w:sz w:val="24"/>
              </w:rPr>
            </w:pPr>
            <w:r>
              <w:rPr>
                <w:rFonts w:ascii="Times New Roman" w:eastAsia="宋体" w:hAnsi="Times New Roman" w:cs="Times New Roman"/>
                <w:i/>
                <w:iCs/>
                <w:color w:val="000000"/>
                <w:kern w:val="0"/>
                <w:sz w:val="20"/>
                <w:szCs w:val="20"/>
                <w:lang w:bidi="ar"/>
              </w:rPr>
              <w:t>Total reclassifications, net of tax:</w:t>
            </w:r>
          </w:p>
        </w:tc>
        <w:tc>
          <w:tcPr>
            <w:tcW w:w="0" w:type="auto"/>
            <w:tcBorders>
              <w:top w:val="nil"/>
              <w:left w:val="nil"/>
              <w:bottom w:val="nil"/>
              <w:right w:val="nil"/>
            </w:tcBorders>
            <w:shd w:val="clear" w:color="auto" w:fill="auto"/>
            <w:vAlign w:val="bottom"/>
          </w:tcPr>
          <w:p w14:paraId="59E4A72B" w14:textId="77777777" w:rsidR="00D7560A" w:rsidRDefault="00D7560A">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59E4A72C"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72D"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72E"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72F"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730"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731"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732"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A733" w14:textId="77777777" w:rsidR="00D7560A" w:rsidRDefault="00D7560A">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59E4A734"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735"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736"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737"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738"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739" w14:textId="77777777" w:rsidR="00D7560A" w:rsidRDefault="00D7560A">
            <w:pPr>
              <w:widowControl/>
              <w:jc w:val="left"/>
              <w:rPr>
                <w:rFonts w:ascii="Times New Roman" w:eastAsia="宋体" w:hAnsi="宋体" w:cs="宋体"/>
                <w:kern w:val="0"/>
                <w:sz w:val="24"/>
              </w:rPr>
            </w:pPr>
          </w:p>
        </w:tc>
      </w:tr>
      <w:tr w:rsidR="00D7560A" w14:paraId="59E4A757" w14:textId="77777777">
        <w:trPr>
          <w:jc w:val="center"/>
        </w:trPr>
        <w:tc>
          <w:tcPr>
            <w:tcW w:w="0" w:type="auto"/>
            <w:gridSpan w:val="3"/>
            <w:tcBorders>
              <w:top w:val="nil"/>
              <w:left w:val="nil"/>
              <w:bottom w:val="nil"/>
              <w:right w:val="nil"/>
            </w:tcBorders>
            <w:shd w:val="clear" w:color="auto" w:fill="FFFFFF"/>
            <w:tcMar>
              <w:top w:w="40" w:type="dxa"/>
              <w:left w:w="155" w:type="dxa"/>
              <w:bottom w:w="40" w:type="dxa"/>
              <w:right w:w="20" w:type="dxa"/>
            </w:tcMar>
            <w:vAlign w:val="center"/>
          </w:tcPr>
          <w:p w14:paraId="59E4A73B" w14:textId="77777777" w:rsidR="00D7560A" w:rsidRDefault="001E3CAB">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Net revenue</w:t>
            </w:r>
          </w:p>
        </w:tc>
        <w:tc>
          <w:tcPr>
            <w:tcW w:w="0" w:type="auto"/>
            <w:tcBorders>
              <w:top w:val="nil"/>
              <w:left w:val="nil"/>
              <w:bottom w:val="nil"/>
              <w:right w:val="nil"/>
            </w:tcBorders>
            <w:shd w:val="clear" w:color="auto" w:fill="auto"/>
            <w:vAlign w:val="bottom"/>
          </w:tcPr>
          <w:p w14:paraId="59E4A73C" w14:textId="77777777" w:rsidR="00D7560A" w:rsidRDefault="00D7560A">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59E4A73D" w14:textId="77777777" w:rsidR="00D7560A" w:rsidRDefault="00D7560A">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center"/>
          </w:tcPr>
          <w:p w14:paraId="59E4A73E" w14:textId="77777777" w:rsidR="00D7560A" w:rsidRDefault="001E3CAB">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center"/>
          </w:tcPr>
          <w:p w14:paraId="59E4A73F" w14:textId="77777777" w:rsidR="00D7560A" w:rsidRDefault="001E3CAB">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307 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59E4A740"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741"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center"/>
          </w:tcPr>
          <w:p w14:paraId="59E4A742" w14:textId="77777777" w:rsidR="00D7560A" w:rsidRDefault="001E3CAB">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center"/>
          </w:tcPr>
          <w:p w14:paraId="59E4A743" w14:textId="77777777" w:rsidR="00D7560A" w:rsidRDefault="001E3CAB">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59E4A744"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745"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center"/>
          </w:tcPr>
          <w:p w14:paraId="59E4A746" w14:textId="77777777" w:rsidR="00D7560A" w:rsidRDefault="001E3CAB">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center"/>
          </w:tcPr>
          <w:p w14:paraId="59E4A747" w14:textId="77777777" w:rsidR="00D7560A" w:rsidRDefault="001E3CAB">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307 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59E4A748"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749"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A74A" w14:textId="77777777" w:rsidR="00D7560A" w:rsidRDefault="00D7560A">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59E4A74B" w14:textId="77777777" w:rsidR="00D7560A" w:rsidRDefault="00D7560A">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center"/>
          </w:tcPr>
          <w:p w14:paraId="59E4A74C" w14:textId="77777777" w:rsidR="00D7560A" w:rsidRDefault="001E3CAB">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center"/>
          </w:tcPr>
          <w:p w14:paraId="59E4A74D" w14:textId="77777777" w:rsidR="00D7560A" w:rsidRDefault="001E3CAB">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(7)</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59E4A74E"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74F"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center"/>
          </w:tcPr>
          <w:p w14:paraId="59E4A750" w14:textId="77777777" w:rsidR="00D7560A" w:rsidRDefault="001E3CAB">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center"/>
          </w:tcPr>
          <w:p w14:paraId="59E4A751" w14:textId="77777777" w:rsidR="00D7560A" w:rsidRDefault="001E3CAB">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59E4A752"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753"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center"/>
          </w:tcPr>
          <w:p w14:paraId="59E4A754" w14:textId="77777777" w:rsidR="00D7560A" w:rsidRDefault="001E3CAB">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center"/>
          </w:tcPr>
          <w:p w14:paraId="59E4A755" w14:textId="77777777" w:rsidR="00D7560A" w:rsidRDefault="001E3CAB">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(7)</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59E4A756" w14:textId="77777777" w:rsidR="00D7560A" w:rsidRDefault="00D7560A">
            <w:pPr>
              <w:widowControl/>
              <w:jc w:val="right"/>
              <w:rPr>
                <w:rFonts w:ascii="Times New Roman" w:eastAsia="宋体" w:hAnsi="宋体" w:cs="宋体"/>
                <w:kern w:val="0"/>
                <w:sz w:val="24"/>
              </w:rPr>
            </w:pPr>
          </w:p>
        </w:tc>
      </w:tr>
      <w:tr w:rsidR="00D7560A" w14:paraId="59E4A76E" w14:textId="77777777">
        <w:trPr>
          <w:jc w:val="center"/>
        </w:trPr>
        <w:tc>
          <w:tcPr>
            <w:tcW w:w="0" w:type="auto"/>
            <w:gridSpan w:val="3"/>
            <w:tcBorders>
              <w:top w:val="nil"/>
              <w:left w:val="nil"/>
              <w:bottom w:val="nil"/>
              <w:right w:val="nil"/>
            </w:tcBorders>
            <w:shd w:val="clear" w:color="auto" w:fill="CCEEFF"/>
            <w:tcMar>
              <w:top w:w="40" w:type="dxa"/>
              <w:left w:w="155" w:type="dxa"/>
              <w:bottom w:w="40" w:type="dxa"/>
              <w:right w:w="20" w:type="dxa"/>
            </w:tcMar>
            <w:vAlign w:val="center"/>
          </w:tcPr>
          <w:p w14:paraId="59E4A758" w14:textId="77777777" w:rsidR="00D7560A" w:rsidRDefault="001E3CAB">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Cost of net revenue</w:t>
            </w:r>
          </w:p>
        </w:tc>
        <w:tc>
          <w:tcPr>
            <w:tcW w:w="0" w:type="auto"/>
            <w:tcBorders>
              <w:top w:val="nil"/>
              <w:left w:val="nil"/>
              <w:bottom w:val="nil"/>
              <w:right w:val="nil"/>
            </w:tcBorders>
            <w:shd w:val="clear" w:color="auto" w:fill="auto"/>
            <w:vAlign w:val="bottom"/>
          </w:tcPr>
          <w:p w14:paraId="59E4A759" w14:textId="77777777" w:rsidR="00D7560A" w:rsidRDefault="00D7560A">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59E4A75A" w14:textId="77777777" w:rsidR="00D7560A" w:rsidRDefault="00D7560A">
            <w:pPr>
              <w:widowControl/>
              <w:jc w:val="left"/>
              <w:rPr>
                <w:rFonts w:ascii="Times New Roman" w:eastAsia="宋体" w:hAnsi="宋体" w:cs="宋体"/>
                <w:vanish/>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59E4A75B" w14:textId="77777777" w:rsidR="00D7560A" w:rsidRDefault="001E3CAB">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59E4A75C"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75D"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59E4A75E" w14:textId="77777777" w:rsidR="00D7560A" w:rsidRDefault="001E3CAB">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59E4A75F"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760"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59E4A761" w14:textId="77777777" w:rsidR="00D7560A" w:rsidRDefault="001E3CAB">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59E4A762"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763"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A764" w14:textId="77777777" w:rsidR="00D7560A" w:rsidRDefault="00D7560A">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59E4A765" w14:textId="77777777" w:rsidR="00D7560A" w:rsidRDefault="00D7560A">
            <w:pPr>
              <w:widowControl/>
              <w:jc w:val="left"/>
              <w:rPr>
                <w:rFonts w:ascii="Times New Roman" w:eastAsia="宋体" w:hAnsi="宋体" w:cs="宋体"/>
                <w:vanish/>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59E4A766" w14:textId="77777777" w:rsidR="00D7560A" w:rsidRDefault="001E3CAB">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(7)</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59E4A767"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768"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59E4A769" w14:textId="77777777" w:rsidR="00D7560A" w:rsidRDefault="001E3CAB">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59E4A76A"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76B"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59E4A76C" w14:textId="77777777" w:rsidR="00D7560A" w:rsidRDefault="001E3CAB">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(7)</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59E4A76D" w14:textId="77777777" w:rsidR="00D7560A" w:rsidRDefault="00D7560A">
            <w:pPr>
              <w:widowControl/>
              <w:jc w:val="right"/>
              <w:rPr>
                <w:rFonts w:ascii="Times New Roman" w:eastAsia="宋体" w:hAnsi="宋体" w:cs="宋体"/>
                <w:kern w:val="0"/>
                <w:sz w:val="24"/>
              </w:rPr>
            </w:pPr>
          </w:p>
        </w:tc>
      </w:tr>
      <w:tr w:rsidR="00D7560A" w14:paraId="59E4A785" w14:textId="77777777">
        <w:trPr>
          <w:jc w:val="center"/>
        </w:trPr>
        <w:tc>
          <w:tcPr>
            <w:tcW w:w="0" w:type="auto"/>
            <w:gridSpan w:val="3"/>
            <w:tcBorders>
              <w:top w:val="nil"/>
              <w:left w:val="nil"/>
              <w:bottom w:val="nil"/>
              <w:right w:val="nil"/>
            </w:tcBorders>
            <w:shd w:val="clear" w:color="auto" w:fill="FFFFFF"/>
            <w:tcMar>
              <w:top w:w="40" w:type="dxa"/>
              <w:left w:w="155" w:type="dxa"/>
              <w:bottom w:w="40" w:type="dxa"/>
              <w:right w:w="20" w:type="dxa"/>
            </w:tcMar>
            <w:vAlign w:val="center"/>
          </w:tcPr>
          <w:p w14:paraId="59E4A76F" w14:textId="77777777" w:rsidR="00D7560A" w:rsidRDefault="001E3CAB">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Operating expenses</w:t>
            </w:r>
          </w:p>
        </w:tc>
        <w:tc>
          <w:tcPr>
            <w:tcW w:w="0" w:type="auto"/>
            <w:tcBorders>
              <w:top w:val="nil"/>
              <w:left w:val="nil"/>
              <w:bottom w:val="nil"/>
              <w:right w:val="nil"/>
            </w:tcBorders>
            <w:shd w:val="clear" w:color="auto" w:fill="auto"/>
            <w:vAlign w:val="bottom"/>
          </w:tcPr>
          <w:p w14:paraId="59E4A770" w14:textId="77777777" w:rsidR="00D7560A" w:rsidRDefault="00D7560A">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59E4A771" w14:textId="77777777" w:rsidR="00D7560A" w:rsidRDefault="00D7560A">
            <w:pPr>
              <w:widowControl/>
              <w:jc w:val="left"/>
              <w:rPr>
                <w:rFonts w:ascii="Times New Roman" w:eastAsia="宋体" w:hAnsi="宋体" w:cs="宋体"/>
                <w:vanish/>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59E4A772" w14:textId="77777777" w:rsidR="00D7560A" w:rsidRDefault="001E3CAB">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59E4A773"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774"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59E4A775" w14:textId="77777777" w:rsidR="00D7560A" w:rsidRDefault="001E3CAB">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59E4A776"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777"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59E4A778" w14:textId="77777777" w:rsidR="00D7560A" w:rsidRDefault="001E3CAB">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59E4A779"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77A"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A77B" w14:textId="77777777" w:rsidR="00D7560A" w:rsidRDefault="00D7560A">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59E4A77C" w14:textId="77777777" w:rsidR="00D7560A" w:rsidRDefault="00D7560A">
            <w:pPr>
              <w:widowControl/>
              <w:jc w:val="left"/>
              <w:rPr>
                <w:rFonts w:ascii="Times New Roman" w:eastAsia="宋体" w:hAnsi="宋体" w:cs="宋体"/>
                <w:vanish/>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59E4A77D" w14:textId="77777777" w:rsidR="00D7560A" w:rsidRDefault="001E3CAB">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59E4A77E"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77F"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59E4A780" w14:textId="77777777" w:rsidR="00D7560A" w:rsidRDefault="001E3CAB">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(2)</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59E4A781"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782"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59E4A783" w14:textId="77777777" w:rsidR="00D7560A" w:rsidRDefault="001E3CAB">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(2)</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59E4A784" w14:textId="77777777" w:rsidR="00D7560A" w:rsidRDefault="00D7560A">
            <w:pPr>
              <w:widowControl/>
              <w:jc w:val="right"/>
              <w:rPr>
                <w:rFonts w:ascii="Times New Roman" w:eastAsia="宋体" w:hAnsi="宋体" w:cs="宋体"/>
                <w:kern w:val="0"/>
                <w:sz w:val="24"/>
              </w:rPr>
            </w:pPr>
          </w:p>
        </w:tc>
      </w:tr>
      <w:tr w:rsidR="00D7560A" w14:paraId="59E4A796" w14:textId="77777777">
        <w:trPr>
          <w:jc w:val="center"/>
          <w:hidden/>
        </w:trPr>
        <w:tc>
          <w:tcPr>
            <w:tcW w:w="0" w:type="auto"/>
            <w:gridSpan w:val="3"/>
            <w:tcBorders>
              <w:top w:val="nil"/>
              <w:left w:val="nil"/>
              <w:bottom w:val="nil"/>
              <w:right w:val="nil"/>
            </w:tcBorders>
            <w:shd w:val="clear" w:color="auto" w:fill="auto"/>
            <w:vAlign w:val="bottom"/>
          </w:tcPr>
          <w:p w14:paraId="59E4A786" w14:textId="77777777" w:rsidR="00D7560A" w:rsidRDefault="00D7560A">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59E4A787" w14:textId="77777777" w:rsidR="00D7560A" w:rsidRDefault="00D7560A">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59E4A788"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789"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78A"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78B"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78C"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78D"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78E" w14:textId="77777777" w:rsidR="00D7560A" w:rsidRDefault="00D7560A">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59E4A78F" w14:textId="77777777" w:rsidR="00D7560A" w:rsidRDefault="00D7560A">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59E4A790"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791"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792"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793"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794"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795" w14:textId="77777777" w:rsidR="00D7560A" w:rsidRDefault="00D7560A">
            <w:pPr>
              <w:widowControl/>
              <w:jc w:val="left"/>
              <w:rPr>
                <w:rFonts w:ascii="Times New Roman" w:eastAsia="宋体" w:hAnsi="宋体" w:cs="宋体"/>
                <w:vanish/>
                <w:kern w:val="0"/>
                <w:sz w:val="24"/>
              </w:rPr>
            </w:pPr>
          </w:p>
        </w:tc>
      </w:tr>
      <w:tr w:rsidR="00D7560A" w14:paraId="59E4A7AD" w14:textId="77777777">
        <w:trPr>
          <w:jc w:val="center"/>
        </w:trPr>
        <w:tc>
          <w:tcPr>
            <w:tcW w:w="0" w:type="auto"/>
            <w:gridSpan w:val="3"/>
            <w:tcBorders>
              <w:top w:val="nil"/>
              <w:left w:val="nil"/>
              <w:bottom w:val="nil"/>
              <w:right w:val="nil"/>
            </w:tcBorders>
            <w:shd w:val="clear" w:color="auto" w:fill="CCEEFF"/>
            <w:tcMar>
              <w:top w:w="40" w:type="dxa"/>
              <w:left w:w="140" w:type="dxa"/>
              <w:bottom w:w="40" w:type="dxa"/>
              <w:right w:w="20" w:type="dxa"/>
            </w:tcMar>
            <w:vAlign w:val="center"/>
          </w:tcPr>
          <w:p w14:paraId="59E4A797" w14:textId="77777777" w:rsidR="00D7560A" w:rsidRDefault="001E3CAB">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Income from discontinued operations</w:t>
            </w:r>
          </w:p>
        </w:tc>
        <w:tc>
          <w:tcPr>
            <w:tcW w:w="0" w:type="auto"/>
            <w:tcBorders>
              <w:top w:val="nil"/>
              <w:left w:val="nil"/>
              <w:bottom w:val="nil"/>
              <w:right w:val="nil"/>
            </w:tcBorders>
            <w:shd w:val="clear" w:color="auto" w:fill="auto"/>
            <w:vAlign w:val="bottom"/>
          </w:tcPr>
          <w:p w14:paraId="59E4A798" w14:textId="77777777" w:rsidR="00D7560A" w:rsidRDefault="00D7560A">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59E4A799" w14:textId="77777777" w:rsidR="00D7560A" w:rsidRDefault="00D7560A">
            <w:pPr>
              <w:widowControl/>
              <w:jc w:val="left"/>
              <w:rPr>
                <w:rFonts w:ascii="Times New Roman" w:eastAsia="宋体" w:hAnsi="宋体" w:cs="宋体"/>
                <w:vanish/>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A79A"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A79B"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79C"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A79D"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A79E"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79F"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A7A0"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A7A1"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7A2"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A7A3" w14:textId="77777777" w:rsidR="00D7560A" w:rsidRDefault="00D7560A">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59E4A7A4" w14:textId="77777777" w:rsidR="00D7560A" w:rsidRDefault="00D7560A">
            <w:pPr>
              <w:widowControl/>
              <w:jc w:val="left"/>
              <w:rPr>
                <w:rFonts w:ascii="Times New Roman" w:eastAsia="宋体" w:hAnsi="宋体" w:cs="宋体"/>
                <w:vanish/>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A7A5"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A7A6"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7A7"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A7A8"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A7A9"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7AA"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A7AB"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A7AC" w14:textId="77777777" w:rsidR="00D7560A" w:rsidRDefault="00D7560A">
            <w:pPr>
              <w:widowControl/>
              <w:jc w:val="right"/>
              <w:rPr>
                <w:rFonts w:ascii="Times New Roman" w:eastAsia="宋体" w:hAnsi="宋体" w:cs="宋体"/>
                <w:kern w:val="0"/>
                <w:sz w:val="24"/>
              </w:rPr>
            </w:pPr>
          </w:p>
        </w:tc>
      </w:tr>
      <w:tr w:rsidR="00D7560A" w14:paraId="59E4A7CA" w14:textId="77777777">
        <w:trPr>
          <w:jc w:val="center"/>
        </w:trPr>
        <w:tc>
          <w:tcPr>
            <w:tcW w:w="0" w:type="auto"/>
            <w:gridSpan w:val="3"/>
            <w:tcBorders>
              <w:top w:val="nil"/>
              <w:left w:val="nil"/>
              <w:bottom w:val="nil"/>
              <w:right w:val="nil"/>
            </w:tcBorders>
            <w:shd w:val="clear" w:color="auto" w:fill="FFFFFF"/>
            <w:tcMar>
              <w:top w:w="40" w:type="dxa"/>
              <w:left w:w="245" w:type="dxa"/>
              <w:bottom w:w="40" w:type="dxa"/>
              <w:right w:w="20" w:type="dxa"/>
            </w:tcMar>
            <w:vAlign w:val="center"/>
          </w:tcPr>
          <w:p w14:paraId="59E4A7AE" w14:textId="77777777" w:rsidR="00D7560A" w:rsidRDefault="001E3CAB">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Total reclassifications, net of tax</w:t>
            </w:r>
          </w:p>
        </w:tc>
        <w:tc>
          <w:tcPr>
            <w:tcW w:w="0" w:type="auto"/>
            <w:tcBorders>
              <w:top w:val="nil"/>
              <w:left w:val="nil"/>
              <w:bottom w:val="nil"/>
              <w:right w:val="nil"/>
            </w:tcBorders>
            <w:shd w:val="clear" w:color="auto" w:fill="auto"/>
            <w:vAlign w:val="bottom"/>
          </w:tcPr>
          <w:p w14:paraId="59E4A7AF" w14:textId="77777777" w:rsidR="00D7560A" w:rsidRDefault="00D7560A">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59E4A7B0" w14:textId="77777777" w:rsidR="00D7560A" w:rsidRDefault="00D7560A">
            <w:pPr>
              <w:widowControl/>
              <w:jc w:val="left"/>
              <w:rPr>
                <w:rFonts w:ascii="Times New Roman" w:eastAsia="宋体" w:hAnsi="宋体" w:cs="宋体"/>
                <w:vanish/>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center"/>
          </w:tcPr>
          <w:p w14:paraId="59E4A7B1" w14:textId="77777777" w:rsidR="00D7560A" w:rsidRDefault="001E3CAB">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center"/>
          </w:tcPr>
          <w:p w14:paraId="59E4A7B2" w14:textId="77777777" w:rsidR="00D7560A" w:rsidRDefault="001E3CAB">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306 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center"/>
          </w:tcPr>
          <w:p w14:paraId="59E4A7B3"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7B4"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center"/>
          </w:tcPr>
          <w:p w14:paraId="59E4A7B5" w14:textId="77777777" w:rsidR="00D7560A" w:rsidRDefault="001E3CAB">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center"/>
          </w:tcPr>
          <w:p w14:paraId="59E4A7B6" w14:textId="77777777" w:rsidR="00D7560A" w:rsidRDefault="001E3CAB">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center"/>
          </w:tcPr>
          <w:p w14:paraId="59E4A7B7"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7B8"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center"/>
          </w:tcPr>
          <w:p w14:paraId="59E4A7B9" w14:textId="77777777" w:rsidR="00D7560A" w:rsidRDefault="001E3CAB">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center"/>
          </w:tcPr>
          <w:p w14:paraId="59E4A7BA" w14:textId="77777777" w:rsidR="00D7560A" w:rsidRDefault="001E3CAB">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306 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center"/>
          </w:tcPr>
          <w:p w14:paraId="59E4A7BB"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7BC"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A7BD" w14:textId="77777777" w:rsidR="00D7560A" w:rsidRDefault="00D7560A">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59E4A7BE" w14:textId="77777777" w:rsidR="00D7560A" w:rsidRDefault="00D7560A">
            <w:pPr>
              <w:widowControl/>
              <w:jc w:val="left"/>
              <w:rPr>
                <w:rFonts w:ascii="Times New Roman" w:eastAsia="宋体" w:hAnsi="宋体" w:cs="宋体"/>
                <w:vanish/>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center"/>
          </w:tcPr>
          <w:p w14:paraId="59E4A7BF" w14:textId="77777777" w:rsidR="00D7560A" w:rsidRDefault="001E3CAB">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center"/>
          </w:tcPr>
          <w:p w14:paraId="59E4A7C0" w14:textId="77777777" w:rsidR="00D7560A" w:rsidRDefault="001E3CAB">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(13)</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center"/>
          </w:tcPr>
          <w:p w14:paraId="59E4A7C1"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7C2"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center"/>
          </w:tcPr>
          <w:p w14:paraId="59E4A7C3" w14:textId="77777777" w:rsidR="00D7560A" w:rsidRDefault="001E3CAB">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center"/>
          </w:tcPr>
          <w:p w14:paraId="59E4A7C4" w14:textId="77777777" w:rsidR="00D7560A" w:rsidRDefault="001E3CAB">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(2)</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center"/>
          </w:tcPr>
          <w:p w14:paraId="59E4A7C5"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7C6"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center"/>
          </w:tcPr>
          <w:p w14:paraId="59E4A7C7" w14:textId="77777777" w:rsidR="00D7560A" w:rsidRDefault="001E3CAB">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center"/>
          </w:tcPr>
          <w:p w14:paraId="59E4A7C8" w14:textId="77777777" w:rsidR="00D7560A" w:rsidRDefault="001E3CAB">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(15)</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center"/>
          </w:tcPr>
          <w:p w14:paraId="59E4A7C9" w14:textId="77777777" w:rsidR="00D7560A" w:rsidRDefault="00D7560A">
            <w:pPr>
              <w:widowControl/>
              <w:jc w:val="right"/>
              <w:rPr>
                <w:rFonts w:ascii="Times New Roman" w:eastAsia="宋体" w:hAnsi="宋体" w:cs="宋体"/>
                <w:kern w:val="0"/>
                <w:sz w:val="24"/>
              </w:rPr>
            </w:pPr>
          </w:p>
        </w:tc>
      </w:tr>
    </w:tbl>
    <w:p w14:paraId="59E4A7CB"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tbl>
      <w:tblPr>
        <w:tblW w:w="5000" w:type="pct"/>
        <w:jc w:val="center"/>
        <w:tblCellMar>
          <w:top w:w="15" w:type="dxa"/>
          <w:left w:w="15" w:type="dxa"/>
          <w:bottom w:w="15" w:type="dxa"/>
          <w:right w:w="15" w:type="dxa"/>
        </w:tblCellMar>
        <w:tblLook w:val="04A0" w:firstRow="1" w:lastRow="0" w:firstColumn="1" w:lastColumn="0" w:noHBand="0" w:noVBand="1"/>
      </w:tblPr>
      <w:tblGrid>
        <w:gridCol w:w="49"/>
        <w:gridCol w:w="2468"/>
        <w:gridCol w:w="37"/>
        <w:gridCol w:w="36"/>
        <w:gridCol w:w="36"/>
        <w:gridCol w:w="121"/>
        <w:gridCol w:w="692"/>
        <w:gridCol w:w="36"/>
        <w:gridCol w:w="36"/>
        <w:gridCol w:w="36"/>
        <w:gridCol w:w="36"/>
        <w:gridCol w:w="121"/>
        <w:gridCol w:w="704"/>
        <w:gridCol w:w="36"/>
        <w:gridCol w:w="36"/>
        <w:gridCol w:w="36"/>
        <w:gridCol w:w="36"/>
        <w:gridCol w:w="120"/>
        <w:gridCol w:w="681"/>
        <w:gridCol w:w="36"/>
        <w:gridCol w:w="36"/>
        <w:gridCol w:w="36"/>
        <w:gridCol w:w="36"/>
        <w:gridCol w:w="36"/>
        <w:gridCol w:w="36"/>
        <w:gridCol w:w="121"/>
        <w:gridCol w:w="693"/>
        <w:gridCol w:w="36"/>
        <w:gridCol w:w="36"/>
        <w:gridCol w:w="36"/>
        <w:gridCol w:w="36"/>
        <w:gridCol w:w="121"/>
        <w:gridCol w:w="704"/>
        <w:gridCol w:w="36"/>
        <w:gridCol w:w="36"/>
        <w:gridCol w:w="36"/>
        <w:gridCol w:w="36"/>
        <w:gridCol w:w="121"/>
        <w:gridCol w:w="683"/>
        <w:gridCol w:w="36"/>
      </w:tblGrid>
      <w:tr w:rsidR="00D7560A" w14:paraId="59E4A7F4" w14:textId="77777777">
        <w:trPr>
          <w:jc w:val="center"/>
        </w:trPr>
        <w:tc>
          <w:tcPr>
            <w:tcW w:w="50" w:type="pct"/>
            <w:tcBorders>
              <w:top w:val="nil"/>
              <w:left w:val="nil"/>
              <w:bottom w:val="nil"/>
              <w:right w:val="nil"/>
            </w:tcBorders>
            <w:shd w:val="clear" w:color="auto" w:fill="auto"/>
            <w:vAlign w:val="bottom"/>
          </w:tcPr>
          <w:p w14:paraId="59E4A7CC" w14:textId="77777777" w:rsidR="00D7560A" w:rsidRDefault="00D7560A">
            <w:pPr>
              <w:widowControl/>
              <w:jc w:val="left"/>
              <w:rPr>
                <w:rFonts w:ascii="Times New Roman" w:eastAsia="宋体" w:hAnsi="宋体" w:cs="宋体"/>
                <w:kern w:val="0"/>
                <w:sz w:val="24"/>
              </w:rPr>
            </w:pPr>
          </w:p>
        </w:tc>
        <w:tc>
          <w:tcPr>
            <w:tcW w:w="1597" w:type="pct"/>
            <w:tcBorders>
              <w:top w:val="nil"/>
              <w:left w:val="nil"/>
              <w:bottom w:val="nil"/>
              <w:right w:val="nil"/>
            </w:tcBorders>
            <w:shd w:val="clear" w:color="auto" w:fill="auto"/>
            <w:vAlign w:val="bottom"/>
          </w:tcPr>
          <w:p w14:paraId="59E4A7CD"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A7CE"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A7CF" w14:textId="77777777" w:rsidR="00D7560A" w:rsidRDefault="00D7560A">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59E4A7D0" w14:textId="77777777" w:rsidR="00D7560A" w:rsidRDefault="00D7560A">
            <w:pPr>
              <w:widowControl/>
              <w:jc w:val="left"/>
              <w:rPr>
                <w:rFonts w:ascii="Times New Roman" w:eastAsia="宋体" w:hAnsi="宋体" w:cs="宋体"/>
                <w:vanish/>
                <w:kern w:val="0"/>
                <w:sz w:val="24"/>
              </w:rPr>
            </w:pPr>
          </w:p>
        </w:tc>
        <w:tc>
          <w:tcPr>
            <w:tcW w:w="50" w:type="pct"/>
            <w:tcBorders>
              <w:top w:val="nil"/>
              <w:left w:val="nil"/>
              <w:bottom w:val="nil"/>
              <w:right w:val="nil"/>
            </w:tcBorders>
            <w:shd w:val="clear" w:color="auto" w:fill="auto"/>
            <w:vAlign w:val="bottom"/>
          </w:tcPr>
          <w:p w14:paraId="59E4A7D1" w14:textId="77777777" w:rsidR="00D7560A" w:rsidRDefault="00D7560A">
            <w:pPr>
              <w:widowControl/>
              <w:jc w:val="left"/>
              <w:rPr>
                <w:rFonts w:ascii="Times New Roman" w:eastAsia="宋体" w:hAnsi="宋体" w:cs="宋体"/>
                <w:kern w:val="0"/>
                <w:sz w:val="24"/>
              </w:rPr>
            </w:pPr>
          </w:p>
        </w:tc>
        <w:tc>
          <w:tcPr>
            <w:tcW w:w="478" w:type="pct"/>
            <w:tcBorders>
              <w:top w:val="nil"/>
              <w:left w:val="nil"/>
              <w:bottom w:val="nil"/>
              <w:right w:val="nil"/>
            </w:tcBorders>
            <w:shd w:val="clear" w:color="auto" w:fill="auto"/>
            <w:vAlign w:val="bottom"/>
          </w:tcPr>
          <w:p w14:paraId="59E4A7D2"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A7D3"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A7D4" w14:textId="77777777" w:rsidR="00D7560A" w:rsidRDefault="00D7560A">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59E4A7D5"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A7D6"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A7D7" w14:textId="77777777" w:rsidR="00D7560A" w:rsidRDefault="00D7560A">
            <w:pPr>
              <w:widowControl/>
              <w:jc w:val="left"/>
              <w:rPr>
                <w:rFonts w:ascii="Times New Roman" w:eastAsia="宋体" w:hAnsi="宋体" w:cs="宋体"/>
                <w:kern w:val="0"/>
                <w:sz w:val="24"/>
              </w:rPr>
            </w:pPr>
          </w:p>
        </w:tc>
        <w:tc>
          <w:tcPr>
            <w:tcW w:w="478" w:type="pct"/>
            <w:tcBorders>
              <w:top w:val="nil"/>
              <w:left w:val="nil"/>
              <w:bottom w:val="nil"/>
              <w:right w:val="nil"/>
            </w:tcBorders>
            <w:shd w:val="clear" w:color="auto" w:fill="auto"/>
            <w:vAlign w:val="bottom"/>
          </w:tcPr>
          <w:p w14:paraId="59E4A7D8"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A7D9"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A7DA" w14:textId="77777777" w:rsidR="00D7560A" w:rsidRDefault="00D7560A">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59E4A7DB"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A7DC"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A7DD" w14:textId="77777777" w:rsidR="00D7560A" w:rsidRDefault="00D7560A">
            <w:pPr>
              <w:widowControl/>
              <w:jc w:val="left"/>
              <w:rPr>
                <w:rFonts w:ascii="Times New Roman" w:eastAsia="宋体" w:hAnsi="宋体" w:cs="宋体"/>
                <w:kern w:val="0"/>
                <w:sz w:val="24"/>
              </w:rPr>
            </w:pPr>
          </w:p>
        </w:tc>
        <w:tc>
          <w:tcPr>
            <w:tcW w:w="478" w:type="pct"/>
            <w:tcBorders>
              <w:top w:val="nil"/>
              <w:left w:val="nil"/>
              <w:bottom w:val="nil"/>
              <w:right w:val="nil"/>
            </w:tcBorders>
            <w:shd w:val="clear" w:color="auto" w:fill="auto"/>
            <w:vAlign w:val="bottom"/>
          </w:tcPr>
          <w:p w14:paraId="59E4A7DE"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A7DF"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A7E0" w14:textId="77777777" w:rsidR="00D7560A" w:rsidRDefault="00D7560A">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59E4A7E1"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A7E2"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A7E3" w14:textId="77777777" w:rsidR="00D7560A" w:rsidRDefault="00D7560A">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59E4A7E4" w14:textId="77777777" w:rsidR="00D7560A" w:rsidRDefault="00D7560A">
            <w:pPr>
              <w:widowControl/>
              <w:jc w:val="left"/>
              <w:rPr>
                <w:rFonts w:ascii="Times New Roman" w:eastAsia="宋体" w:hAnsi="宋体" w:cs="宋体"/>
                <w:vanish/>
                <w:kern w:val="0"/>
                <w:sz w:val="24"/>
              </w:rPr>
            </w:pPr>
          </w:p>
        </w:tc>
        <w:tc>
          <w:tcPr>
            <w:tcW w:w="50" w:type="pct"/>
            <w:tcBorders>
              <w:top w:val="nil"/>
              <w:left w:val="nil"/>
              <w:bottom w:val="nil"/>
              <w:right w:val="nil"/>
            </w:tcBorders>
            <w:shd w:val="clear" w:color="auto" w:fill="auto"/>
            <w:vAlign w:val="bottom"/>
          </w:tcPr>
          <w:p w14:paraId="59E4A7E5" w14:textId="77777777" w:rsidR="00D7560A" w:rsidRDefault="00D7560A">
            <w:pPr>
              <w:widowControl/>
              <w:jc w:val="left"/>
              <w:rPr>
                <w:rFonts w:ascii="Times New Roman" w:eastAsia="宋体" w:hAnsi="宋体" w:cs="宋体"/>
                <w:kern w:val="0"/>
                <w:sz w:val="24"/>
              </w:rPr>
            </w:pPr>
          </w:p>
        </w:tc>
        <w:tc>
          <w:tcPr>
            <w:tcW w:w="478" w:type="pct"/>
            <w:tcBorders>
              <w:top w:val="nil"/>
              <w:left w:val="nil"/>
              <w:bottom w:val="nil"/>
              <w:right w:val="nil"/>
            </w:tcBorders>
            <w:shd w:val="clear" w:color="auto" w:fill="auto"/>
            <w:vAlign w:val="bottom"/>
          </w:tcPr>
          <w:p w14:paraId="59E4A7E6"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A7E7"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A7E8" w14:textId="77777777" w:rsidR="00D7560A" w:rsidRDefault="00D7560A">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59E4A7E9"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A7EA"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A7EB" w14:textId="77777777" w:rsidR="00D7560A" w:rsidRDefault="00D7560A">
            <w:pPr>
              <w:widowControl/>
              <w:jc w:val="left"/>
              <w:rPr>
                <w:rFonts w:ascii="Times New Roman" w:eastAsia="宋体" w:hAnsi="宋体" w:cs="宋体"/>
                <w:kern w:val="0"/>
                <w:sz w:val="24"/>
              </w:rPr>
            </w:pPr>
          </w:p>
        </w:tc>
        <w:tc>
          <w:tcPr>
            <w:tcW w:w="478" w:type="pct"/>
            <w:tcBorders>
              <w:top w:val="nil"/>
              <w:left w:val="nil"/>
              <w:bottom w:val="nil"/>
              <w:right w:val="nil"/>
            </w:tcBorders>
            <w:shd w:val="clear" w:color="auto" w:fill="auto"/>
            <w:vAlign w:val="bottom"/>
          </w:tcPr>
          <w:p w14:paraId="59E4A7EC"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A7ED"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A7EE" w14:textId="77777777" w:rsidR="00D7560A" w:rsidRDefault="00D7560A">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59E4A7EF"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A7F0"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A7F1" w14:textId="77777777" w:rsidR="00D7560A" w:rsidRDefault="00D7560A">
            <w:pPr>
              <w:widowControl/>
              <w:jc w:val="left"/>
              <w:rPr>
                <w:rFonts w:ascii="Times New Roman" w:eastAsia="宋体" w:hAnsi="宋体" w:cs="宋体"/>
                <w:kern w:val="0"/>
                <w:sz w:val="24"/>
              </w:rPr>
            </w:pPr>
          </w:p>
        </w:tc>
        <w:tc>
          <w:tcPr>
            <w:tcW w:w="479" w:type="pct"/>
            <w:tcBorders>
              <w:top w:val="nil"/>
              <w:left w:val="nil"/>
              <w:bottom w:val="nil"/>
              <w:right w:val="nil"/>
            </w:tcBorders>
            <w:shd w:val="clear" w:color="auto" w:fill="auto"/>
            <w:vAlign w:val="bottom"/>
          </w:tcPr>
          <w:p w14:paraId="59E4A7F2"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A7F3" w14:textId="77777777" w:rsidR="00D7560A" w:rsidRDefault="00D7560A">
            <w:pPr>
              <w:widowControl/>
              <w:jc w:val="left"/>
              <w:rPr>
                <w:rFonts w:ascii="Times New Roman" w:eastAsia="宋体" w:hAnsi="宋体" w:cs="宋体"/>
                <w:kern w:val="0"/>
                <w:sz w:val="24"/>
              </w:rPr>
            </w:pPr>
          </w:p>
        </w:tc>
      </w:tr>
      <w:tr w:rsidR="00D7560A" w14:paraId="59E4A7FF"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A7F5"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A7F6" w14:textId="77777777" w:rsidR="00D7560A" w:rsidRDefault="00D7560A">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59E4A7F7" w14:textId="77777777" w:rsidR="00D7560A" w:rsidRDefault="00D7560A">
            <w:pPr>
              <w:widowControl/>
              <w:jc w:val="left"/>
              <w:rPr>
                <w:rFonts w:ascii="Times New Roman" w:eastAsia="宋体" w:hAnsi="宋体" w:cs="宋体"/>
                <w:vanish/>
                <w:kern w:val="0"/>
                <w:sz w:val="24"/>
              </w:rPr>
            </w:pPr>
          </w:p>
        </w:tc>
        <w:tc>
          <w:tcPr>
            <w:tcW w:w="0" w:type="auto"/>
            <w:gridSpan w:val="29"/>
            <w:tcBorders>
              <w:top w:val="nil"/>
              <w:left w:val="nil"/>
              <w:bottom w:val="single" w:sz="8" w:space="0" w:color="000000"/>
              <w:right w:val="nil"/>
            </w:tcBorders>
            <w:shd w:val="clear" w:color="auto" w:fill="FFFFFF"/>
            <w:tcMar>
              <w:top w:w="40" w:type="dxa"/>
              <w:left w:w="20" w:type="dxa"/>
              <w:bottom w:w="40" w:type="dxa"/>
              <w:right w:w="20" w:type="dxa"/>
            </w:tcMar>
            <w:vAlign w:val="bottom"/>
          </w:tcPr>
          <w:p w14:paraId="59E4A7F8"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Six Months Ended</w:t>
            </w:r>
          </w:p>
        </w:tc>
        <w:tc>
          <w:tcPr>
            <w:tcW w:w="0" w:type="auto"/>
            <w:tcBorders>
              <w:top w:val="nil"/>
              <w:left w:val="nil"/>
              <w:bottom w:val="single" w:sz="8" w:space="0" w:color="000000"/>
              <w:right w:val="nil"/>
            </w:tcBorders>
            <w:shd w:val="clear" w:color="auto" w:fill="auto"/>
            <w:vAlign w:val="bottom"/>
          </w:tcPr>
          <w:p w14:paraId="59E4A7F9"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single" w:sz="8" w:space="0" w:color="000000"/>
              <w:right w:val="nil"/>
            </w:tcBorders>
            <w:shd w:val="clear" w:color="auto" w:fill="auto"/>
            <w:vAlign w:val="bottom"/>
          </w:tcPr>
          <w:p w14:paraId="59E4A7FA"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single" w:sz="8" w:space="0" w:color="000000"/>
              <w:right w:val="nil"/>
            </w:tcBorders>
            <w:shd w:val="clear" w:color="auto" w:fill="auto"/>
            <w:vAlign w:val="bottom"/>
          </w:tcPr>
          <w:p w14:paraId="59E4A7FB"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single" w:sz="8" w:space="0" w:color="000000"/>
              <w:right w:val="nil"/>
            </w:tcBorders>
            <w:shd w:val="clear" w:color="auto" w:fill="auto"/>
            <w:vAlign w:val="bottom"/>
          </w:tcPr>
          <w:p w14:paraId="59E4A7FC"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single" w:sz="8" w:space="0" w:color="000000"/>
              <w:right w:val="nil"/>
            </w:tcBorders>
            <w:shd w:val="clear" w:color="auto" w:fill="auto"/>
            <w:vAlign w:val="bottom"/>
          </w:tcPr>
          <w:p w14:paraId="59E4A7FD"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single" w:sz="8" w:space="0" w:color="000000"/>
              <w:right w:val="nil"/>
            </w:tcBorders>
            <w:shd w:val="clear" w:color="auto" w:fill="auto"/>
            <w:vAlign w:val="bottom"/>
          </w:tcPr>
          <w:p w14:paraId="59E4A7FE" w14:textId="77777777" w:rsidR="00D7560A" w:rsidRDefault="00D7560A">
            <w:pPr>
              <w:widowControl/>
              <w:jc w:val="left"/>
              <w:rPr>
                <w:rFonts w:ascii="Times New Roman" w:eastAsia="宋体" w:hAnsi="宋体" w:cs="宋体"/>
                <w:kern w:val="0"/>
                <w:sz w:val="24"/>
              </w:rPr>
            </w:pPr>
          </w:p>
        </w:tc>
      </w:tr>
      <w:tr w:rsidR="00D7560A" w14:paraId="59E4A808"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A800"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A801" w14:textId="77777777" w:rsidR="00D7560A" w:rsidRDefault="00D7560A">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59E4A802" w14:textId="77777777" w:rsidR="00D7560A" w:rsidRDefault="00D7560A">
            <w:pPr>
              <w:widowControl/>
              <w:jc w:val="left"/>
              <w:rPr>
                <w:rFonts w:ascii="Times New Roman" w:eastAsia="宋体" w:hAnsi="宋体" w:cs="宋体"/>
                <w:vanish/>
                <w:kern w:val="0"/>
                <w:sz w:val="24"/>
              </w:rPr>
            </w:pPr>
          </w:p>
        </w:tc>
        <w:tc>
          <w:tcPr>
            <w:tcW w:w="0" w:type="auto"/>
            <w:gridSpan w:val="15"/>
            <w:tcBorders>
              <w:top w:val="single" w:sz="8" w:space="0" w:color="000000"/>
              <w:left w:val="nil"/>
              <w:bottom w:val="nil"/>
              <w:right w:val="nil"/>
            </w:tcBorders>
            <w:shd w:val="clear" w:color="auto" w:fill="auto"/>
            <w:tcMar>
              <w:top w:w="40" w:type="dxa"/>
              <w:left w:w="20" w:type="dxa"/>
              <w:bottom w:w="40" w:type="dxa"/>
              <w:right w:w="20" w:type="dxa"/>
            </w:tcMar>
            <w:vAlign w:val="bottom"/>
          </w:tcPr>
          <w:p w14:paraId="59E4A803"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29, 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59E4A804"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A805" w14:textId="77777777" w:rsidR="00D7560A" w:rsidRDefault="00D7560A">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59E4A806" w14:textId="77777777" w:rsidR="00D7560A" w:rsidRDefault="00D7560A">
            <w:pPr>
              <w:widowControl/>
              <w:jc w:val="left"/>
              <w:rPr>
                <w:rFonts w:ascii="Times New Roman" w:eastAsia="宋体" w:hAnsi="宋体" w:cs="宋体"/>
                <w:vanish/>
                <w:kern w:val="0"/>
                <w:sz w:val="24"/>
              </w:rPr>
            </w:pPr>
          </w:p>
        </w:tc>
        <w:tc>
          <w:tcPr>
            <w:tcW w:w="0" w:type="auto"/>
            <w:gridSpan w:val="15"/>
            <w:tcBorders>
              <w:top w:val="single" w:sz="8" w:space="0" w:color="000000"/>
              <w:left w:val="nil"/>
              <w:bottom w:val="nil"/>
              <w:right w:val="nil"/>
            </w:tcBorders>
            <w:shd w:val="clear" w:color="auto" w:fill="auto"/>
            <w:tcMar>
              <w:top w:w="40" w:type="dxa"/>
              <w:left w:w="20" w:type="dxa"/>
              <w:bottom w:w="40" w:type="dxa"/>
              <w:right w:w="20" w:type="dxa"/>
            </w:tcMar>
            <w:vAlign w:val="bottom"/>
          </w:tcPr>
          <w:p w14:paraId="59E4A807"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30, 2021</w:t>
            </w:r>
          </w:p>
        </w:tc>
      </w:tr>
      <w:tr w:rsidR="00D7560A" w14:paraId="59E4A819"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A809"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A80A" w14:textId="77777777" w:rsidR="00D7560A" w:rsidRDefault="00D7560A">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59E4A80B" w14:textId="77777777" w:rsidR="00D7560A" w:rsidRDefault="00D7560A">
            <w:pPr>
              <w:widowControl/>
              <w:jc w:val="left"/>
              <w:rPr>
                <w:rFonts w:ascii="Times New Roman" w:eastAsia="宋体" w:hAnsi="宋体" w:cs="宋体"/>
                <w:vanish/>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59E4A80C"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 xml:space="preserve">Cash </w:t>
            </w:r>
            <w:r>
              <w:rPr>
                <w:rFonts w:ascii="Times New Roman" w:eastAsia="宋体" w:hAnsi="Times New Roman" w:cs="Times New Roman"/>
                <w:b/>
                <w:bCs/>
                <w:color w:val="000000"/>
                <w:kern w:val="0"/>
                <w:sz w:val="20"/>
                <w:szCs w:val="20"/>
                <w:lang w:bidi="ar"/>
              </w:rPr>
              <w:t>Flow Hedges</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59E4A80D"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59E4A80E"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Pensions</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59E4A80F"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59E4A810"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Total</w:t>
            </w: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59E4A811"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single" w:sz="8" w:space="0" w:color="000000"/>
              <w:right w:val="nil"/>
            </w:tcBorders>
            <w:shd w:val="clear" w:color="auto" w:fill="auto"/>
            <w:vAlign w:val="bottom"/>
          </w:tcPr>
          <w:p w14:paraId="59E4A812" w14:textId="77777777" w:rsidR="00D7560A" w:rsidRDefault="00D7560A">
            <w:pPr>
              <w:widowControl/>
              <w:jc w:val="left"/>
              <w:rPr>
                <w:rFonts w:ascii="Times New Roman" w:eastAsia="宋体" w:hAnsi="宋体" w:cs="宋体"/>
                <w:vanish/>
                <w:kern w:val="0"/>
                <w:sz w:val="24"/>
              </w:rPr>
            </w:pPr>
          </w:p>
        </w:tc>
        <w:tc>
          <w:tcPr>
            <w:tcW w:w="0" w:type="auto"/>
            <w:tcBorders>
              <w:top w:val="nil"/>
              <w:left w:val="nil"/>
              <w:bottom w:val="single" w:sz="8" w:space="0" w:color="000000"/>
              <w:right w:val="nil"/>
            </w:tcBorders>
            <w:shd w:val="clear" w:color="auto" w:fill="auto"/>
            <w:vAlign w:val="bottom"/>
          </w:tcPr>
          <w:p w14:paraId="59E4A813" w14:textId="77777777" w:rsidR="00D7560A" w:rsidRDefault="00D7560A">
            <w:pPr>
              <w:widowControl/>
              <w:jc w:val="left"/>
              <w:rPr>
                <w:rFonts w:ascii="Times New Roman" w:eastAsia="宋体" w:hAnsi="宋体" w:cs="宋体"/>
                <w:vanish/>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59E4A814"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Cash Flow Hedges</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59E4A815"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59E4A816"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Pensions</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59E4A817"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59E4A818"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Total</w:t>
            </w:r>
          </w:p>
        </w:tc>
      </w:tr>
      <w:tr w:rsidR="00D7560A" w14:paraId="59E4A824" w14:textId="77777777">
        <w:trPr>
          <w:jc w:val="center"/>
        </w:trPr>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81A"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A81B" w14:textId="77777777" w:rsidR="00D7560A" w:rsidRDefault="00D7560A">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59E4A81C" w14:textId="77777777" w:rsidR="00D7560A" w:rsidRDefault="00D7560A">
            <w:pPr>
              <w:widowControl/>
              <w:jc w:val="left"/>
              <w:rPr>
                <w:rFonts w:ascii="Times New Roman" w:eastAsia="宋体" w:hAnsi="宋体" w:cs="宋体"/>
                <w:vanish/>
                <w:kern w:val="0"/>
                <w:sz w:val="24"/>
              </w:rPr>
            </w:pPr>
          </w:p>
        </w:tc>
        <w:tc>
          <w:tcPr>
            <w:tcW w:w="0" w:type="auto"/>
            <w:gridSpan w:val="29"/>
            <w:tcBorders>
              <w:top w:val="single" w:sz="8" w:space="0" w:color="000000"/>
              <w:left w:val="nil"/>
              <w:bottom w:val="nil"/>
              <w:right w:val="nil"/>
            </w:tcBorders>
            <w:shd w:val="clear" w:color="auto" w:fill="FFFFFF"/>
            <w:tcMar>
              <w:top w:w="40" w:type="dxa"/>
              <w:left w:w="20" w:type="dxa"/>
              <w:bottom w:w="40" w:type="dxa"/>
              <w:right w:w="20" w:type="dxa"/>
            </w:tcMar>
            <w:vAlign w:val="center"/>
          </w:tcPr>
          <w:p w14:paraId="59E4A81D" w14:textId="77777777" w:rsidR="00D7560A" w:rsidRDefault="001E3CAB">
            <w:pPr>
              <w:widowControl/>
              <w:jc w:val="center"/>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(in millions)</w:t>
            </w:r>
          </w:p>
        </w:tc>
        <w:tc>
          <w:tcPr>
            <w:tcW w:w="0" w:type="auto"/>
            <w:tcBorders>
              <w:top w:val="nil"/>
              <w:left w:val="nil"/>
              <w:bottom w:val="nil"/>
              <w:right w:val="nil"/>
            </w:tcBorders>
            <w:shd w:val="clear" w:color="auto" w:fill="auto"/>
            <w:vAlign w:val="bottom"/>
          </w:tcPr>
          <w:p w14:paraId="59E4A81E"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A81F"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A820"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A821"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A822"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A823" w14:textId="77777777" w:rsidR="00D7560A" w:rsidRDefault="00D7560A">
            <w:pPr>
              <w:widowControl/>
              <w:jc w:val="left"/>
              <w:rPr>
                <w:rFonts w:ascii="Times New Roman" w:eastAsia="宋体" w:hAnsi="宋体" w:cs="宋体"/>
                <w:kern w:val="0"/>
                <w:sz w:val="24"/>
              </w:rPr>
            </w:pPr>
          </w:p>
        </w:tc>
      </w:tr>
      <w:tr w:rsidR="00D7560A" w14:paraId="59E4A835"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center"/>
          </w:tcPr>
          <w:p w14:paraId="59E4A825" w14:textId="77777777" w:rsidR="00D7560A" w:rsidRDefault="001E3CAB">
            <w:pPr>
              <w:widowControl/>
              <w:jc w:val="left"/>
              <w:textAlignment w:val="center"/>
              <w:rPr>
                <w:rFonts w:ascii="宋体" w:eastAsia="宋体" w:hAnsi="宋体" w:cs="宋体"/>
                <w:kern w:val="0"/>
                <w:sz w:val="24"/>
              </w:rPr>
            </w:pPr>
            <w:r>
              <w:rPr>
                <w:rFonts w:ascii="Times New Roman" w:eastAsia="宋体" w:hAnsi="Times New Roman" w:cs="Times New Roman"/>
                <w:i/>
                <w:iCs/>
                <w:color w:val="000000"/>
                <w:kern w:val="0"/>
                <w:sz w:val="20"/>
                <w:szCs w:val="20"/>
                <w:lang w:bidi="ar"/>
              </w:rPr>
              <w:t>Total reclassifications, net of tax:</w:t>
            </w:r>
          </w:p>
        </w:tc>
        <w:tc>
          <w:tcPr>
            <w:tcW w:w="0" w:type="auto"/>
            <w:tcBorders>
              <w:top w:val="nil"/>
              <w:left w:val="nil"/>
              <w:bottom w:val="nil"/>
              <w:right w:val="nil"/>
            </w:tcBorders>
            <w:shd w:val="clear" w:color="auto" w:fill="auto"/>
            <w:vAlign w:val="bottom"/>
          </w:tcPr>
          <w:p w14:paraId="59E4A826" w14:textId="77777777" w:rsidR="00D7560A" w:rsidRDefault="00D7560A">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59E4A827"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828"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829"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82A"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82B"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82C"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82D"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A82E" w14:textId="77777777" w:rsidR="00D7560A" w:rsidRDefault="00D7560A">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59E4A82F"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830"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831"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832"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833"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834" w14:textId="77777777" w:rsidR="00D7560A" w:rsidRDefault="00D7560A">
            <w:pPr>
              <w:widowControl/>
              <w:jc w:val="left"/>
              <w:rPr>
                <w:rFonts w:ascii="Times New Roman" w:eastAsia="宋体" w:hAnsi="宋体" w:cs="宋体"/>
                <w:kern w:val="0"/>
                <w:sz w:val="24"/>
              </w:rPr>
            </w:pPr>
          </w:p>
        </w:tc>
      </w:tr>
      <w:tr w:rsidR="00D7560A" w14:paraId="59E4A852" w14:textId="77777777">
        <w:trPr>
          <w:jc w:val="center"/>
        </w:trPr>
        <w:tc>
          <w:tcPr>
            <w:tcW w:w="0" w:type="auto"/>
            <w:gridSpan w:val="3"/>
            <w:tcBorders>
              <w:top w:val="nil"/>
              <w:left w:val="nil"/>
              <w:bottom w:val="nil"/>
              <w:right w:val="nil"/>
            </w:tcBorders>
            <w:shd w:val="clear" w:color="auto" w:fill="FFFFFF"/>
            <w:tcMar>
              <w:top w:w="40" w:type="dxa"/>
              <w:left w:w="155" w:type="dxa"/>
              <w:bottom w:w="40" w:type="dxa"/>
              <w:right w:w="20" w:type="dxa"/>
            </w:tcMar>
            <w:vAlign w:val="center"/>
          </w:tcPr>
          <w:p w14:paraId="59E4A836" w14:textId="77777777" w:rsidR="00D7560A" w:rsidRDefault="001E3CAB">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Net revenue</w:t>
            </w:r>
          </w:p>
        </w:tc>
        <w:tc>
          <w:tcPr>
            <w:tcW w:w="0" w:type="auto"/>
            <w:tcBorders>
              <w:top w:val="nil"/>
              <w:left w:val="nil"/>
              <w:bottom w:val="nil"/>
              <w:right w:val="nil"/>
            </w:tcBorders>
            <w:shd w:val="clear" w:color="auto" w:fill="auto"/>
            <w:vAlign w:val="bottom"/>
          </w:tcPr>
          <w:p w14:paraId="59E4A837" w14:textId="77777777" w:rsidR="00D7560A" w:rsidRDefault="00D7560A">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59E4A838" w14:textId="77777777" w:rsidR="00D7560A" w:rsidRDefault="00D7560A">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center"/>
          </w:tcPr>
          <w:p w14:paraId="59E4A839" w14:textId="77777777" w:rsidR="00D7560A" w:rsidRDefault="001E3CAB">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center"/>
          </w:tcPr>
          <w:p w14:paraId="59E4A83A" w14:textId="77777777" w:rsidR="00D7560A" w:rsidRDefault="001E3CAB">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430 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59E4A83B"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83C"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center"/>
          </w:tcPr>
          <w:p w14:paraId="59E4A83D" w14:textId="77777777" w:rsidR="00D7560A" w:rsidRDefault="001E3CAB">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center"/>
          </w:tcPr>
          <w:p w14:paraId="59E4A83E" w14:textId="77777777" w:rsidR="00D7560A" w:rsidRDefault="001E3CAB">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59E4A83F"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840"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center"/>
          </w:tcPr>
          <w:p w14:paraId="59E4A841" w14:textId="77777777" w:rsidR="00D7560A" w:rsidRDefault="001E3CAB">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center"/>
          </w:tcPr>
          <w:p w14:paraId="59E4A842" w14:textId="77777777" w:rsidR="00D7560A" w:rsidRDefault="001E3CAB">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430 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59E4A843"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844"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A845" w14:textId="77777777" w:rsidR="00D7560A" w:rsidRDefault="00D7560A">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59E4A846" w14:textId="77777777" w:rsidR="00D7560A" w:rsidRDefault="00D7560A">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center"/>
          </w:tcPr>
          <w:p w14:paraId="59E4A847" w14:textId="77777777" w:rsidR="00D7560A" w:rsidRDefault="001E3CAB">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center"/>
          </w:tcPr>
          <w:p w14:paraId="59E4A848" w14:textId="77777777" w:rsidR="00D7560A" w:rsidRDefault="001E3CAB">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(37)</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59E4A849"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84A"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center"/>
          </w:tcPr>
          <w:p w14:paraId="59E4A84B" w14:textId="77777777" w:rsidR="00D7560A" w:rsidRDefault="001E3CAB">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center"/>
          </w:tcPr>
          <w:p w14:paraId="59E4A84C" w14:textId="77777777" w:rsidR="00D7560A" w:rsidRDefault="001E3CAB">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59E4A84D"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84E"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center"/>
          </w:tcPr>
          <w:p w14:paraId="59E4A84F" w14:textId="77777777" w:rsidR="00D7560A" w:rsidRDefault="001E3CAB">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center"/>
          </w:tcPr>
          <w:p w14:paraId="59E4A850" w14:textId="77777777" w:rsidR="00D7560A" w:rsidRDefault="001E3CAB">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(37)</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59E4A851" w14:textId="77777777" w:rsidR="00D7560A" w:rsidRDefault="00D7560A">
            <w:pPr>
              <w:widowControl/>
              <w:jc w:val="right"/>
              <w:rPr>
                <w:rFonts w:ascii="Times New Roman" w:eastAsia="宋体" w:hAnsi="宋体" w:cs="宋体"/>
                <w:kern w:val="0"/>
                <w:sz w:val="24"/>
              </w:rPr>
            </w:pPr>
          </w:p>
        </w:tc>
      </w:tr>
      <w:tr w:rsidR="00D7560A" w14:paraId="59E4A869" w14:textId="77777777">
        <w:trPr>
          <w:jc w:val="center"/>
        </w:trPr>
        <w:tc>
          <w:tcPr>
            <w:tcW w:w="0" w:type="auto"/>
            <w:gridSpan w:val="3"/>
            <w:tcBorders>
              <w:top w:val="nil"/>
              <w:left w:val="nil"/>
              <w:bottom w:val="nil"/>
              <w:right w:val="nil"/>
            </w:tcBorders>
            <w:shd w:val="clear" w:color="auto" w:fill="CCEEFF"/>
            <w:tcMar>
              <w:top w:w="40" w:type="dxa"/>
              <w:left w:w="155" w:type="dxa"/>
              <w:bottom w:w="40" w:type="dxa"/>
              <w:right w:w="20" w:type="dxa"/>
            </w:tcMar>
            <w:vAlign w:val="center"/>
          </w:tcPr>
          <w:p w14:paraId="59E4A853" w14:textId="77777777" w:rsidR="00D7560A" w:rsidRDefault="001E3CAB">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Cost of net revenue</w:t>
            </w:r>
          </w:p>
        </w:tc>
        <w:tc>
          <w:tcPr>
            <w:tcW w:w="0" w:type="auto"/>
            <w:tcBorders>
              <w:top w:val="nil"/>
              <w:left w:val="nil"/>
              <w:bottom w:val="nil"/>
              <w:right w:val="nil"/>
            </w:tcBorders>
            <w:shd w:val="clear" w:color="auto" w:fill="auto"/>
            <w:vAlign w:val="bottom"/>
          </w:tcPr>
          <w:p w14:paraId="59E4A854" w14:textId="77777777" w:rsidR="00D7560A" w:rsidRDefault="00D7560A">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59E4A855" w14:textId="77777777" w:rsidR="00D7560A" w:rsidRDefault="00D7560A">
            <w:pPr>
              <w:widowControl/>
              <w:jc w:val="left"/>
              <w:rPr>
                <w:rFonts w:ascii="Times New Roman" w:eastAsia="宋体" w:hAnsi="宋体" w:cs="宋体"/>
                <w:vanish/>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59E4A856" w14:textId="77777777" w:rsidR="00D7560A" w:rsidRDefault="001E3CAB">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(28)</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59E4A857"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858"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59E4A859" w14:textId="77777777" w:rsidR="00D7560A" w:rsidRDefault="001E3CAB">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59E4A85A"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85B"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59E4A85C" w14:textId="77777777" w:rsidR="00D7560A" w:rsidRDefault="001E3CAB">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(28)</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59E4A85D"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85E"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A85F" w14:textId="77777777" w:rsidR="00D7560A" w:rsidRDefault="00D7560A">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59E4A860" w14:textId="77777777" w:rsidR="00D7560A" w:rsidRDefault="00D7560A">
            <w:pPr>
              <w:widowControl/>
              <w:jc w:val="left"/>
              <w:rPr>
                <w:rFonts w:ascii="Times New Roman" w:eastAsia="宋体" w:hAnsi="宋体" w:cs="宋体"/>
                <w:vanish/>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59E4A861" w14:textId="77777777" w:rsidR="00D7560A" w:rsidRDefault="001E3CAB">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(5)</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59E4A862"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863"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59E4A864" w14:textId="77777777" w:rsidR="00D7560A" w:rsidRDefault="001E3CAB">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59E4A865"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866"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59E4A867" w14:textId="77777777" w:rsidR="00D7560A" w:rsidRDefault="001E3CAB">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(5)</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59E4A868" w14:textId="77777777" w:rsidR="00D7560A" w:rsidRDefault="00D7560A">
            <w:pPr>
              <w:widowControl/>
              <w:jc w:val="right"/>
              <w:rPr>
                <w:rFonts w:ascii="Times New Roman" w:eastAsia="宋体" w:hAnsi="宋体" w:cs="宋体"/>
                <w:kern w:val="0"/>
                <w:sz w:val="24"/>
              </w:rPr>
            </w:pPr>
          </w:p>
        </w:tc>
      </w:tr>
      <w:tr w:rsidR="00D7560A" w14:paraId="59E4A880" w14:textId="77777777">
        <w:trPr>
          <w:jc w:val="center"/>
        </w:trPr>
        <w:tc>
          <w:tcPr>
            <w:tcW w:w="0" w:type="auto"/>
            <w:gridSpan w:val="3"/>
            <w:tcBorders>
              <w:top w:val="nil"/>
              <w:left w:val="nil"/>
              <w:bottom w:val="nil"/>
              <w:right w:val="nil"/>
            </w:tcBorders>
            <w:shd w:val="clear" w:color="auto" w:fill="FFFFFF"/>
            <w:tcMar>
              <w:top w:w="40" w:type="dxa"/>
              <w:left w:w="155" w:type="dxa"/>
              <w:bottom w:w="40" w:type="dxa"/>
              <w:right w:w="20" w:type="dxa"/>
            </w:tcMar>
            <w:vAlign w:val="center"/>
          </w:tcPr>
          <w:p w14:paraId="59E4A86A" w14:textId="77777777" w:rsidR="00D7560A" w:rsidRDefault="001E3CAB">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Operating expenses</w:t>
            </w:r>
          </w:p>
        </w:tc>
        <w:tc>
          <w:tcPr>
            <w:tcW w:w="0" w:type="auto"/>
            <w:tcBorders>
              <w:top w:val="nil"/>
              <w:left w:val="nil"/>
              <w:bottom w:val="nil"/>
              <w:right w:val="nil"/>
            </w:tcBorders>
            <w:shd w:val="clear" w:color="auto" w:fill="auto"/>
            <w:vAlign w:val="bottom"/>
          </w:tcPr>
          <w:p w14:paraId="59E4A86B" w14:textId="77777777" w:rsidR="00D7560A" w:rsidRDefault="00D7560A">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59E4A86C" w14:textId="77777777" w:rsidR="00D7560A" w:rsidRDefault="00D7560A">
            <w:pPr>
              <w:widowControl/>
              <w:jc w:val="left"/>
              <w:rPr>
                <w:rFonts w:ascii="Times New Roman" w:eastAsia="宋体" w:hAnsi="宋体" w:cs="宋体"/>
                <w:vanish/>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59E4A86D" w14:textId="77777777" w:rsidR="00D7560A" w:rsidRDefault="001E3CAB">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59E4A86E"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86F"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59E4A870" w14:textId="77777777" w:rsidR="00D7560A" w:rsidRDefault="001E3CAB">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59E4A871"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872"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59E4A873" w14:textId="77777777" w:rsidR="00D7560A" w:rsidRDefault="001E3CAB">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59E4A874"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875"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A876" w14:textId="77777777" w:rsidR="00D7560A" w:rsidRDefault="00D7560A">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59E4A877" w14:textId="77777777" w:rsidR="00D7560A" w:rsidRDefault="00D7560A">
            <w:pPr>
              <w:widowControl/>
              <w:jc w:val="left"/>
              <w:rPr>
                <w:rFonts w:ascii="Times New Roman" w:eastAsia="宋体" w:hAnsi="宋体" w:cs="宋体"/>
                <w:vanish/>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59E4A878" w14:textId="77777777" w:rsidR="00D7560A" w:rsidRDefault="001E3CAB">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59E4A879"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87A"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59E4A87B" w14:textId="77777777" w:rsidR="00D7560A" w:rsidRDefault="001E3CAB">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(2)</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59E4A87C"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87D"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59E4A87E" w14:textId="77777777" w:rsidR="00D7560A" w:rsidRDefault="001E3CAB">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(2)</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59E4A87F" w14:textId="77777777" w:rsidR="00D7560A" w:rsidRDefault="00D7560A">
            <w:pPr>
              <w:widowControl/>
              <w:jc w:val="right"/>
              <w:rPr>
                <w:rFonts w:ascii="Times New Roman" w:eastAsia="宋体" w:hAnsi="宋体" w:cs="宋体"/>
                <w:kern w:val="0"/>
                <w:sz w:val="24"/>
              </w:rPr>
            </w:pPr>
          </w:p>
        </w:tc>
      </w:tr>
      <w:tr w:rsidR="00D7560A" w14:paraId="59E4A891" w14:textId="77777777">
        <w:trPr>
          <w:jc w:val="center"/>
          <w:hidden/>
        </w:trPr>
        <w:tc>
          <w:tcPr>
            <w:tcW w:w="0" w:type="auto"/>
            <w:gridSpan w:val="3"/>
            <w:tcBorders>
              <w:top w:val="nil"/>
              <w:left w:val="nil"/>
              <w:bottom w:val="nil"/>
              <w:right w:val="nil"/>
            </w:tcBorders>
            <w:shd w:val="clear" w:color="auto" w:fill="auto"/>
            <w:vAlign w:val="bottom"/>
          </w:tcPr>
          <w:p w14:paraId="59E4A881" w14:textId="77777777" w:rsidR="00D7560A" w:rsidRDefault="00D7560A">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59E4A882" w14:textId="77777777" w:rsidR="00D7560A" w:rsidRDefault="00D7560A">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59E4A883"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884"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885"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886"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887"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888"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889" w14:textId="77777777" w:rsidR="00D7560A" w:rsidRDefault="00D7560A">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59E4A88A" w14:textId="77777777" w:rsidR="00D7560A" w:rsidRDefault="00D7560A">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59E4A88B"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88C"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88D"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88E"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88F"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890" w14:textId="77777777" w:rsidR="00D7560A" w:rsidRDefault="00D7560A">
            <w:pPr>
              <w:widowControl/>
              <w:jc w:val="left"/>
              <w:rPr>
                <w:rFonts w:ascii="Times New Roman" w:eastAsia="宋体" w:hAnsi="宋体" w:cs="宋体"/>
                <w:vanish/>
                <w:kern w:val="0"/>
                <w:sz w:val="24"/>
              </w:rPr>
            </w:pPr>
          </w:p>
        </w:tc>
      </w:tr>
      <w:tr w:rsidR="00D7560A" w14:paraId="59E4A8A8" w14:textId="77777777">
        <w:trPr>
          <w:jc w:val="center"/>
        </w:trPr>
        <w:tc>
          <w:tcPr>
            <w:tcW w:w="0" w:type="auto"/>
            <w:gridSpan w:val="3"/>
            <w:tcBorders>
              <w:top w:val="nil"/>
              <w:left w:val="nil"/>
              <w:bottom w:val="nil"/>
              <w:right w:val="nil"/>
            </w:tcBorders>
            <w:shd w:val="clear" w:color="auto" w:fill="CCEEFF"/>
            <w:tcMar>
              <w:top w:w="40" w:type="dxa"/>
              <w:left w:w="140" w:type="dxa"/>
              <w:bottom w:w="40" w:type="dxa"/>
              <w:right w:w="20" w:type="dxa"/>
            </w:tcMar>
            <w:vAlign w:val="center"/>
          </w:tcPr>
          <w:p w14:paraId="59E4A892" w14:textId="77777777" w:rsidR="00D7560A" w:rsidRDefault="001E3CAB">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Income from discontinued operations</w:t>
            </w:r>
          </w:p>
        </w:tc>
        <w:tc>
          <w:tcPr>
            <w:tcW w:w="0" w:type="auto"/>
            <w:tcBorders>
              <w:top w:val="nil"/>
              <w:left w:val="nil"/>
              <w:bottom w:val="nil"/>
              <w:right w:val="nil"/>
            </w:tcBorders>
            <w:shd w:val="clear" w:color="auto" w:fill="auto"/>
            <w:vAlign w:val="bottom"/>
          </w:tcPr>
          <w:p w14:paraId="59E4A893" w14:textId="77777777" w:rsidR="00D7560A" w:rsidRDefault="00D7560A">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59E4A894" w14:textId="77777777" w:rsidR="00D7560A" w:rsidRDefault="00D7560A">
            <w:pPr>
              <w:widowControl/>
              <w:jc w:val="left"/>
              <w:rPr>
                <w:rFonts w:ascii="Times New Roman" w:eastAsia="宋体" w:hAnsi="宋体" w:cs="宋体"/>
                <w:vanish/>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A895"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A896"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897"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A898"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A899"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89A"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A89B"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A89C"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89D"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A89E" w14:textId="77777777" w:rsidR="00D7560A" w:rsidRDefault="00D7560A">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59E4A89F" w14:textId="77777777" w:rsidR="00D7560A" w:rsidRDefault="00D7560A">
            <w:pPr>
              <w:widowControl/>
              <w:jc w:val="left"/>
              <w:rPr>
                <w:rFonts w:ascii="Times New Roman" w:eastAsia="宋体" w:hAnsi="宋体" w:cs="宋体"/>
                <w:vanish/>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A8A0"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A8A1"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8A2"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A8A3"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A8A4"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8A5"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A8A6"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A8A7" w14:textId="77777777" w:rsidR="00D7560A" w:rsidRDefault="00D7560A">
            <w:pPr>
              <w:widowControl/>
              <w:jc w:val="right"/>
              <w:rPr>
                <w:rFonts w:ascii="Times New Roman" w:eastAsia="宋体" w:hAnsi="宋体" w:cs="宋体"/>
                <w:kern w:val="0"/>
                <w:sz w:val="24"/>
              </w:rPr>
            </w:pPr>
          </w:p>
        </w:tc>
      </w:tr>
      <w:tr w:rsidR="00D7560A" w14:paraId="59E4A8C5" w14:textId="77777777">
        <w:trPr>
          <w:jc w:val="center"/>
        </w:trPr>
        <w:tc>
          <w:tcPr>
            <w:tcW w:w="0" w:type="auto"/>
            <w:gridSpan w:val="3"/>
            <w:tcBorders>
              <w:top w:val="nil"/>
              <w:left w:val="nil"/>
              <w:bottom w:val="nil"/>
              <w:right w:val="nil"/>
            </w:tcBorders>
            <w:shd w:val="clear" w:color="auto" w:fill="FFFFFF"/>
            <w:tcMar>
              <w:top w:w="40" w:type="dxa"/>
              <w:left w:w="245" w:type="dxa"/>
              <w:bottom w:w="40" w:type="dxa"/>
              <w:right w:w="20" w:type="dxa"/>
            </w:tcMar>
            <w:vAlign w:val="center"/>
          </w:tcPr>
          <w:p w14:paraId="59E4A8A9" w14:textId="77777777" w:rsidR="00D7560A" w:rsidRDefault="001E3CAB">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Total reclassifications, net of tax</w:t>
            </w:r>
          </w:p>
        </w:tc>
        <w:tc>
          <w:tcPr>
            <w:tcW w:w="0" w:type="auto"/>
            <w:tcBorders>
              <w:top w:val="nil"/>
              <w:left w:val="nil"/>
              <w:bottom w:val="nil"/>
              <w:right w:val="nil"/>
            </w:tcBorders>
            <w:shd w:val="clear" w:color="auto" w:fill="auto"/>
            <w:vAlign w:val="bottom"/>
          </w:tcPr>
          <w:p w14:paraId="59E4A8AA" w14:textId="77777777" w:rsidR="00D7560A" w:rsidRDefault="00D7560A">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59E4A8AB" w14:textId="77777777" w:rsidR="00D7560A" w:rsidRDefault="00D7560A">
            <w:pPr>
              <w:widowControl/>
              <w:jc w:val="left"/>
              <w:rPr>
                <w:rFonts w:ascii="Times New Roman" w:eastAsia="宋体" w:hAnsi="宋体" w:cs="宋体"/>
                <w:vanish/>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center"/>
          </w:tcPr>
          <w:p w14:paraId="59E4A8AC" w14:textId="77777777" w:rsidR="00D7560A" w:rsidRDefault="001E3CAB">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center"/>
          </w:tcPr>
          <w:p w14:paraId="59E4A8AD" w14:textId="77777777" w:rsidR="00D7560A" w:rsidRDefault="001E3CAB">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402 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center"/>
          </w:tcPr>
          <w:p w14:paraId="59E4A8AE"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8AF"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center"/>
          </w:tcPr>
          <w:p w14:paraId="59E4A8B0" w14:textId="77777777" w:rsidR="00D7560A" w:rsidRDefault="001E3CAB">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center"/>
          </w:tcPr>
          <w:p w14:paraId="59E4A8B1" w14:textId="77777777" w:rsidR="00D7560A" w:rsidRDefault="001E3CAB">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center"/>
          </w:tcPr>
          <w:p w14:paraId="59E4A8B2"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8B3"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center"/>
          </w:tcPr>
          <w:p w14:paraId="59E4A8B4" w14:textId="77777777" w:rsidR="00D7560A" w:rsidRDefault="001E3CAB">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center"/>
          </w:tcPr>
          <w:p w14:paraId="59E4A8B5" w14:textId="77777777" w:rsidR="00D7560A" w:rsidRDefault="001E3CAB">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402 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center"/>
          </w:tcPr>
          <w:p w14:paraId="59E4A8B6"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8B7"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A8B8" w14:textId="77777777" w:rsidR="00D7560A" w:rsidRDefault="00D7560A">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59E4A8B9" w14:textId="77777777" w:rsidR="00D7560A" w:rsidRDefault="00D7560A">
            <w:pPr>
              <w:widowControl/>
              <w:jc w:val="left"/>
              <w:rPr>
                <w:rFonts w:ascii="Times New Roman" w:eastAsia="宋体" w:hAnsi="宋体" w:cs="宋体"/>
                <w:vanish/>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center"/>
          </w:tcPr>
          <w:p w14:paraId="59E4A8BA" w14:textId="77777777" w:rsidR="00D7560A" w:rsidRDefault="001E3CAB">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center"/>
          </w:tcPr>
          <w:p w14:paraId="59E4A8BB" w14:textId="77777777" w:rsidR="00D7560A" w:rsidRDefault="001E3CAB">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(40)</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center"/>
          </w:tcPr>
          <w:p w14:paraId="59E4A8BC"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8BD"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center"/>
          </w:tcPr>
          <w:p w14:paraId="59E4A8BE" w14:textId="77777777" w:rsidR="00D7560A" w:rsidRDefault="001E3CAB">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center"/>
          </w:tcPr>
          <w:p w14:paraId="59E4A8BF" w14:textId="77777777" w:rsidR="00D7560A" w:rsidRDefault="001E3CAB">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(2)</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center"/>
          </w:tcPr>
          <w:p w14:paraId="59E4A8C0"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8C1"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center"/>
          </w:tcPr>
          <w:p w14:paraId="59E4A8C2" w14:textId="77777777" w:rsidR="00D7560A" w:rsidRDefault="001E3CAB">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center"/>
          </w:tcPr>
          <w:p w14:paraId="59E4A8C3" w14:textId="77777777" w:rsidR="00D7560A" w:rsidRDefault="001E3CAB">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(42)</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center"/>
          </w:tcPr>
          <w:p w14:paraId="59E4A8C4" w14:textId="77777777" w:rsidR="00D7560A" w:rsidRDefault="00D7560A">
            <w:pPr>
              <w:widowControl/>
              <w:jc w:val="right"/>
              <w:rPr>
                <w:rFonts w:ascii="Times New Roman" w:eastAsia="宋体" w:hAnsi="宋体" w:cs="宋体"/>
                <w:kern w:val="0"/>
                <w:sz w:val="24"/>
              </w:rPr>
            </w:pPr>
          </w:p>
        </w:tc>
      </w:tr>
    </w:tbl>
    <w:p w14:paraId="59E4A8C6"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A8C7"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45</w:t>
      </w:r>
    </w:p>
    <w:p w14:paraId="59E4A8C8"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A8C9" w14:textId="77777777" w:rsidR="00D7560A" w:rsidRDefault="001E3CAB">
      <w:pPr>
        <w:widowControl/>
        <w:jc w:val="center"/>
      </w:pPr>
      <w:r>
        <w:rPr>
          <w:rFonts w:ascii="宋体" w:eastAsia="宋体" w:hAnsi="宋体" w:cs="宋体"/>
          <w:kern w:val="0"/>
          <w:sz w:val="24"/>
        </w:rPr>
        <w:pict w14:anchorId="59E4C7F8">
          <v:rect id="_x0000_i1069" style="width:6in;height:1.5pt" o:hralign="center" o:hrstd="t" o:hr="t" fillcolor="#a0a0a0" stroked="f"/>
        </w:pict>
      </w:r>
    </w:p>
    <w:p w14:paraId="59E4A8CA" w14:textId="77777777" w:rsidR="00D7560A" w:rsidRDefault="001E3CAB">
      <w:pPr>
        <w:widowControl/>
        <w:jc w:val="left"/>
        <w:rPr>
          <w:rFonts w:ascii="宋体" w:eastAsia="宋体" w:hAnsi="宋体" w:cs="宋体"/>
          <w:kern w:val="0"/>
          <w:sz w:val="24"/>
        </w:rPr>
      </w:pPr>
      <w:hyperlink w:anchor="if933dd1d5d004d2495dd7029e3ecad00_13" w:history="1">
        <w:r>
          <w:rPr>
            <w:rStyle w:val="a4"/>
            <w:rFonts w:ascii="Times New Roman" w:eastAsia="宋体" w:hAnsi="Times New Roman" w:cs="Times New Roman"/>
            <w:sz w:val="20"/>
            <w:szCs w:val="20"/>
          </w:rPr>
          <w:t>Table of Contents</w:t>
        </w:r>
      </w:hyperlink>
    </w:p>
    <w:p w14:paraId="59E4A8CB"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DELL TECHNOLOGIES INC.</w:t>
      </w:r>
    </w:p>
    <w:p w14:paraId="59E4A8CC"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NOTES TO THE CONDENSED CONSOLIDATED FINANCIAL STATEMENTS (Continued)</w:t>
      </w:r>
    </w:p>
    <w:p w14:paraId="59E4A8CD"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(unaudited)</w:t>
      </w:r>
    </w:p>
    <w:p w14:paraId="59E4A8CE"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A8CF"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NOTE 14 — CAPITALIZATION</w:t>
      </w:r>
      <w:r>
        <w:rPr>
          <w:rFonts w:ascii="Times New Roman" w:eastAsia="宋体" w:hAnsi="Times New Roman" w:cs="Times New Roman"/>
          <w:color w:val="000000"/>
          <w:kern w:val="0"/>
          <w:sz w:val="20"/>
          <w:szCs w:val="20"/>
          <w:lang w:bidi="ar"/>
        </w:rPr>
        <w:t xml:space="preserve"> </w:t>
      </w:r>
    </w:p>
    <w:p w14:paraId="59E4A8D0"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A8D1" w14:textId="77777777" w:rsidR="00D7560A" w:rsidRDefault="001E3CAB">
      <w:pPr>
        <w:widowControl/>
        <w:spacing w:after="12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The following table </w:t>
      </w:r>
      <w:r>
        <w:rPr>
          <w:rFonts w:ascii="Times New Roman" w:eastAsia="宋体" w:hAnsi="Times New Roman" w:cs="Times New Roman"/>
          <w:color w:val="000000"/>
          <w:kern w:val="0"/>
          <w:sz w:val="20"/>
          <w:szCs w:val="20"/>
          <w:lang w:bidi="ar"/>
        </w:rPr>
        <w:t>presents the Company’s authorized, issued, and outstanding common stock as of the dates indicated: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54"/>
        <w:gridCol w:w="4061"/>
        <w:gridCol w:w="36"/>
        <w:gridCol w:w="63"/>
        <w:gridCol w:w="1224"/>
        <w:gridCol w:w="36"/>
        <w:gridCol w:w="36"/>
        <w:gridCol w:w="36"/>
        <w:gridCol w:w="36"/>
        <w:gridCol w:w="55"/>
        <w:gridCol w:w="1232"/>
        <w:gridCol w:w="36"/>
        <w:gridCol w:w="36"/>
        <w:gridCol w:w="36"/>
        <w:gridCol w:w="36"/>
        <w:gridCol w:w="69"/>
        <w:gridCol w:w="1218"/>
        <w:gridCol w:w="36"/>
      </w:tblGrid>
      <w:tr w:rsidR="00D7560A" w14:paraId="59E4A8E4" w14:textId="77777777">
        <w:trPr>
          <w:jc w:val="center"/>
        </w:trPr>
        <w:tc>
          <w:tcPr>
            <w:tcW w:w="50" w:type="pct"/>
            <w:tcBorders>
              <w:top w:val="nil"/>
              <w:left w:val="nil"/>
              <w:bottom w:val="nil"/>
              <w:right w:val="nil"/>
            </w:tcBorders>
            <w:shd w:val="clear" w:color="auto" w:fill="auto"/>
            <w:vAlign w:val="bottom"/>
          </w:tcPr>
          <w:p w14:paraId="59E4A8D2" w14:textId="77777777" w:rsidR="00D7560A" w:rsidRDefault="00D7560A">
            <w:pPr>
              <w:widowControl/>
              <w:jc w:val="left"/>
              <w:rPr>
                <w:rFonts w:ascii="Times New Roman" w:eastAsia="宋体" w:hAnsi="宋体" w:cs="宋体"/>
                <w:kern w:val="0"/>
                <w:sz w:val="24"/>
              </w:rPr>
            </w:pPr>
          </w:p>
        </w:tc>
        <w:tc>
          <w:tcPr>
            <w:tcW w:w="2452" w:type="pct"/>
            <w:tcBorders>
              <w:top w:val="nil"/>
              <w:left w:val="nil"/>
              <w:bottom w:val="nil"/>
              <w:right w:val="nil"/>
            </w:tcBorders>
            <w:shd w:val="clear" w:color="auto" w:fill="auto"/>
            <w:vAlign w:val="bottom"/>
          </w:tcPr>
          <w:p w14:paraId="59E4A8D3"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A8D4"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A8D5" w14:textId="77777777" w:rsidR="00D7560A" w:rsidRDefault="00D7560A">
            <w:pPr>
              <w:widowControl/>
              <w:jc w:val="left"/>
              <w:rPr>
                <w:rFonts w:ascii="Times New Roman" w:eastAsia="宋体" w:hAnsi="宋体" w:cs="宋体"/>
                <w:kern w:val="0"/>
                <w:sz w:val="24"/>
              </w:rPr>
            </w:pPr>
          </w:p>
        </w:tc>
        <w:tc>
          <w:tcPr>
            <w:tcW w:w="756" w:type="pct"/>
            <w:tcBorders>
              <w:top w:val="nil"/>
              <w:left w:val="nil"/>
              <w:bottom w:val="nil"/>
              <w:right w:val="nil"/>
            </w:tcBorders>
            <w:shd w:val="clear" w:color="auto" w:fill="auto"/>
            <w:vAlign w:val="bottom"/>
          </w:tcPr>
          <w:p w14:paraId="59E4A8D6"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A8D7"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A8D8" w14:textId="77777777" w:rsidR="00D7560A" w:rsidRDefault="00D7560A">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59E4A8D9"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A8DA"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A8DB" w14:textId="77777777" w:rsidR="00D7560A" w:rsidRDefault="00D7560A">
            <w:pPr>
              <w:widowControl/>
              <w:jc w:val="left"/>
              <w:rPr>
                <w:rFonts w:ascii="Times New Roman" w:eastAsia="宋体" w:hAnsi="宋体" w:cs="宋体"/>
                <w:kern w:val="0"/>
                <w:sz w:val="24"/>
              </w:rPr>
            </w:pPr>
          </w:p>
        </w:tc>
        <w:tc>
          <w:tcPr>
            <w:tcW w:w="756" w:type="pct"/>
            <w:tcBorders>
              <w:top w:val="nil"/>
              <w:left w:val="nil"/>
              <w:bottom w:val="nil"/>
              <w:right w:val="nil"/>
            </w:tcBorders>
            <w:shd w:val="clear" w:color="auto" w:fill="auto"/>
            <w:vAlign w:val="bottom"/>
          </w:tcPr>
          <w:p w14:paraId="59E4A8DC"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A8DD"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A8DE" w14:textId="77777777" w:rsidR="00D7560A" w:rsidRDefault="00D7560A">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59E4A8DF"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A8E0"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A8E1" w14:textId="77777777" w:rsidR="00D7560A" w:rsidRDefault="00D7560A">
            <w:pPr>
              <w:widowControl/>
              <w:jc w:val="left"/>
              <w:rPr>
                <w:rFonts w:ascii="Times New Roman" w:eastAsia="宋体" w:hAnsi="宋体" w:cs="宋体"/>
                <w:kern w:val="0"/>
                <w:sz w:val="24"/>
              </w:rPr>
            </w:pPr>
          </w:p>
        </w:tc>
        <w:tc>
          <w:tcPr>
            <w:tcW w:w="756" w:type="pct"/>
            <w:tcBorders>
              <w:top w:val="nil"/>
              <w:left w:val="nil"/>
              <w:bottom w:val="nil"/>
              <w:right w:val="nil"/>
            </w:tcBorders>
            <w:shd w:val="clear" w:color="auto" w:fill="auto"/>
            <w:vAlign w:val="bottom"/>
          </w:tcPr>
          <w:p w14:paraId="59E4A8E2"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A8E3" w14:textId="77777777" w:rsidR="00D7560A" w:rsidRDefault="00D7560A">
            <w:pPr>
              <w:widowControl/>
              <w:jc w:val="left"/>
              <w:rPr>
                <w:rFonts w:ascii="Times New Roman" w:eastAsia="宋体" w:hAnsi="宋体" w:cs="宋体"/>
                <w:kern w:val="0"/>
                <w:sz w:val="24"/>
              </w:rPr>
            </w:pPr>
          </w:p>
        </w:tc>
      </w:tr>
      <w:tr w:rsidR="00D7560A" w14:paraId="59E4A8EB"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A8E5"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9E4A8E6"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Authorized</w:t>
            </w: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59E4A8E7"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auto"/>
            <w:tcMar>
              <w:top w:w="40" w:type="dxa"/>
              <w:left w:w="20" w:type="dxa"/>
              <w:bottom w:w="40" w:type="dxa"/>
              <w:right w:w="20" w:type="dxa"/>
            </w:tcMar>
            <w:vAlign w:val="bottom"/>
          </w:tcPr>
          <w:p w14:paraId="59E4A8E8"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Issued</w:t>
            </w: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59E4A8E9"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auto"/>
            <w:tcMar>
              <w:top w:w="40" w:type="dxa"/>
              <w:left w:w="20" w:type="dxa"/>
              <w:bottom w:w="40" w:type="dxa"/>
              <w:right w:w="20" w:type="dxa"/>
            </w:tcMar>
            <w:vAlign w:val="bottom"/>
          </w:tcPr>
          <w:p w14:paraId="59E4A8EA"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Outstanding</w:t>
            </w:r>
          </w:p>
        </w:tc>
      </w:tr>
      <w:tr w:rsidR="00D7560A" w14:paraId="59E4A8EE"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A8EC" w14:textId="77777777" w:rsidR="00D7560A" w:rsidRDefault="00D7560A">
            <w:pPr>
              <w:widowControl/>
              <w:jc w:val="left"/>
              <w:rPr>
                <w:rFonts w:ascii="Times New Roman" w:eastAsia="宋体" w:hAnsi="宋体" w:cs="宋体"/>
                <w:kern w:val="0"/>
                <w:sz w:val="24"/>
              </w:rPr>
            </w:pPr>
          </w:p>
        </w:tc>
        <w:tc>
          <w:tcPr>
            <w:tcW w:w="0" w:type="auto"/>
            <w:gridSpan w:val="15"/>
            <w:tcBorders>
              <w:top w:val="single" w:sz="8" w:space="0" w:color="000000"/>
              <w:left w:val="nil"/>
              <w:bottom w:val="nil"/>
              <w:right w:val="nil"/>
            </w:tcBorders>
            <w:shd w:val="clear" w:color="auto" w:fill="auto"/>
            <w:tcMar>
              <w:top w:w="40" w:type="dxa"/>
              <w:left w:w="20" w:type="dxa"/>
              <w:bottom w:w="40" w:type="dxa"/>
              <w:right w:w="20" w:type="dxa"/>
            </w:tcMar>
            <w:vAlign w:val="bottom"/>
          </w:tcPr>
          <w:p w14:paraId="59E4A8ED"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(in millions)</w:t>
            </w:r>
          </w:p>
        </w:tc>
      </w:tr>
      <w:tr w:rsidR="00D7560A" w14:paraId="59E4A8F0" w14:textId="77777777">
        <w:trPr>
          <w:jc w:val="center"/>
        </w:trPr>
        <w:tc>
          <w:tcPr>
            <w:tcW w:w="0" w:type="auto"/>
            <w:gridSpan w:val="18"/>
            <w:tcBorders>
              <w:top w:val="nil"/>
              <w:left w:val="nil"/>
              <w:bottom w:val="nil"/>
              <w:right w:val="nil"/>
            </w:tcBorders>
            <w:shd w:val="clear" w:color="auto" w:fill="CCEEFF"/>
            <w:tcMar>
              <w:top w:w="40" w:type="dxa"/>
              <w:left w:w="20" w:type="dxa"/>
              <w:bottom w:w="40" w:type="dxa"/>
              <w:right w:w="20" w:type="dxa"/>
            </w:tcMar>
            <w:vAlign w:val="bottom"/>
          </w:tcPr>
          <w:p w14:paraId="59E4A8EF"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i/>
                <w:iCs/>
                <w:color w:val="000000"/>
                <w:kern w:val="0"/>
                <w:sz w:val="20"/>
                <w:szCs w:val="20"/>
                <w:lang w:bidi="ar"/>
              </w:rPr>
              <w:t>Common stock as of July 29, 2022</w:t>
            </w:r>
          </w:p>
        </w:tc>
      </w:tr>
      <w:tr w:rsidR="00D7560A" w14:paraId="59E4A8FA" w14:textId="77777777">
        <w:trPr>
          <w:jc w:val="center"/>
        </w:trPr>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59E4A8F1"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Class A</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A8F2"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600 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A8F3"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8F4"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A8F5"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379 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A8F6"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8F7"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A8F8"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379 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A8F9" w14:textId="77777777" w:rsidR="00D7560A" w:rsidRDefault="00D7560A">
            <w:pPr>
              <w:widowControl/>
              <w:jc w:val="right"/>
              <w:rPr>
                <w:rFonts w:ascii="Times New Roman" w:eastAsia="宋体" w:hAnsi="宋体" w:cs="宋体"/>
                <w:kern w:val="0"/>
                <w:sz w:val="24"/>
              </w:rPr>
            </w:pPr>
          </w:p>
        </w:tc>
      </w:tr>
      <w:tr w:rsidR="00D7560A" w14:paraId="59E4A904" w14:textId="77777777">
        <w:trPr>
          <w:jc w:val="center"/>
        </w:trPr>
        <w:tc>
          <w:tcPr>
            <w:tcW w:w="0" w:type="auto"/>
            <w:gridSpan w:val="3"/>
            <w:tcBorders>
              <w:top w:val="nil"/>
              <w:left w:val="nil"/>
              <w:bottom w:val="nil"/>
              <w:right w:val="nil"/>
            </w:tcBorders>
            <w:shd w:val="clear" w:color="auto" w:fill="CCEEFF"/>
            <w:tcMar>
              <w:top w:w="40" w:type="dxa"/>
              <w:left w:w="155" w:type="dxa"/>
              <w:bottom w:w="40" w:type="dxa"/>
              <w:right w:w="20" w:type="dxa"/>
            </w:tcMar>
            <w:vAlign w:val="bottom"/>
          </w:tcPr>
          <w:p w14:paraId="59E4A8FB"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Class B</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A8FC"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200 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A8FD"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8FE"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A8FF"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A900"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901"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A902"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A903" w14:textId="77777777" w:rsidR="00D7560A" w:rsidRDefault="00D7560A">
            <w:pPr>
              <w:widowControl/>
              <w:jc w:val="right"/>
              <w:rPr>
                <w:rFonts w:ascii="Times New Roman" w:eastAsia="宋体" w:hAnsi="宋体" w:cs="宋体"/>
                <w:kern w:val="0"/>
                <w:sz w:val="24"/>
              </w:rPr>
            </w:pPr>
          </w:p>
        </w:tc>
      </w:tr>
      <w:tr w:rsidR="00D7560A" w14:paraId="59E4A90E" w14:textId="77777777">
        <w:trPr>
          <w:jc w:val="center"/>
        </w:trPr>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59E4A905"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Class C</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A906"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7,900 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A907"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908"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A909"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322 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A90A"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90B"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A90C"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260 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A90D" w14:textId="77777777" w:rsidR="00D7560A" w:rsidRDefault="00D7560A">
            <w:pPr>
              <w:widowControl/>
              <w:jc w:val="right"/>
              <w:rPr>
                <w:rFonts w:ascii="Times New Roman" w:eastAsia="宋体" w:hAnsi="宋体" w:cs="宋体"/>
                <w:kern w:val="0"/>
                <w:sz w:val="24"/>
              </w:rPr>
            </w:pPr>
          </w:p>
        </w:tc>
      </w:tr>
      <w:tr w:rsidR="00D7560A" w14:paraId="59E4A918" w14:textId="77777777">
        <w:trPr>
          <w:jc w:val="center"/>
        </w:trPr>
        <w:tc>
          <w:tcPr>
            <w:tcW w:w="0" w:type="auto"/>
            <w:gridSpan w:val="3"/>
            <w:tcBorders>
              <w:top w:val="nil"/>
              <w:left w:val="nil"/>
              <w:bottom w:val="nil"/>
              <w:right w:val="nil"/>
            </w:tcBorders>
            <w:shd w:val="clear" w:color="auto" w:fill="CCEEFF"/>
            <w:tcMar>
              <w:top w:w="40" w:type="dxa"/>
              <w:left w:w="155" w:type="dxa"/>
              <w:bottom w:w="40" w:type="dxa"/>
              <w:right w:w="20" w:type="dxa"/>
            </w:tcMar>
            <w:vAlign w:val="bottom"/>
          </w:tcPr>
          <w:p w14:paraId="59E4A90F"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Class D</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A910"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100 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A911"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912"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A913"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A914"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915"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A916"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A917" w14:textId="77777777" w:rsidR="00D7560A" w:rsidRDefault="00D7560A">
            <w:pPr>
              <w:widowControl/>
              <w:jc w:val="right"/>
              <w:rPr>
                <w:rFonts w:ascii="Times New Roman" w:eastAsia="宋体" w:hAnsi="宋体" w:cs="宋体"/>
                <w:kern w:val="0"/>
                <w:sz w:val="24"/>
              </w:rPr>
            </w:pPr>
          </w:p>
        </w:tc>
      </w:tr>
      <w:tr w:rsidR="00D7560A" w14:paraId="59E4A91F" w14:textId="77777777">
        <w:trPr>
          <w:jc w:val="center"/>
          <w:hidden/>
        </w:trPr>
        <w:tc>
          <w:tcPr>
            <w:tcW w:w="0" w:type="auto"/>
            <w:gridSpan w:val="3"/>
            <w:tcBorders>
              <w:top w:val="nil"/>
              <w:left w:val="nil"/>
              <w:bottom w:val="nil"/>
              <w:right w:val="nil"/>
            </w:tcBorders>
            <w:shd w:val="clear" w:color="auto" w:fill="auto"/>
            <w:vAlign w:val="bottom"/>
          </w:tcPr>
          <w:p w14:paraId="59E4A919"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91A"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91B"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91C"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91D"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91E" w14:textId="77777777" w:rsidR="00D7560A" w:rsidRDefault="00D7560A">
            <w:pPr>
              <w:widowControl/>
              <w:jc w:val="left"/>
              <w:rPr>
                <w:rFonts w:ascii="Times New Roman" w:eastAsia="宋体" w:hAnsi="宋体" w:cs="宋体"/>
                <w:vanish/>
                <w:kern w:val="0"/>
                <w:sz w:val="24"/>
              </w:rPr>
            </w:pPr>
          </w:p>
        </w:tc>
      </w:tr>
      <w:tr w:rsidR="00D7560A" w14:paraId="59E4A929" w14:textId="77777777">
        <w:trPr>
          <w:jc w:val="center"/>
        </w:trPr>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920" w14:textId="77777777" w:rsidR="00D7560A" w:rsidRDefault="00D7560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59E4A921"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8,800 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59E4A922"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923" w14:textId="77777777" w:rsidR="00D7560A" w:rsidRDefault="00D7560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59E4A924"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796 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59E4A925"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926" w14:textId="77777777" w:rsidR="00D7560A" w:rsidRDefault="00D7560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59E4A927"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734 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59E4A928" w14:textId="77777777" w:rsidR="00D7560A" w:rsidRDefault="00D7560A">
            <w:pPr>
              <w:widowControl/>
              <w:jc w:val="right"/>
              <w:rPr>
                <w:rFonts w:ascii="Times New Roman" w:eastAsia="宋体" w:hAnsi="宋体" w:cs="宋体"/>
                <w:kern w:val="0"/>
                <w:sz w:val="24"/>
              </w:rPr>
            </w:pPr>
          </w:p>
        </w:tc>
      </w:tr>
      <w:tr w:rsidR="00D7560A" w14:paraId="59E4A930" w14:textId="77777777">
        <w:trPr>
          <w:trHeight w:val="300"/>
          <w:jc w:val="center"/>
        </w:trPr>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92A" w14:textId="77777777" w:rsidR="00D7560A" w:rsidRDefault="00D7560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59E4A92B"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92C" w14:textId="77777777" w:rsidR="00D7560A" w:rsidRDefault="00D7560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59E4A92D"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92E" w14:textId="77777777" w:rsidR="00D7560A" w:rsidRDefault="00D7560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59E4A92F" w14:textId="77777777" w:rsidR="00D7560A" w:rsidRDefault="00D7560A">
            <w:pPr>
              <w:widowControl/>
              <w:jc w:val="left"/>
              <w:rPr>
                <w:rFonts w:ascii="Times New Roman" w:eastAsia="宋体" w:hAnsi="宋体" w:cs="宋体"/>
                <w:kern w:val="0"/>
                <w:sz w:val="24"/>
              </w:rPr>
            </w:pPr>
          </w:p>
        </w:tc>
      </w:tr>
      <w:tr w:rsidR="00D7560A" w14:paraId="59E4A932" w14:textId="77777777">
        <w:trPr>
          <w:jc w:val="center"/>
        </w:trPr>
        <w:tc>
          <w:tcPr>
            <w:tcW w:w="0" w:type="auto"/>
            <w:gridSpan w:val="18"/>
            <w:tcBorders>
              <w:top w:val="nil"/>
              <w:left w:val="nil"/>
              <w:bottom w:val="nil"/>
              <w:right w:val="nil"/>
            </w:tcBorders>
            <w:shd w:val="clear" w:color="auto" w:fill="FFFFFF"/>
            <w:tcMar>
              <w:top w:w="40" w:type="dxa"/>
              <w:left w:w="20" w:type="dxa"/>
              <w:bottom w:w="40" w:type="dxa"/>
              <w:right w:w="20" w:type="dxa"/>
            </w:tcMar>
            <w:vAlign w:val="bottom"/>
          </w:tcPr>
          <w:p w14:paraId="59E4A931"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i/>
                <w:iCs/>
                <w:color w:val="000000"/>
                <w:kern w:val="0"/>
                <w:sz w:val="20"/>
                <w:szCs w:val="20"/>
                <w:lang w:bidi="ar"/>
              </w:rPr>
              <w:t>Common stock as of January 28, 2022</w:t>
            </w:r>
          </w:p>
        </w:tc>
      </w:tr>
      <w:tr w:rsidR="00D7560A" w14:paraId="59E4A93C" w14:textId="77777777">
        <w:trPr>
          <w:jc w:val="center"/>
        </w:trPr>
        <w:tc>
          <w:tcPr>
            <w:tcW w:w="0" w:type="auto"/>
            <w:gridSpan w:val="3"/>
            <w:tcBorders>
              <w:top w:val="nil"/>
              <w:left w:val="nil"/>
              <w:bottom w:val="nil"/>
              <w:right w:val="nil"/>
            </w:tcBorders>
            <w:shd w:val="clear" w:color="auto" w:fill="CCEEFF"/>
            <w:tcMar>
              <w:top w:w="40" w:type="dxa"/>
              <w:left w:w="155" w:type="dxa"/>
              <w:bottom w:w="40" w:type="dxa"/>
              <w:right w:w="20" w:type="dxa"/>
            </w:tcMar>
            <w:vAlign w:val="bottom"/>
          </w:tcPr>
          <w:p w14:paraId="59E4A933"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Class A</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A934"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600 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A935"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936"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A937"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379 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A938"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939"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A93A"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379 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A93B" w14:textId="77777777" w:rsidR="00D7560A" w:rsidRDefault="00D7560A">
            <w:pPr>
              <w:widowControl/>
              <w:jc w:val="right"/>
              <w:rPr>
                <w:rFonts w:ascii="Times New Roman" w:eastAsia="宋体" w:hAnsi="宋体" w:cs="宋体"/>
                <w:kern w:val="0"/>
                <w:sz w:val="24"/>
              </w:rPr>
            </w:pPr>
          </w:p>
        </w:tc>
      </w:tr>
      <w:tr w:rsidR="00D7560A" w14:paraId="59E4A946" w14:textId="77777777">
        <w:trPr>
          <w:jc w:val="center"/>
        </w:trPr>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59E4A93D"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Class B</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A93E"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200 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A93F"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940"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A941"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A942"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943"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A944"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A945" w14:textId="77777777" w:rsidR="00D7560A" w:rsidRDefault="00D7560A">
            <w:pPr>
              <w:widowControl/>
              <w:jc w:val="right"/>
              <w:rPr>
                <w:rFonts w:ascii="Times New Roman" w:eastAsia="宋体" w:hAnsi="宋体" w:cs="宋体"/>
                <w:kern w:val="0"/>
                <w:sz w:val="24"/>
              </w:rPr>
            </w:pPr>
          </w:p>
        </w:tc>
      </w:tr>
      <w:tr w:rsidR="00D7560A" w14:paraId="59E4A950" w14:textId="77777777">
        <w:trPr>
          <w:jc w:val="center"/>
        </w:trPr>
        <w:tc>
          <w:tcPr>
            <w:tcW w:w="0" w:type="auto"/>
            <w:gridSpan w:val="3"/>
            <w:tcBorders>
              <w:top w:val="nil"/>
              <w:left w:val="nil"/>
              <w:bottom w:val="nil"/>
              <w:right w:val="nil"/>
            </w:tcBorders>
            <w:shd w:val="clear" w:color="auto" w:fill="CCEEFF"/>
            <w:tcMar>
              <w:top w:w="40" w:type="dxa"/>
              <w:left w:w="155" w:type="dxa"/>
              <w:bottom w:w="40" w:type="dxa"/>
              <w:right w:w="20" w:type="dxa"/>
            </w:tcMar>
            <w:vAlign w:val="bottom"/>
          </w:tcPr>
          <w:p w14:paraId="59E4A947"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Class C</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A948"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7,900 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A949"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94A"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A94B"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303 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A94C"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94D"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A94E"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283 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A94F" w14:textId="77777777" w:rsidR="00D7560A" w:rsidRDefault="00D7560A">
            <w:pPr>
              <w:widowControl/>
              <w:jc w:val="right"/>
              <w:rPr>
                <w:rFonts w:ascii="Times New Roman" w:eastAsia="宋体" w:hAnsi="宋体" w:cs="宋体"/>
                <w:kern w:val="0"/>
                <w:sz w:val="24"/>
              </w:rPr>
            </w:pPr>
          </w:p>
        </w:tc>
      </w:tr>
      <w:tr w:rsidR="00D7560A" w14:paraId="59E4A95A" w14:textId="77777777">
        <w:trPr>
          <w:jc w:val="center"/>
        </w:trPr>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59E4A951"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Class D</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A952"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100 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A953"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954"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A955"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A956"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957"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A958"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A959" w14:textId="77777777" w:rsidR="00D7560A" w:rsidRDefault="00D7560A">
            <w:pPr>
              <w:widowControl/>
              <w:jc w:val="right"/>
              <w:rPr>
                <w:rFonts w:ascii="Times New Roman" w:eastAsia="宋体" w:hAnsi="宋体" w:cs="宋体"/>
                <w:kern w:val="0"/>
                <w:sz w:val="24"/>
              </w:rPr>
            </w:pPr>
          </w:p>
        </w:tc>
      </w:tr>
      <w:tr w:rsidR="00D7560A" w14:paraId="59E4A964" w14:textId="77777777">
        <w:trPr>
          <w:jc w:val="center"/>
        </w:trPr>
        <w:tc>
          <w:tcPr>
            <w:tcW w:w="0" w:type="auto"/>
            <w:gridSpan w:val="3"/>
            <w:tcBorders>
              <w:top w:val="nil"/>
              <w:left w:val="nil"/>
              <w:bottom w:val="nil"/>
              <w:right w:val="nil"/>
            </w:tcBorders>
            <w:shd w:val="clear" w:color="auto" w:fill="CCEEFF"/>
            <w:tcMar>
              <w:top w:w="40" w:type="dxa"/>
              <w:left w:w="155" w:type="dxa"/>
              <w:bottom w:w="40" w:type="dxa"/>
              <w:right w:w="20" w:type="dxa"/>
            </w:tcMar>
            <w:vAlign w:val="bottom"/>
          </w:tcPr>
          <w:p w14:paraId="59E4A95B"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Class V</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A95C"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343 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A95D"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95E"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A95F"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A960"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961"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A962"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A963" w14:textId="77777777" w:rsidR="00D7560A" w:rsidRDefault="00D7560A">
            <w:pPr>
              <w:widowControl/>
              <w:jc w:val="right"/>
              <w:rPr>
                <w:rFonts w:ascii="Times New Roman" w:eastAsia="宋体" w:hAnsi="宋体" w:cs="宋体"/>
                <w:kern w:val="0"/>
                <w:sz w:val="24"/>
              </w:rPr>
            </w:pPr>
          </w:p>
        </w:tc>
      </w:tr>
      <w:tr w:rsidR="00D7560A" w14:paraId="59E4A96E" w14:textId="77777777">
        <w:trPr>
          <w:jc w:val="center"/>
        </w:trPr>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965" w14:textId="77777777" w:rsidR="00D7560A" w:rsidRDefault="00D7560A">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59E4A966"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9,143 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59E4A967"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968" w14:textId="77777777" w:rsidR="00D7560A" w:rsidRDefault="00D7560A">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59E4A969"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777 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59E4A96A"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96B" w14:textId="77777777" w:rsidR="00D7560A" w:rsidRDefault="00D7560A">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59E4A96C"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757 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59E4A96D" w14:textId="77777777" w:rsidR="00D7560A" w:rsidRDefault="00D7560A">
            <w:pPr>
              <w:widowControl/>
              <w:jc w:val="right"/>
              <w:rPr>
                <w:rFonts w:ascii="Times New Roman" w:eastAsia="宋体" w:hAnsi="宋体" w:cs="宋体"/>
                <w:kern w:val="0"/>
                <w:sz w:val="24"/>
              </w:rPr>
            </w:pPr>
          </w:p>
        </w:tc>
      </w:tr>
    </w:tbl>
    <w:p w14:paraId="59E4A96F"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A970"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On June 29, 2022, the authorized capital stock provisions of the Company’s certificate of incorporation were amended to eliminate the Class V Common Stock as the fifth authorized series of Dell</w:t>
      </w:r>
      <w:r>
        <w:rPr>
          <w:rFonts w:ascii="Times New Roman" w:eastAsia="宋体" w:hAnsi="Times New Roman" w:cs="Times New Roman"/>
          <w:color w:val="000000"/>
          <w:kern w:val="0"/>
          <w:sz w:val="20"/>
          <w:szCs w:val="20"/>
          <w:lang w:bidi="ar"/>
        </w:rPr>
        <w:t xml:space="preserve"> Technologies common stock. In connection with the elimination of authorized Class V Common Stock, the Company’s certificate of incorporation also was amended to decrease by 343 million shares the total number of shares of common stock which Dell Technolog</w:t>
      </w:r>
      <w:r>
        <w:rPr>
          <w:rFonts w:ascii="Times New Roman" w:eastAsia="宋体" w:hAnsi="Times New Roman" w:cs="Times New Roman"/>
          <w:color w:val="000000"/>
          <w:kern w:val="0"/>
          <w:sz w:val="20"/>
          <w:szCs w:val="20"/>
          <w:lang w:bidi="ar"/>
        </w:rPr>
        <w:t>ies is authorized to issue.</w:t>
      </w:r>
    </w:p>
    <w:p w14:paraId="59E4A971"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A972"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Preferred Stock</w:t>
      </w:r>
    </w:p>
    <w:p w14:paraId="59E4A973"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A974"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The Company is authorized to issue one million shares of preferred stock, par value $0.01 per share. As of July 29, 2022 and January 28, 2022, no shares of preferred stock were issued or outstanding. </w:t>
      </w:r>
    </w:p>
    <w:p w14:paraId="59E4A975"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A976"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Common Stock</w:t>
      </w:r>
    </w:p>
    <w:p w14:paraId="59E4A977"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A978"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i/>
          <w:iCs/>
          <w:color w:val="000000"/>
          <w:kern w:val="0"/>
          <w:sz w:val="20"/>
          <w:szCs w:val="20"/>
          <w:lang w:bidi="ar"/>
        </w:rPr>
        <w:t xml:space="preserve">Dell Technologies Common Stock </w:t>
      </w:r>
      <w:r>
        <w:rPr>
          <w:rFonts w:ascii="Times New Roman" w:eastAsia="宋体" w:hAnsi="Times New Roman" w:cs="Times New Roman"/>
          <w:color w:val="000000"/>
          <w:kern w:val="0"/>
          <w:sz w:val="20"/>
          <w:szCs w:val="20"/>
          <w:lang w:bidi="ar"/>
        </w:rPr>
        <w:t>— The C</w:t>
      </w:r>
      <w:r>
        <w:rPr>
          <w:rFonts w:ascii="Times New Roman" w:eastAsia="宋体" w:hAnsi="Times New Roman" w:cs="Times New Roman"/>
          <w:color w:val="000000"/>
          <w:kern w:val="0"/>
          <w:sz w:val="20"/>
          <w:szCs w:val="20"/>
          <w:lang w:bidi="ar"/>
        </w:rPr>
        <w:t>lass A Common Stock, the Class B Common Stock, the Class C Common Stock, and the Class D Common Stock are collectively referred to as Dell Technologies Common Stock. The par value for all series of Dell Technologies Common Stock is $0.01 per share. The Cla</w:t>
      </w:r>
      <w:r>
        <w:rPr>
          <w:rFonts w:ascii="Times New Roman" w:eastAsia="宋体" w:hAnsi="Times New Roman" w:cs="Times New Roman"/>
          <w:color w:val="000000"/>
          <w:kern w:val="0"/>
          <w:sz w:val="20"/>
          <w:szCs w:val="20"/>
          <w:lang w:bidi="ar"/>
        </w:rPr>
        <w:t xml:space="preserve">ss A Common Stock, the Class B Common Stock, the Class C Common Stock, and the Class D Common Stock share equally in dividends declared or accumulated and have equal participation rights in undistributed earnings. </w:t>
      </w:r>
    </w:p>
    <w:p w14:paraId="59E4A979"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A97A"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i/>
          <w:iCs/>
          <w:color w:val="000000"/>
          <w:kern w:val="0"/>
          <w:sz w:val="20"/>
          <w:szCs w:val="20"/>
          <w:lang w:bidi="ar"/>
        </w:rPr>
        <w:t>Voting Rights</w:t>
      </w:r>
      <w:r>
        <w:rPr>
          <w:rFonts w:ascii="Times New Roman" w:eastAsia="宋体" w:hAnsi="Times New Roman" w:cs="Times New Roman"/>
          <w:color w:val="000000"/>
          <w:kern w:val="0"/>
          <w:sz w:val="20"/>
          <w:szCs w:val="20"/>
          <w:lang w:bidi="ar"/>
        </w:rPr>
        <w:t xml:space="preserve"> — Each holder of record o</w:t>
      </w:r>
      <w:r>
        <w:rPr>
          <w:rFonts w:ascii="Times New Roman" w:eastAsia="宋体" w:hAnsi="Times New Roman" w:cs="Times New Roman"/>
          <w:color w:val="000000"/>
          <w:kern w:val="0"/>
          <w:sz w:val="20"/>
          <w:szCs w:val="20"/>
          <w:lang w:bidi="ar"/>
        </w:rPr>
        <w:t xml:space="preserve">f (a) Class A Common Stock is entitled to ten votes per share of Class A Common Stock; (b) Class B Common Stock is entitled to ten votes per share of Class B Common Stock; (c) Class C Common Stock is entitled to one vote per share of Class C Common Stock; </w:t>
      </w:r>
      <w:r>
        <w:rPr>
          <w:rFonts w:ascii="Times New Roman" w:eastAsia="宋体" w:hAnsi="Times New Roman" w:cs="Times New Roman"/>
          <w:color w:val="000000"/>
          <w:kern w:val="0"/>
          <w:sz w:val="20"/>
          <w:szCs w:val="20"/>
          <w:lang w:bidi="ar"/>
        </w:rPr>
        <w:t>and (d) Class D Common Stock is not entitled to any vote on any matter except to the extent required by provisions of Delaware law (in which case such holder is entitled to one vote per share of Class D Common Stock).</w:t>
      </w:r>
    </w:p>
    <w:p w14:paraId="59E4A97B"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A97C"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i/>
          <w:iCs/>
          <w:color w:val="000000"/>
          <w:kern w:val="0"/>
          <w:sz w:val="20"/>
          <w:szCs w:val="20"/>
          <w:lang w:bidi="ar"/>
        </w:rPr>
        <w:t>Conversion Rights</w:t>
      </w:r>
      <w:r>
        <w:rPr>
          <w:rFonts w:ascii="Times New Roman" w:eastAsia="宋体" w:hAnsi="Times New Roman" w:cs="Times New Roman"/>
          <w:color w:val="000000"/>
          <w:kern w:val="0"/>
          <w:sz w:val="20"/>
          <w:szCs w:val="20"/>
          <w:lang w:bidi="ar"/>
        </w:rPr>
        <w:t xml:space="preserve"> — Under the Company’s certificate of incorporation, at any time and from time to time, any holder of Class A Common Stock or Class B Common Stock has the right to convert all or any of the shares of Class A Common Stock or Class B Common Stock, as applica</w:t>
      </w:r>
      <w:r>
        <w:rPr>
          <w:rFonts w:ascii="Times New Roman" w:eastAsia="宋体" w:hAnsi="Times New Roman" w:cs="Times New Roman"/>
          <w:color w:val="000000"/>
          <w:kern w:val="0"/>
          <w:sz w:val="20"/>
          <w:szCs w:val="20"/>
          <w:lang w:bidi="ar"/>
        </w:rPr>
        <w:t xml:space="preserve">ble, held by such holder into shares of Class C Common Stock on a one-to-one basis.  </w:t>
      </w:r>
    </w:p>
    <w:p w14:paraId="59E4A97D"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A97E"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During the six months ended July 29, 2022, there were no conversions of shares of Class A or Class B Common Stock into shares of Class C Common Stock.</w:t>
      </w:r>
    </w:p>
    <w:p w14:paraId="59E4A97F"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A980"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46</w:t>
      </w:r>
    </w:p>
    <w:p w14:paraId="59E4A981"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A982" w14:textId="77777777" w:rsidR="00D7560A" w:rsidRDefault="001E3CAB">
      <w:pPr>
        <w:widowControl/>
        <w:jc w:val="center"/>
      </w:pPr>
      <w:r>
        <w:rPr>
          <w:rFonts w:ascii="宋体" w:eastAsia="宋体" w:hAnsi="宋体" w:cs="宋体"/>
          <w:kern w:val="0"/>
          <w:sz w:val="24"/>
        </w:rPr>
        <w:pict w14:anchorId="59E4C7F9">
          <v:rect id="_x0000_i1070" style="width:6in;height:1.5pt" o:hralign="center" o:hrstd="t" o:hr="t" fillcolor="#a0a0a0" stroked="f"/>
        </w:pict>
      </w:r>
    </w:p>
    <w:p w14:paraId="59E4A983" w14:textId="77777777" w:rsidR="00D7560A" w:rsidRDefault="001E3CAB">
      <w:pPr>
        <w:widowControl/>
        <w:jc w:val="left"/>
        <w:rPr>
          <w:rFonts w:ascii="宋体" w:eastAsia="宋体" w:hAnsi="宋体" w:cs="宋体"/>
          <w:kern w:val="0"/>
          <w:sz w:val="24"/>
        </w:rPr>
      </w:pPr>
      <w:hyperlink w:anchor="if933dd1d5d004d2495dd7029e3ecad00_13" w:history="1">
        <w:r>
          <w:rPr>
            <w:rStyle w:val="a4"/>
            <w:rFonts w:ascii="Times New Roman" w:eastAsia="宋体" w:hAnsi="Times New Roman" w:cs="Times New Roman"/>
            <w:sz w:val="20"/>
            <w:szCs w:val="20"/>
          </w:rPr>
          <w:t>Table of Contents</w:t>
        </w:r>
      </w:hyperlink>
    </w:p>
    <w:p w14:paraId="59E4A984"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DELL TECHNOLOGIES INC.</w:t>
      </w:r>
    </w:p>
    <w:p w14:paraId="59E4A985"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NOTES TO THE CONDENSED CONSOLIDATED FINANCIAL STATEMENTS (Continued)</w:t>
      </w:r>
    </w:p>
    <w:p w14:paraId="59E4A986"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(unaudited)</w:t>
      </w:r>
    </w:p>
    <w:p w14:paraId="59E4A987"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A988"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Dividends</w:t>
      </w:r>
    </w:p>
    <w:p w14:paraId="59E4A989"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A98A"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On February 24, 2022, the Company announced that its Board of Directors has adopted a dividend policy under which the Company intends to pay quarterly cash dividends on its common stock at an initial rate of $0.33 per share per fiscal quarter. </w:t>
      </w:r>
    </w:p>
    <w:p w14:paraId="59E4A98B"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A98C"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The Compa</w:t>
      </w:r>
      <w:r>
        <w:rPr>
          <w:rFonts w:ascii="Times New Roman" w:eastAsia="宋体" w:hAnsi="Times New Roman" w:cs="Times New Roman"/>
          <w:color w:val="000000"/>
          <w:kern w:val="0"/>
          <w:sz w:val="20"/>
          <w:szCs w:val="20"/>
          <w:lang w:bidi="ar"/>
        </w:rPr>
        <w:t>ny paid the following dividends during the six months ended July 29, 2022:</w:t>
      </w:r>
    </w:p>
    <w:p w14:paraId="59E4A98D"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45"/>
        <w:gridCol w:w="1771"/>
        <w:gridCol w:w="36"/>
        <w:gridCol w:w="36"/>
        <w:gridCol w:w="36"/>
        <w:gridCol w:w="36"/>
        <w:gridCol w:w="37"/>
        <w:gridCol w:w="1780"/>
        <w:gridCol w:w="36"/>
        <w:gridCol w:w="36"/>
        <w:gridCol w:w="36"/>
        <w:gridCol w:w="36"/>
        <w:gridCol w:w="37"/>
        <w:gridCol w:w="1670"/>
        <w:gridCol w:w="36"/>
        <w:gridCol w:w="36"/>
        <w:gridCol w:w="36"/>
        <w:gridCol w:w="36"/>
        <w:gridCol w:w="121"/>
        <w:gridCol w:w="961"/>
        <w:gridCol w:w="36"/>
        <w:gridCol w:w="36"/>
        <w:gridCol w:w="36"/>
        <w:gridCol w:w="36"/>
        <w:gridCol w:w="121"/>
        <w:gridCol w:w="1181"/>
        <w:gridCol w:w="36"/>
      </w:tblGrid>
      <w:tr w:rsidR="00D7560A" w14:paraId="59E4A9A9" w14:textId="77777777">
        <w:tc>
          <w:tcPr>
            <w:tcW w:w="50" w:type="pct"/>
            <w:tcBorders>
              <w:top w:val="nil"/>
              <w:left w:val="nil"/>
              <w:bottom w:val="nil"/>
              <w:right w:val="nil"/>
            </w:tcBorders>
            <w:shd w:val="clear" w:color="auto" w:fill="auto"/>
            <w:vAlign w:val="bottom"/>
          </w:tcPr>
          <w:p w14:paraId="59E4A98E" w14:textId="77777777" w:rsidR="00D7560A" w:rsidRDefault="00D7560A">
            <w:pPr>
              <w:widowControl/>
              <w:jc w:val="left"/>
              <w:rPr>
                <w:rFonts w:ascii="Times New Roman" w:eastAsia="宋体" w:hAnsi="宋体" w:cs="宋体"/>
                <w:kern w:val="0"/>
                <w:sz w:val="24"/>
              </w:rPr>
            </w:pPr>
          </w:p>
        </w:tc>
        <w:tc>
          <w:tcPr>
            <w:tcW w:w="1107" w:type="pct"/>
            <w:tcBorders>
              <w:top w:val="nil"/>
              <w:left w:val="nil"/>
              <w:bottom w:val="nil"/>
              <w:right w:val="nil"/>
            </w:tcBorders>
            <w:shd w:val="clear" w:color="auto" w:fill="auto"/>
            <w:vAlign w:val="bottom"/>
          </w:tcPr>
          <w:p w14:paraId="59E4A98F"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A990"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A991" w14:textId="77777777" w:rsidR="00D7560A" w:rsidRDefault="00D7560A">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59E4A992"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A993"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A994" w14:textId="77777777" w:rsidR="00D7560A" w:rsidRDefault="00D7560A">
            <w:pPr>
              <w:widowControl/>
              <w:jc w:val="left"/>
              <w:rPr>
                <w:rFonts w:ascii="Times New Roman" w:eastAsia="宋体" w:hAnsi="宋体" w:cs="宋体"/>
                <w:kern w:val="0"/>
                <w:sz w:val="24"/>
              </w:rPr>
            </w:pPr>
          </w:p>
        </w:tc>
        <w:tc>
          <w:tcPr>
            <w:tcW w:w="1107" w:type="pct"/>
            <w:tcBorders>
              <w:top w:val="nil"/>
              <w:left w:val="nil"/>
              <w:bottom w:val="nil"/>
              <w:right w:val="nil"/>
            </w:tcBorders>
            <w:shd w:val="clear" w:color="auto" w:fill="auto"/>
            <w:vAlign w:val="bottom"/>
          </w:tcPr>
          <w:p w14:paraId="59E4A995"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A996"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A997" w14:textId="77777777" w:rsidR="00D7560A" w:rsidRDefault="00D7560A">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59E4A998"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A999"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A99A" w14:textId="77777777" w:rsidR="00D7560A" w:rsidRDefault="00D7560A">
            <w:pPr>
              <w:widowControl/>
              <w:jc w:val="left"/>
              <w:rPr>
                <w:rFonts w:ascii="Times New Roman" w:eastAsia="宋体" w:hAnsi="宋体" w:cs="宋体"/>
                <w:kern w:val="0"/>
                <w:sz w:val="24"/>
              </w:rPr>
            </w:pPr>
          </w:p>
        </w:tc>
        <w:tc>
          <w:tcPr>
            <w:tcW w:w="1041" w:type="pct"/>
            <w:tcBorders>
              <w:top w:val="nil"/>
              <w:left w:val="nil"/>
              <w:bottom w:val="nil"/>
              <w:right w:val="nil"/>
            </w:tcBorders>
            <w:shd w:val="clear" w:color="auto" w:fill="auto"/>
            <w:vAlign w:val="bottom"/>
          </w:tcPr>
          <w:p w14:paraId="59E4A99B"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A99C"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A99D" w14:textId="77777777" w:rsidR="00D7560A" w:rsidRDefault="00D7560A">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59E4A99E"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A99F"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A9A0" w14:textId="77777777" w:rsidR="00D7560A" w:rsidRDefault="00D7560A">
            <w:pPr>
              <w:widowControl/>
              <w:jc w:val="left"/>
              <w:rPr>
                <w:rFonts w:ascii="Times New Roman" w:eastAsia="宋体" w:hAnsi="宋体" w:cs="宋体"/>
                <w:kern w:val="0"/>
                <w:sz w:val="24"/>
              </w:rPr>
            </w:pPr>
          </w:p>
        </w:tc>
        <w:tc>
          <w:tcPr>
            <w:tcW w:w="610" w:type="pct"/>
            <w:tcBorders>
              <w:top w:val="nil"/>
              <w:left w:val="nil"/>
              <w:bottom w:val="nil"/>
              <w:right w:val="nil"/>
            </w:tcBorders>
            <w:shd w:val="clear" w:color="auto" w:fill="auto"/>
            <w:vAlign w:val="bottom"/>
          </w:tcPr>
          <w:p w14:paraId="59E4A9A1"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A9A2"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A9A3" w14:textId="77777777" w:rsidR="00D7560A" w:rsidRDefault="00D7560A">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59E4A9A4"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A9A5"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A9A6" w14:textId="77777777" w:rsidR="00D7560A" w:rsidRDefault="00D7560A">
            <w:pPr>
              <w:widowControl/>
              <w:jc w:val="left"/>
              <w:rPr>
                <w:rFonts w:ascii="Times New Roman" w:eastAsia="宋体" w:hAnsi="宋体" w:cs="宋体"/>
                <w:kern w:val="0"/>
                <w:sz w:val="24"/>
              </w:rPr>
            </w:pPr>
          </w:p>
        </w:tc>
        <w:tc>
          <w:tcPr>
            <w:tcW w:w="742" w:type="pct"/>
            <w:tcBorders>
              <w:top w:val="nil"/>
              <w:left w:val="nil"/>
              <w:bottom w:val="nil"/>
              <w:right w:val="nil"/>
            </w:tcBorders>
            <w:shd w:val="clear" w:color="auto" w:fill="auto"/>
            <w:vAlign w:val="bottom"/>
          </w:tcPr>
          <w:p w14:paraId="59E4A9A7"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A9A8" w14:textId="77777777" w:rsidR="00D7560A" w:rsidRDefault="00D7560A">
            <w:pPr>
              <w:widowControl/>
              <w:jc w:val="left"/>
              <w:rPr>
                <w:rFonts w:ascii="Times New Roman" w:eastAsia="宋体" w:hAnsi="宋体" w:cs="宋体"/>
                <w:kern w:val="0"/>
                <w:sz w:val="24"/>
              </w:rPr>
            </w:pPr>
          </w:p>
        </w:tc>
      </w:tr>
      <w:tr w:rsidR="00D7560A" w14:paraId="59E4A9B3"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9E4A9AA"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Declaration Date</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A9AB"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9E4A9AC"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Record Date</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A9AD"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9E4A9AE"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Payment Date</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A9AF"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9E4A9B0"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Dividend per Share</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A9B1"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9E4A9B2"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 xml:space="preserve">Amount </w:t>
            </w:r>
            <w:r>
              <w:rPr>
                <w:rFonts w:ascii="Times New Roman" w:eastAsia="宋体" w:hAnsi="Times New Roman" w:cs="Times New Roman"/>
                <w:b/>
                <w:bCs/>
                <w:color w:val="000000"/>
                <w:kern w:val="0"/>
                <w:sz w:val="20"/>
                <w:szCs w:val="20"/>
                <w:lang w:bidi="ar"/>
              </w:rPr>
              <w:br/>
              <w:t>(in millions)</w:t>
            </w:r>
          </w:p>
        </w:tc>
      </w:tr>
      <w:tr w:rsidR="00D7560A" w14:paraId="59E4A9C1"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59E4A9B4"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February 24, 2022</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9B5"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59E4A9B6"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April 20, 2022</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9B7"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59E4A9B8"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April 29, 2022</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9B9"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59E4A9BA"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59E4A9BB"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0.33 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59E4A9BC"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9BD"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59E4A9BE"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59E4A9BF"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248 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59E4A9C0" w14:textId="77777777" w:rsidR="00D7560A" w:rsidRDefault="00D7560A">
            <w:pPr>
              <w:widowControl/>
              <w:jc w:val="right"/>
              <w:rPr>
                <w:rFonts w:ascii="Times New Roman" w:eastAsia="宋体" w:hAnsi="宋体" w:cs="宋体"/>
                <w:kern w:val="0"/>
                <w:sz w:val="24"/>
              </w:rPr>
            </w:pPr>
          </w:p>
        </w:tc>
      </w:tr>
      <w:tr w:rsidR="00D7560A" w14:paraId="59E4A9CF"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59E4A9C2"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June 7, 2022</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9C3"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59E4A9C4"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July 20, 2022</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9C5"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59E4A9C6"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July 29, 2022</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9C7"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9E4A9C8"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9E4A9C9"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0.33 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A9CA"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9CB"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9E4A9CC"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9E4A9CD"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242 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A9CE" w14:textId="77777777" w:rsidR="00D7560A" w:rsidRDefault="00D7560A">
            <w:pPr>
              <w:widowControl/>
              <w:jc w:val="right"/>
              <w:rPr>
                <w:rFonts w:ascii="Times New Roman" w:eastAsia="宋体" w:hAnsi="宋体" w:cs="宋体"/>
                <w:kern w:val="0"/>
                <w:sz w:val="24"/>
              </w:rPr>
            </w:pPr>
          </w:p>
        </w:tc>
      </w:tr>
    </w:tbl>
    <w:p w14:paraId="59E4A9D0"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A9D1"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 xml:space="preserve">Repurchases of Common Stock </w:t>
      </w:r>
    </w:p>
    <w:p w14:paraId="59E4A9D2"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A9D3"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Effective as of September 23, 2021, the Company’s Board of Directors terminated the Company’s previous stock repurchase program and approved a new stock repurchase program under which the Company is authorized to repurchase up to $5 billion of shares of th</w:t>
      </w:r>
      <w:r>
        <w:rPr>
          <w:rFonts w:ascii="Times New Roman" w:eastAsia="宋体" w:hAnsi="Times New Roman" w:cs="Times New Roman"/>
          <w:color w:val="000000"/>
          <w:kern w:val="0"/>
          <w:sz w:val="20"/>
          <w:szCs w:val="20"/>
          <w:lang w:bidi="ar"/>
        </w:rPr>
        <w:t xml:space="preserve">e Company’s Class C Common Stock with no established expiration date. During the six months ended July 29, 2022, the Company repurchased approximately 42 million shares of Class C Common Stock for a total purchase price of approximately $2.1 billion. </w:t>
      </w:r>
    </w:p>
    <w:p w14:paraId="59E4A9D4"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A9D5"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Th</w:t>
      </w:r>
      <w:r>
        <w:rPr>
          <w:rFonts w:ascii="Times New Roman" w:eastAsia="宋体" w:hAnsi="Times New Roman" w:cs="Times New Roman"/>
          <w:color w:val="000000"/>
          <w:kern w:val="0"/>
          <w:sz w:val="20"/>
          <w:szCs w:val="20"/>
          <w:lang w:bidi="ar"/>
        </w:rPr>
        <w:t xml:space="preserve">e above repurchases of Class C Common Stock exclude shares withheld from stock awards to settle employee tax withholding obligations related to the vesting of such awards. </w:t>
      </w:r>
    </w:p>
    <w:p w14:paraId="59E4A9D6"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A9D7"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The Company did not repurchase any shares of Class C Common Stock during the six </w:t>
      </w:r>
      <w:r>
        <w:rPr>
          <w:rFonts w:ascii="Times New Roman" w:eastAsia="宋体" w:hAnsi="Times New Roman" w:cs="Times New Roman"/>
          <w:color w:val="000000"/>
          <w:kern w:val="0"/>
          <w:sz w:val="20"/>
          <w:szCs w:val="20"/>
          <w:lang w:bidi="ar"/>
        </w:rPr>
        <w:t xml:space="preserve">months ended July 30, 2021 under the previous stock repurchase program. </w:t>
      </w:r>
    </w:p>
    <w:p w14:paraId="59E4A9D8"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A9D9"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A9DA"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A9DB"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A9DC"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A9DD"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47</w:t>
      </w:r>
    </w:p>
    <w:p w14:paraId="59E4A9DE"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A9DF" w14:textId="77777777" w:rsidR="00D7560A" w:rsidRDefault="001E3CAB">
      <w:pPr>
        <w:widowControl/>
        <w:jc w:val="center"/>
      </w:pPr>
      <w:r>
        <w:rPr>
          <w:rFonts w:ascii="宋体" w:eastAsia="宋体" w:hAnsi="宋体" w:cs="宋体"/>
          <w:kern w:val="0"/>
          <w:sz w:val="24"/>
        </w:rPr>
        <w:pict w14:anchorId="59E4C7FA">
          <v:rect id="_x0000_i1071" style="width:6in;height:1.5pt" o:hralign="center" o:hrstd="t" o:hr="t" fillcolor="#a0a0a0" stroked="f"/>
        </w:pict>
      </w:r>
    </w:p>
    <w:p w14:paraId="59E4A9E0" w14:textId="77777777" w:rsidR="00D7560A" w:rsidRDefault="001E3CAB">
      <w:pPr>
        <w:widowControl/>
        <w:jc w:val="left"/>
        <w:rPr>
          <w:rFonts w:ascii="宋体" w:eastAsia="宋体" w:hAnsi="宋体" w:cs="宋体"/>
          <w:kern w:val="0"/>
          <w:sz w:val="24"/>
        </w:rPr>
      </w:pPr>
      <w:hyperlink w:anchor="if933dd1d5d004d2495dd7029e3ecad00_13" w:history="1">
        <w:r>
          <w:rPr>
            <w:rStyle w:val="a4"/>
            <w:rFonts w:ascii="Times New Roman" w:eastAsia="宋体" w:hAnsi="Times New Roman" w:cs="Times New Roman"/>
            <w:sz w:val="20"/>
            <w:szCs w:val="20"/>
          </w:rPr>
          <w:t>Table of Contents</w:t>
        </w:r>
      </w:hyperlink>
    </w:p>
    <w:p w14:paraId="59E4A9E1"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DELL TECHNOLOGIES INC.</w:t>
      </w:r>
    </w:p>
    <w:p w14:paraId="59E4A9E2"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 xml:space="preserve">NOTES TO THE CONDENSED CONSOLIDATED FINANCIAL STATEMENTS </w:t>
      </w:r>
      <w:r>
        <w:rPr>
          <w:rFonts w:ascii="Times New Roman" w:eastAsia="宋体" w:hAnsi="Times New Roman" w:cs="Times New Roman"/>
          <w:b/>
          <w:bCs/>
          <w:color w:val="000000"/>
          <w:kern w:val="0"/>
          <w:sz w:val="20"/>
          <w:szCs w:val="20"/>
          <w:lang w:bidi="ar"/>
        </w:rPr>
        <w:t>(Continued)</w:t>
      </w:r>
    </w:p>
    <w:p w14:paraId="59E4A9E3"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(unaudited)</w:t>
      </w:r>
    </w:p>
    <w:p w14:paraId="59E4A9E4"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A9E5"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NOTE 15 — EARNINGS PER SHARE</w:t>
      </w:r>
    </w:p>
    <w:p w14:paraId="59E4A9E6" w14:textId="77777777" w:rsidR="00D7560A" w:rsidRDefault="001E3CAB">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59E4A9E7"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Basic earnings per share is based on the weighted-average effect of all common shares issued and outstanding and is calculated by dividing net income by the weighted-average shares </w:t>
      </w:r>
      <w:r>
        <w:rPr>
          <w:rFonts w:ascii="Times New Roman" w:eastAsia="宋体" w:hAnsi="Times New Roman" w:cs="Times New Roman"/>
          <w:color w:val="000000"/>
          <w:kern w:val="0"/>
          <w:sz w:val="20"/>
          <w:szCs w:val="20"/>
          <w:lang w:bidi="ar"/>
        </w:rPr>
        <w:t>outstanding during the period. Diluted earnings per share is calculated by dividing net income by the weighted-average number of common shares used in the basic earnings per share calculation plus the number of common shares that would be issued assuming e</w:t>
      </w:r>
      <w:r>
        <w:rPr>
          <w:rFonts w:ascii="Times New Roman" w:eastAsia="宋体" w:hAnsi="Times New Roman" w:cs="Times New Roman"/>
          <w:color w:val="000000"/>
          <w:kern w:val="0"/>
          <w:sz w:val="20"/>
          <w:szCs w:val="20"/>
          <w:lang w:bidi="ar"/>
        </w:rPr>
        <w:t>xercise or conversion of all potentially dilutive instruments. The Company excludes equity instruments from the calculation of diluted earnings per share if the effect of including such instruments is antidilutive.</w:t>
      </w:r>
    </w:p>
    <w:p w14:paraId="59E4A9E8"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A9E9" w14:textId="77777777" w:rsidR="00D7560A" w:rsidRDefault="001E3CAB">
      <w:pPr>
        <w:widowControl/>
        <w:spacing w:after="12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The following table presents basic and </w:t>
      </w:r>
      <w:r>
        <w:rPr>
          <w:rFonts w:ascii="Times New Roman" w:eastAsia="宋体" w:hAnsi="Times New Roman" w:cs="Times New Roman"/>
          <w:color w:val="000000"/>
          <w:kern w:val="0"/>
          <w:sz w:val="20"/>
          <w:szCs w:val="20"/>
          <w:lang w:bidi="ar"/>
        </w:rPr>
        <w:t>diluted earnings per share for the periods indicated:</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8"/>
        <w:gridCol w:w="3737"/>
        <w:gridCol w:w="37"/>
        <w:gridCol w:w="120"/>
        <w:gridCol w:w="840"/>
        <w:gridCol w:w="36"/>
        <w:gridCol w:w="36"/>
        <w:gridCol w:w="36"/>
        <w:gridCol w:w="36"/>
        <w:gridCol w:w="120"/>
        <w:gridCol w:w="840"/>
        <w:gridCol w:w="36"/>
        <w:gridCol w:w="36"/>
        <w:gridCol w:w="36"/>
        <w:gridCol w:w="36"/>
        <w:gridCol w:w="120"/>
        <w:gridCol w:w="840"/>
        <w:gridCol w:w="36"/>
        <w:gridCol w:w="36"/>
        <w:gridCol w:w="36"/>
        <w:gridCol w:w="36"/>
        <w:gridCol w:w="120"/>
        <w:gridCol w:w="840"/>
        <w:gridCol w:w="36"/>
        <w:gridCol w:w="36"/>
        <w:gridCol w:w="36"/>
        <w:gridCol w:w="36"/>
        <w:gridCol w:w="36"/>
        <w:gridCol w:w="36"/>
        <w:gridCol w:w="36"/>
      </w:tblGrid>
      <w:tr w:rsidR="00D7560A" w14:paraId="59E4AA04" w14:textId="77777777">
        <w:tc>
          <w:tcPr>
            <w:tcW w:w="50" w:type="pct"/>
            <w:tcBorders>
              <w:top w:val="nil"/>
              <w:left w:val="nil"/>
              <w:bottom w:val="nil"/>
              <w:right w:val="nil"/>
            </w:tcBorders>
            <w:shd w:val="clear" w:color="auto" w:fill="auto"/>
            <w:vAlign w:val="bottom"/>
          </w:tcPr>
          <w:p w14:paraId="59E4A9EA" w14:textId="77777777" w:rsidR="00D7560A" w:rsidRDefault="00D7560A">
            <w:pPr>
              <w:widowControl/>
              <w:jc w:val="left"/>
              <w:rPr>
                <w:rFonts w:ascii="Times New Roman" w:eastAsia="宋体" w:hAnsi="宋体" w:cs="宋体"/>
                <w:kern w:val="0"/>
                <w:sz w:val="24"/>
              </w:rPr>
            </w:pPr>
          </w:p>
        </w:tc>
        <w:tc>
          <w:tcPr>
            <w:tcW w:w="2371" w:type="pct"/>
            <w:tcBorders>
              <w:top w:val="nil"/>
              <w:left w:val="nil"/>
              <w:bottom w:val="nil"/>
              <w:right w:val="nil"/>
            </w:tcBorders>
            <w:shd w:val="clear" w:color="auto" w:fill="auto"/>
            <w:vAlign w:val="bottom"/>
          </w:tcPr>
          <w:p w14:paraId="59E4A9EB"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A9EC"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A9ED" w14:textId="77777777" w:rsidR="00D7560A" w:rsidRDefault="00D7560A">
            <w:pPr>
              <w:widowControl/>
              <w:jc w:val="left"/>
              <w:rPr>
                <w:rFonts w:ascii="Times New Roman" w:eastAsia="宋体" w:hAnsi="宋体" w:cs="宋体"/>
                <w:kern w:val="0"/>
                <w:sz w:val="24"/>
              </w:rPr>
            </w:pPr>
          </w:p>
        </w:tc>
        <w:tc>
          <w:tcPr>
            <w:tcW w:w="566" w:type="pct"/>
            <w:tcBorders>
              <w:top w:val="nil"/>
              <w:left w:val="nil"/>
              <w:bottom w:val="nil"/>
              <w:right w:val="nil"/>
            </w:tcBorders>
            <w:shd w:val="clear" w:color="auto" w:fill="auto"/>
            <w:vAlign w:val="bottom"/>
          </w:tcPr>
          <w:p w14:paraId="59E4A9EE"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A9EF"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A9F0" w14:textId="77777777" w:rsidR="00D7560A" w:rsidRDefault="00D7560A">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59E4A9F1"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A9F2"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A9F3" w14:textId="77777777" w:rsidR="00D7560A" w:rsidRDefault="00D7560A">
            <w:pPr>
              <w:widowControl/>
              <w:jc w:val="left"/>
              <w:rPr>
                <w:rFonts w:ascii="Times New Roman" w:eastAsia="宋体" w:hAnsi="宋体" w:cs="宋体"/>
                <w:kern w:val="0"/>
                <w:sz w:val="24"/>
              </w:rPr>
            </w:pPr>
          </w:p>
        </w:tc>
        <w:tc>
          <w:tcPr>
            <w:tcW w:w="566" w:type="pct"/>
            <w:tcBorders>
              <w:top w:val="nil"/>
              <w:left w:val="nil"/>
              <w:bottom w:val="nil"/>
              <w:right w:val="nil"/>
            </w:tcBorders>
            <w:shd w:val="clear" w:color="auto" w:fill="auto"/>
            <w:vAlign w:val="bottom"/>
          </w:tcPr>
          <w:p w14:paraId="59E4A9F4"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A9F5"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A9F6" w14:textId="77777777" w:rsidR="00D7560A" w:rsidRDefault="00D7560A">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59E4A9F7"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A9F8"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A9F9" w14:textId="77777777" w:rsidR="00D7560A" w:rsidRDefault="00D7560A">
            <w:pPr>
              <w:widowControl/>
              <w:jc w:val="left"/>
              <w:rPr>
                <w:rFonts w:ascii="Times New Roman" w:eastAsia="宋体" w:hAnsi="宋体" w:cs="宋体"/>
                <w:kern w:val="0"/>
                <w:sz w:val="24"/>
              </w:rPr>
            </w:pPr>
          </w:p>
        </w:tc>
        <w:tc>
          <w:tcPr>
            <w:tcW w:w="566" w:type="pct"/>
            <w:tcBorders>
              <w:top w:val="nil"/>
              <w:left w:val="nil"/>
              <w:bottom w:val="nil"/>
              <w:right w:val="nil"/>
            </w:tcBorders>
            <w:shd w:val="clear" w:color="auto" w:fill="auto"/>
            <w:vAlign w:val="bottom"/>
          </w:tcPr>
          <w:p w14:paraId="59E4A9FA"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A9FB"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A9FC" w14:textId="77777777" w:rsidR="00D7560A" w:rsidRDefault="00D7560A">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59E4A9FD"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A9FE"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A9FF" w14:textId="77777777" w:rsidR="00D7560A" w:rsidRDefault="00D7560A">
            <w:pPr>
              <w:widowControl/>
              <w:jc w:val="left"/>
              <w:rPr>
                <w:rFonts w:ascii="Times New Roman" w:eastAsia="宋体" w:hAnsi="宋体" w:cs="宋体"/>
                <w:kern w:val="0"/>
                <w:sz w:val="24"/>
              </w:rPr>
            </w:pPr>
          </w:p>
        </w:tc>
        <w:tc>
          <w:tcPr>
            <w:tcW w:w="566" w:type="pct"/>
            <w:tcBorders>
              <w:top w:val="nil"/>
              <w:left w:val="nil"/>
              <w:bottom w:val="nil"/>
              <w:right w:val="nil"/>
            </w:tcBorders>
            <w:shd w:val="clear" w:color="auto" w:fill="auto"/>
            <w:vAlign w:val="bottom"/>
          </w:tcPr>
          <w:p w14:paraId="59E4AA00"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AA01"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59E4AA02"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A03" w14:textId="77777777" w:rsidR="00D7560A" w:rsidRDefault="00D7560A">
            <w:pPr>
              <w:widowControl/>
              <w:jc w:val="left"/>
              <w:rPr>
                <w:rFonts w:ascii="Times New Roman" w:eastAsia="宋体" w:hAnsi="宋体" w:cs="宋体"/>
                <w:vanish/>
                <w:kern w:val="0"/>
                <w:sz w:val="24"/>
              </w:rPr>
            </w:pPr>
          </w:p>
        </w:tc>
      </w:tr>
      <w:tr w:rsidR="00D7560A" w14:paraId="59E4AA0B"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9E4AA05"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59E4AA06"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Three Months Ended</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AA07" w14:textId="77777777" w:rsidR="00D7560A" w:rsidRDefault="00D7560A">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59E4AA08"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Six Months Ended</w:t>
            </w:r>
          </w:p>
        </w:tc>
        <w:tc>
          <w:tcPr>
            <w:tcW w:w="0" w:type="auto"/>
            <w:gridSpan w:val="3"/>
            <w:tcBorders>
              <w:top w:val="nil"/>
              <w:left w:val="nil"/>
              <w:bottom w:val="nil"/>
              <w:right w:val="nil"/>
            </w:tcBorders>
            <w:shd w:val="clear" w:color="auto" w:fill="auto"/>
            <w:vAlign w:val="bottom"/>
          </w:tcPr>
          <w:p w14:paraId="59E4AA09"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A0A" w14:textId="77777777" w:rsidR="00D7560A" w:rsidRDefault="00D7560A">
            <w:pPr>
              <w:widowControl/>
              <w:jc w:val="left"/>
              <w:rPr>
                <w:rFonts w:ascii="Times New Roman" w:eastAsia="宋体" w:hAnsi="宋体" w:cs="宋体"/>
                <w:vanish/>
                <w:kern w:val="0"/>
                <w:sz w:val="24"/>
              </w:rPr>
            </w:pPr>
          </w:p>
        </w:tc>
      </w:tr>
      <w:tr w:rsidR="00D7560A" w14:paraId="59E4AA16"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9E4AA0C"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59E4AA0D"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29, 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59E4AA0E"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59E4AA0F"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30, 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AA10"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59E4AA11"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29, 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59E4AA12"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59E4AA13"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30, 2021</w:t>
            </w:r>
          </w:p>
        </w:tc>
        <w:tc>
          <w:tcPr>
            <w:tcW w:w="0" w:type="auto"/>
            <w:gridSpan w:val="3"/>
            <w:tcBorders>
              <w:top w:val="nil"/>
              <w:left w:val="nil"/>
              <w:bottom w:val="nil"/>
              <w:right w:val="nil"/>
            </w:tcBorders>
            <w:shd w:val="clear" w:color="auto" w:fill="auto"/>
            <w:vAlign w:val="bottom"/>
          </w:tcPr>
          <w:p w14:paraId="59E4AA14"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A15" w14:textId="77777777" w:rsidR="00D7560A" w:rsidRDefault="00D7560A">
            <w:pPr>
              <w:widowControl/>
              <w:jc w:val="left"/>
              <w:rPr>
                <w:rFonts w:ascii="Times New Roman" w:eastAsia="宋体" w:hAnsi="宋体" w:cs="宋体"/>
                <w:vanish/>
                <w:kern w:val="0"/>
                <w:sz w:val="24"/>
              </w:rPr>
            </w:pPr>
          </w:p>
        </w:tc>
      </w:tr>
      <w:tr w:rsidR="00D7560A" w14:paraId="59E4AA1E" w14:textId="77777777">
        <w:tc>
          <w:tcPr>
            <w:tcW w:w="0" w:type="auto"/>
            <w:gridSpan w:val="24"/>
            <w:tcBorders>
              <w:top w:val="nil"/>
              <w:left w:val="nil"/>
              <w:bottom w:val="nil"/>
              <w:right w:val="nil"/>
            </w:tcBorders>
            <w:shd w:val="clear" w:color="auto" w:fill="CCEEFF"/>
            <w:tcMar>
              <w:top w:w="40" w:type="dxa"/>
              <w:left w:w="20" w:type="dxa"/>
              <w:bottom w:w="40" w:type="dxa"/>
              <w:right w:w="20" w:type="dxa"/>
            </w:tcMar>
            <w:vAlign w:val="bottom"/>
          </w:tcPr>
          <w:p w14:paraId="59E4AA17"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i/>
                <w:iCs/>
                <w:color w:val="000000"/>
                <w:kern w:val="0"/>
                <w:sz w:val="20"/>
                <w:szCs w:val="20"/>
                <w:lang w:bidi="ar"/>
              </w:rPr>
              <w:t>Earnings per share attributable to Dell Technologies Inc. - basic</w:t>
            </w:r>
          </w:p>
        </w:tc>
        <w:tc>
          <w:tcPr>
            <w:tcW w:w="0" w:type="auto"/>
            <w:tcBorders>
              <w:top w:val="nil"/>
              <w:left w:val="nil"/>
              <w:bottom w:val="nil"/>
              <w:right w:val="nil"/>
            </w:tcBorders>
            <w:shd w:val="clear" w:color="auto" w:fill="auto"/>
            <w:vAlign w:val="bottom"/>
          </w:tcPr>
          <w:p w14:paraId="59E4AA18"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AA19"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AA1A"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AA1B"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AA1C"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AA1D" w14:textId="77777777" w:rsidR="00D7560A" w:rsidRDefault="00D7560A">
            <w:pPr>
              <w:widowControl/>
              <w:jc w:val="left"/>
              <w:rPr>
                <w:rFonts w:ascii="Times New Roman" w:eastAsia="宋体" w:hAnsi="宋体" w:cs="宋体"/>
                <w:kern w:val="0"/>
                <w:sz w:val="24"/>
              </w:rPr>
            </w:pPr>
          </w:p>
        </w:tc>
      </w:tr>
      <w:tr w:rsidR="00D7560A" w14:paraId="59E4AA31" w14:textId="77777777">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59E4AA1F"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Continuing operations</w:t>
            </w:r>
          </w:p>
        </w:tc>
        <w:tc>
          <w:tcPr>
            <w:tcW w:w="0" w:type="auto"/>
            <w:tcBorders>
              <w:top w:val="nil"/>
              <w:left w:val="nil"/>
              <w:bottom w:val="nil"/>
              <w:right w:val="nil"/>
            </w:tcBorders>
            <w:shd w:val="clear" w:color="auto" w:fill="auto"/>
            <w:tcMar>
              <w:top w:w="40" w:type="dxa"/>
              <w:left w:w="20" w:type="dxa"/>
              <w:bottom w:w="40" w:type="dxa"/>
              <w:right w:w="0" w:type="dxa"/>
            </w:tcMar>
            <w:vAlign w:val="bottom"/>
          </w:tcPr>
          <w:p w14:paraId="59E4AA20"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auto"/>
            <w:tcMar>
              <w:top w:w="40" w:type="dxa"/>
              <w:left w:w="0" w:type="dxa"/>
              <w:bottom w:w="40" w:type="dxa"/>
              <w:right w:w="0" w:type="dxa"/>
            </w:tcMar>
            <w:vAlign w:val="bottom"/>
          </w:tcPr>
          <w:p w14:paraId="59E4AA21"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0.69 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59E4AA22"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AA23"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Mar>
              <w:top w:w="40" w:type="dxa"/>
              <w:left w:w="20" w:type="dxa"/>
              <w:bottom w:w="40" w:type="dxa"/>
              <w:right w:w="0" w:type="dxa"/>
            </w:tcMar>
            <w:vAlign w:val="bottom"/>
          </w:tcPr>
          <w:p w14:paraId="59E4AA24"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auto"/>
            <w:tcMar>
              <w:top w:w="40" w:type="dxa"/>
              <w:left w:w="0" w:type="dxa"/>
              <w:bottom w:w="40" w:type="dxa"/>
              <w:right w:w="0" w:type="dxa"/>
            </w:tcMar>
            <w:vAlign w:val="bottom"/>
          </w:tcPr>
          <w:p w14:paraId="59E4AA25"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0.83 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59E4AA26"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A27"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9E4AA28"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9E4AA29"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2.12 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AA2A"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A2B"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9E4AA2C"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9E4AA2D"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1.70 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AA2E"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59E4AA2F"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A30" w14:textId="77777777" w:rsidR="00D7560A" w:rsidRDefault="00D7560A">
            <w:pPr>
              <w:widowControl/>
              <w:jc w:val="left"/>
              <w:rPr>
                <w:rFonts w:ascii="Times New Roman" w:eastAsia="宋体" w:hAnsi="宋体" w:cs="宋体"/>
                <w:vanish/>
                <w:kern w:val="0"/>
                <w:sz w:val="24"/>
              </w:rPr>
            </w:pPr>
          </w:p>
        </w:tc>
      </w:tr>
      <w:tr w:rsidR="00D7560A" w14:paraId="59E4AA44" w14:textId="77777777">
        <w:tc>
          <w:tcPr>
            <w:tcW w:w="0" w:type="auto"/>
            <w:gridSpan w:val="3"/>
            <w:tcBorders>
              <w:top w:val="nil"/>
              <w:left w:val="nil"/>
              <w:bottom w:val="nil"/>
              <w:right w:val="nil"/>
            </w:tcBorders>
            <w:shd w:val="clear" w:color="auto" w:fill="CCEEFF"/>
            <w:tcMar>
              <w:top w:w="40" w:type="dxa"/>
              <w:left w:w="155" w:type="dxa"/>
              <w:bottom w:w="40" w:type="dxa"/>
              <w:right w:w="20" w:type="dxa"/>
            </w:tcMar>
            <w:vAlign w:val="bottom"/>
          </w:tcPr>
          <w:p w14:paraId="59E4AA32"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Discontinued operations</w:t>
            </w: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9E4AA33"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9E4AA34"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AA35"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A36"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9E4AA37"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9E4AA38"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0.26 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AA39"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A3A"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9E4AA3B"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9E4AA3C"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AA3D"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A3E"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9E4AA3F"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9E4AA40"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0.56 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AA41"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59E4AA42"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A43" w14:textId="77777777" w:rsidR="00D7560A" w:rsidRDefault="00D7560A">
            <w:pPr>
              <w:widowControl/>
              <w:jc w:val="left"/>
              <w:rPr>
                <w:rFonts w:ascii="Times New Roman" w:eastAsia="宋体" w:hAnsi="宋体" w:cs="宋体"/>
                <w:vanish/>
                <w:kern w:val="0"/>
                <w:sz w:val="24"/>
              </w:rPr>
            </w:pPr>
          </w:p>
        </w:tc>
      </w:tr>
      <w:tr w:rsidR="00D7560A" w14:paraId="59E4AA4F" w14:textId="77777777">
        <w:trPr>
          <w:trHeight w:val="28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AA45"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AA46"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AA47"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AA48"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AA49"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AA4A"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AA4B"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AA4C"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59E4AA4D"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A4E" w14:textId="77777777" w:rsidR="00D7560A" w:rsidRDefault="00D7560A">
            <w:pPr>
              <w:widowControl/>
              <w:jc w:val="left"/>
              <w:rPr>
                <w:rFonts w:ascii="Times New Roman" w:eastAsia="宋体" w:hAnsi="宋体" w:cs="宋体"/>
                <w:vanish/>
                <w:kern w:val="0"/>
                <w:sz w:val="24"/>
              </w:rPr>
            </w:pPr>
          </w:p>
        </w:tc>
      </w:tr>
      <w:tr w:rsidR="00D7560A" w14:paraId="59E4AA57" w14:textId="77777777">
        <w:tc>
          <w:tcPr>
            <w:tcW w:w="0" w:type="auto"/>
            <w:gridSpan w:val="24"/>
            <w:tcBorders>
              <w:top w:val="nil"/>
              <w:left w:val="nil"/>
              <w:bottom w:val="nil"/>
              <w:right w:val="nil"/>
            </w:tcBorders>
            <w:shd w:val="clear" w:color="auto" w:fill="CCEEFF"/>
            <w:tcMar>
              <w:top w:w="40" w:type="dxa"/>
              <w:left w:w="20" w:type="dxa"/>
              <w:bottom w:w="40" w:type="dxa"/>
              <w:right w:w="20" w:type="dxa"/>
            </w:tcMar>
            <w:vAlign w:val="bottom"/>
          </w:tcPr>
          <w:p w14:paraId="59E4AA50"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i/>
                <w:iCs/>
                <w:color w:val="000000"/>
                <w:kern w:val="0"/>
                <w:sz w:val="20"/>
                <w:szCs w:val="20"/>
                <w:lang w:bidi="ar"/>
              </w:rPr>
              <w:t>Earnings per share attributable to Dell Technologies Inc. — diluted</w:t>
            </w:r>
          </w:p>
        </w:tc>
        <w:tc>
          <w:tcPr>
            <w:tcW w:w="0" w:type="auto"/>
            <w:tcBorders>
              <w:top w:val="nil"/>
              <w:left w:val="nil"/>
              <w:bottom w:val="nil"/>
              <w:right w:val="nil"/>
            </w:tcBorders>
            <w:shd w:val="clear" w:color="auto" w:fill="auto"/>
            <w:vAlign w:val="bottom"/>
          </w:tcPr>
          <w:p w14:paraId="59E4AA51"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AA52"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AA53"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AA54"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AA55"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AA56" w14:textId="77777777" w:rsidR="00D7560A" w:rsidRDefault="00D7560A">
            <w:pPr>
              <w:widowControl/>
              <w:jc w:val="left"/>
              <w:rPr>
                <w:rFonts w:ascii="Times New Roman" w:eastAsia="宋体" w:hAnsi="宋体" w:cs="宋体"/>
                <w:kern w:val="0"/>
                <w:sz w:val="24"/>
              </w:rPr>
            </w:pPr>
          </w:p>
        </w:tc>
      </w:tr>
      <w:tr w:rsidR="00D7560A" w14:paraId="59E4AA6A" w14:textId="77777777">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59E4AA58"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Continuing operations</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9E4AA59"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9E4AA5A"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0.68 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AA5B"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A5C"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9E4AA5D"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9E4AA5E"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0.80 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AA5F"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A60"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9E4AA61"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9E4AA62"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2.06 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AA63"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A64"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9E4AA65"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9E4AA66"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1.65 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AA67"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59E4AA68"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A69" w14:textId="77777777" w:rsidR="00D7560A" w:rsidRDefault="00D7560A">
            <w:pPr>
              <w:widowControl/>
              <w:jc w:val="left"/>
              <w:rPr>
                <w:rFonts w:ascii="Times New Roman" w:eastAsia="宋体" w:hAnsi="宋体" w:cs="宋体"/>
                <w:vanish/>
                <w:kern w:val="0"/>
                <w:sz w:val="24"/>
              </w:rPr>
            </w:pPr>
          </w:p>
        </w:tc>
      </w:tr>
      <w:tr w:rsidR="00D7560A" w14:paraId="59E4AA7D" w14:textId="77777777">
        <w:tc>
          <w:tcPr>
            <w:tcW w:w="0" w:type="auto"/>
            <w:gridSpan w:val="3"/>
            <w:tcBorders>
              <w:top w:val="nil"/>
              <w:left w:val="nil"/>
              <w:bottom w:val="nil"/>
              <w:right w:val="nil"/>
            </w:tcBorders>
            <w:shd w:val="clear" w:color="auto" w:fill="CCEEFF"/>
            <w:tcMar>
              <w:top w:w="40" w:type="dxa"/>
              <w:left w:w="155" w:type="dxa"/>
              <w:bottom w:w="40" w:type="dxa"/>
              <w:right w:w="20" w:type="dxa"/>
            </w:tcMar>
            <w:vAlign w:val="bottom"/>
          </w:tcPr>
          <w:p w14:paraId="59E4AA6B"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Discontinued operations</w:t>
            </w: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9E4AA6C"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9E4AA6D"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AA6E"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A6F"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9E4AA70"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9E4AA71"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0.25 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AA72"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A73"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9E4AA74"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9E4AA75"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AA76"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A77"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9E4AA78"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9E4AA79"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0.53 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AA7A"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59E4AA7B"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A7C" w14:textId="77777777" w:rsidR="00D7560A" w:rsidRDefault="00D7560A">
            <w:pPr>
              <w:widowControl/>
              <w:jc w:val="left"/>
              <w:rPr>
                <w:rFonts w:ascii="Times New Roman" w:eastAsia="宋体" w:hAnsi="宋体" w:cs="宋体"/>
                <w:vanish/>
                <w:kern w:val="0"/>
                <w:sz w:val="24"/>
              </w:rPr>
            </w:pPr>
          </w:p>
        </w:tc>
      </w:tr>
    </w:tbl>
    <w:p w14:paraId="59E4AA7E" w14:textId="77777777" w:rsidR="00D7560A" w:rsidRDefault="001E3CAB">
      <w:pPr>
        <w:widowControl/>
        <w:spacing w:before="100"/>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AA7F" w14:textId="77777777" w:rsidR="00D7560A" w:rsidRDefault="001E3CAB">
      <w:pPr>
        <w:widowControl/>
        <w:spacing w:after="12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The following table presents the computation of basic and diluted earnings per share for the periods indicated:</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9"/>
        <w:gridCol w:w="3943"/>
        <w:gridCol w:w="38"/>
        <w:gridCol w:w="120"/>
        <w:gridCol w:w="842"/>
        <w:gridCol w:w="36"/>
        <w:gridCol w:w="36"/>
        <w:gridCol w:w="36"/>
        <w:gridCol w:w="36"/>
        <w:gridCol w:w="120"/>
        <w:gridCol w:w="842"/>
        <w:gridCol w:w="36"/>
        <w:gridCol w:w="36"/>
        <w:gridCol w:w="36"/>
        <w:gridCol w:w="36"/>
        <w:gridCol w:w="120"/>
        <w:gridCol w:w="842"/>
        <w:gridCol w:w="36"/>
        <w:gridCol w:w="36"/>
        <w:gridCol w:w="36"/>
        <w:gridCol w:w="36"/>
        <w:gridCol w:w="120"/>
        <w:gridCol w:w="842"/>
        <w:gridCol w:w="36"/>
      </w:tblGrid>
      <w:tr w:rsidR="00D7560A" w14:paraId="59E4AA98" w14:textId="77777777">
        <w:tc>
          <w:tcPr>
            <w:tcW w:w="50" w:type="pct"/>
            <w:tcBorders>
              <w:top w:val="nil"/>
              <w:left w:val="nil"/>
              <w:bottom w:val="nil"/>
              <w:right w:val="nil"/>
            </w:tcBorders>
            <w:shd w:val="clear" w:color="auto" w:fill="auto"/>
            <w:vAlign w:val="bottom"/>
          </w:tcPr>
          <w:p w14:paraId="59E4AA80" w14:textId="77777777" w:rsidR="00D7560A" w:rsidRDefault="00D7560A">
            <w:pPr>
              <w:widowControl/>
              <w:jc w:val="left"/>
              <w:rPr>
                <w:rFonts w:ascii="Times New Roman" w:eastAsia="宋体" w:hAnsi="宋体" w:cs="宋体"/>
                <w:kern w:val="0"/>
                <w:sz w:val="24"/>
              </w:rPr>
            </w:pPr>
          </w:p>
        </w:tc>
        <w:tc>
          <w:tcPr>
            <w:tcW w:w="2430" w:type="pct"/>
            <w:tcBorders>
              <w:top w:val="nil"/>
              <w:left w:val="nil"/>
              <w:bottom w:val="nil"/>
              <w:right w:val="nil"/>
            </w:tcBorders>
            <w:shd w:val="clear" w:color="auto" w:fill="auto"/>
            <w:vAlign w:val="bottom"/>
          </w:tcPr>
          <w:p w14:paraId="59E4AA81"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AA82"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AA83" w14:textId="77777777" w:rsidR="00D7560A" w:rsidRDefault="00D7560A">
            <w:pPr>
              <w:widowControl/>
              <w:jc w:val="left"/>
              <w:rPr>
                <w:rFonts w:ascii="Times New Roman" w:eastAsia="宋体" w:hAnsi="宋体" w:cs="宋体"/>
                <w:kern w:val="0"/>
                <w:sz w:val="24"/>
              </w:rPr>
            </w:pPr>
          </w:p>
        </w:tc>
        <w:tc>
          <w:tcPr>
            <w:tcW w:w="551" w:type="pct"/>
            <w:tcBorders>
              <w:top w:val="nil"/>
              <w:left w:val="nil"/>
              <w:bottom w:val="nil"/>
              <w:right w:val="nil"/>
            </w:tcBorders>
            <w:shd w:val="clear" w:color="auto" w:fill="auto"/>
            <w:vAlign w:val="bottom"/>
          </w:tcPr>
          <w:p w14:paraId="59E4AA84"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AA85"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AA86" w14:textId="77777777" w:rsidR="00D7560A" w:rsidRDefault="00D7560A">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59E4AA87"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AA88"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AA89" w14:textId="77777777" w:rsidR="00D7560A" w:rsidRDefault="00D7560A">
            <w:pPr>
              <w:widowControl/>
              <w:jc w:val="left"/>
              <w:rPr>
                <w:rFonts w:ascii="Times New Roman" w:eastAsia="宋体" w:hAnsi="宋体" w:cs="宋体"/>
                <w:kern w:val="0"/>
                <w:sz w:val="24"/>
              </w:rPr>
            </w:pPr>
          </w:p>
        </w:tc>
        <w:tc>
          <w:tcPr>
            <w:tcW w:w="551" w:type="pct"/>
            <w:tcBorders>
              <w:top w:val="nil"/>
              <w:left w:val="nil"/>
              <w:bottom w:val="nil"/>
              <w:right w:val="nil"/>
            </w:tcBorders>
            <w:shd w:val="clear" w:color="auto" w:fill="auto"/>
            <w:vAlign w:val="bottom"/>
          </w:tcPr>
          <w:p w14:paraId="59E4AA8A"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AA8B"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AA8C" w14:textId="77777777" w:rsidR="00D7560A" w:rsidRDefault="00D7560A">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59E4AA8D"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AA8E"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AA8F" w14:textId="77777777" w:rsidR="00D7560A" w:rsidRDefault="00D7560A">
            <w:pPr>
              <w:widowControl/>
              <w:jc w:val="left"/>
              <w:rPr>
                <w:rFonts w:ascii="Times New Roman" w:eastAsia="宋体" w:hAnsi="宋体" w:cs="宋体"/>
                <w:kern w:val="0"/>
                <w:sz w:val="24"/>
              </w:rPr>
            </w:pPr>
          </w:p>
        </w:tc>
        <w:tc>
          <w:tcPr>
            <w:tcW w:w="551" w:type="pct"/>
            <w:tcBorders>
              <w:top w:val="nil"/>
              <w:left w:val="nil"/>
              <w:bottom w:val="nil"/>
              <w:right w:val="nil"/>
            </w:tcBorders>
            <w:shd w:val="clear" w:color="auto" w:fill="auto"/>
            <w:vAlign w:val="bottom"/>
          </w:tcPr>
          <w:p w14:paraId="59E4AA90"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AA91"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AA92" w14:textId="77777777" w:rsidR="00D7560A" w:rsidRDefault="00D7560A">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59E4AA93"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AA94"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AA95" w14:textId="77777777" w:rsidR="00D7560A" w:rsidRDefault="00D7560A">
            <w:pPr>
              <w:widowControl/>
              <w:jc w:val="left"/>
              <w:rPr>
                <w:rFonts w:ascii="Times New Roman" w:eastAsia="宋体" w:hAnsi="宋体" w:cs="宋体"/>
                <w:kern w:val="0"/>
                <w:sz w:val="24"/>
              </w:rPr>
            </w:pPr>
          </w:p>
        </w:tc>
        <w:tc>
          <w:tcPr>
            <w:tcW w:w="551" w:type="pct"/>
            <w:tcBorders>
              <w:top w:val="nil"/>
              <w:left w:val="nil"/>
              <w:bottom w:val="nil"/>
              <w:right w:val="nil"/>
            </w:tcBorders>
            <w:shd w:val="clear" w:color="auto" w:fill="auto"/>
            <w:vAlign w:val="bottom"/>
          </w:tcPr>
          <w:p w14:paraId="59E4AA96"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AA97" w14:textId="77777777" w:rsidR="00D7560A" w:rsidRDefault="00D7560A">
            <w:pPr>
              <w:widowControl/>
              <w:jc w:val="left"/>
              <w:rPr>
                <w:rFonts w:ascii="Times New Roman" w:eastAsia="宋体" w:hAnsi="宋体" w:cs="宋体"/>
                <w:kern w:val="0"/>
                <w:sz w:val="24"/>
              </w:rPr>
            </w:pPr>
          </w:p>
        </w:tc>
      </w:tr>
      <w:tr w:rsidR="00D7560A" w14:paraId="59E4AA9D"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AA99" w14:textId="77777777" w:rsidR="00D7560A" w:rsidRDefault="00D7560A">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59E4AA9A"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Three Months Ended</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AA9B" w14:textId="77777777" w:rsidR="00D7560A" w:rsidRDefault="00D7560A">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59E4AA9C"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Six Months Ended</w:t>
            </w:r>
          </w:p>
        </w:tc>
      </w:tr>
      <w:tr w:rsidR="00D7560A" w14:paraId="59E4AAA6"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AA9E"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59E4AA9F"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29, 2022</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59E4AAA0"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59E4AAA1"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30, 2021</w:t>
            </w: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59E4AAA2"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59E4AAA3"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29, 2022</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59E4AAA4"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59E4AAA5"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30, 2021</w:t>
            </w:r>
          </w:p>
        </w:tc>
      </w:tr>
      <w:tr w:rsidR="00D7560A" w14:paraId="59E4AAA9" w14:textId="77777777">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AA7" w14:textId="77777777" w:rsidR="00D7560A" w:rsidRDefault="00D7560A">
            <w:pPr>
              <w:widowControl/>
              <w:jc w:val="left"/>
              <w:rPr>
                <w:rFonts w:ascii="Times New Roman" w:eastAsia="宋体" w:hAnsi="宋体" w:cs="宋体"/>
                <w:kern w:val="0"/>
                <w:sz w:val="24"/>
              </w:rPr>
            </w:pPr>
          </w:p>
        </w:tc>
        <w:tc>
          <w:tcPr>
            <w:tcW w:w="0" w:type="auto"/>
            <w:gridSpan w:val="21"/>
            <w:tcBorders>
              <w:top w:val="single" w:sz="8" w:space="0" w:color="000000"/>
              <w:left w:val="nil"/>
              <w:bottom w:val="nil"/>
              <w:right w:val="nil"/>
            </w:tcBorders>
            <w:shd w:val="clear" w:color="auto" w:fill="auto"/>
            <w:tcMar>
              <w:top w:w="40" w:type="dxa"/>
              <w:left w:w="20" w:type="dxa"/>
              <w:bottom w:w="40" w:type="dxa"/>
              <w:right w:w="20" w:type="dxa"/>
            </w:tcMar>
            <w:vAlign w:val="bottom"/>
          </w:tcPr>
          <w:p w14:paraId="59E4AAA8"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(in </w:t>
            </w:r>
            <w:r>
              <w:rPr>
                <w:rFonts w:ascii="Times New Roman" w:eastAsia="宋体" w:hAnsi="Times New Roman" w:cs="Times New Roman"/>
                <w:color w:val="000000"/>
                <w:kern w:val="0"/>
                <w:sz w:val="20"/>
                <w:szCs w:val="20"/>
                <w:lang w:bidi="ar"/>
              </w:rPr>
              <w:t>millions)</w:t>
            </w:r>
          </w:p>
        </w:tc>
      </w:tr>
      <w:tr w:rsidR="00D7560A" w14:paraId="59E4AAB2"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9E4AAAA"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i/>
                <w:iCs/>
                <w:color w:val="000000"/>
                <w:kern w:val="0"/>
                <w:sz w:val="20"/>
                <w:szCs w:val="20"/>
                <w:lang w:bidi="ar"/>
              </w:rPr>
              <w:t>Numerator: Continuing operations</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AAB"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AAC"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AAD"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AAE"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AAF"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AB0"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AB1" w14:textId="77777777" w:rsidR="00D7560A" w:rsidRDefault="00D7560A">
            <w:pPr>
              <w:widowControl/>
              <w:jc w:val="left"/>
              <w:rPr>
                <w:rFonts w:ascii="Times New Roman" w:eastAsia="宋体" w:hAnsi="宋体" w:cs="宋体"/>
                <w:kern w:val="0"/>
                <w:sz w:val="24"/>
              </w:rPr>
            </w:pPr>
          </w:p>
        </w:tc>
      </w:tr>
      <w:tr w:rsidR="00D7560A" w14:paraId="59E4AAC3" w14:textId="77777777">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59E4AAB3"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Net income attributable to Dell Technologies Inc. from continuing operations - basic and diluted</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9E4AAB4"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9E4AAB5"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511 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AAB6"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AB7"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9E4AAB8"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9E4AAB9"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631 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AABA"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ABB"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9E4AABC"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9E4AABD"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1,583 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AABE"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ABF"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9E4AAC0"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9E4AAC1"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1,291 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AAC2" w14:textId="77777777" w:rsidR="00D7560A" w:rsidRDefault="00D7560A">
            <w:pPr>
              <w:widowControl/>
              <w:jc w:val="right"/>
              <w:rPr>
                <w:rFonts w:ascii="Times New Roman" w:eastAsia="宋体" w:hAnsi="宋体" w:cs="宋体"/>
                <w:kern w:val="0"/>
                <w:sz w:val="24"/>
              </w:rPr>
            </w:pPr>
          </w:p>
        </w:tc>
      </w:tr>
      <w:tr w:rsidR="00D7560A" w14:paraId="59E4AACC" w14:textId="77777777">
        <w:trPr>
          <w:trHeight w:val="280"/>
        </w:trPr>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AC4"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AC5"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AC6"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AC7"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AC8"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AC9"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ACA"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ACB" w14:textId="77777777" w:rsidR="00D7560A" w:rsidRDefault="00D7560A">
            <w:pPr>
              <w:widowControl/>
              <w:jc w:val="left"/>
              <w:rPr>
                <w:rFonts w:ascii="Times New Roman" w:eastAsia="宋体" w:hAnsi="宋体" w:cs="宋体"/>
                <w:kern w:val="0"/>
                <w:sz w:val="24"/>
              </w:rPr>
            </w:pPr>
          </w:p>
        </w:tc>
      </w:tr>
      <w:tr w:rsidR="00D7560A" w14:paraId="59E4AAD5"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59E4AACD"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i/>
                <w:iCs/>
                <w:color w:val="000000"/>
                <w:kern w:val="0"/>
                <w:sz w:val="20"/>
                <w:szCs w:val="20"/>
                <w:lang w:bidi="ar"/>
              </w:rPr>
              <w:t>Numerator: Discontinued operations</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ACE"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ACF"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AD0"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AD1"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AD2"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AD3"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AD4" w14:textId="77777777" w:rsidR="00D7560A" w:rsidRDefault="00D7560A">
            <w:pPr>
              <w:widowControl/>
              <w:jc w:val="left"/>
              <w:rPr>
                <w:rFonts w:ascii="Times New Roman" w:eastAsia="宋体" w:hAnsi="宋体" w:cs="宋体"/>
                <w:kern w:val="0"/>
                <w:sz w:val="24"/>
              </w:rPr>
            </w:pPr>
          </w:p>
        </w:tc>
      </w:tr>
      <w:tr w:rsidR="00D7560A" w14:paraId="59E4AAE6" w14:textId="77777777">
        <w:tc>
          <w:tcPr>
            <w:tcW w:w="0" w:type="auto"/>
            <w:gridSpan w:val="3"/>
            <w:tcBorders>
              <w:top w:val="nil"/>
              <w:left w:val="nil"/>
              <w:bottom w:val="nil"/>
              <w:right w:val="nil"/>
            </w:tcBorders>
            <w:shd w:val="clear" w:color="auto" w:fill="CCEEFF"/>
            <w:tcMar>
              <w:top w:w="40" w:type="dxa"/>
              <w:left w:w="155" w:type="dxa"/>
              <w:bottom w:w="40" w:type="dxa"/>
              <w:right w:w="20" w:type="dxa"/>
            </w:tcMar>
            <w:vAlign w:val="bottom"/>
          </w:tcPr>
          <w:p w14:paraId="59E4AAD6"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Income from discontinued operations, net of income taxes - basic</w:t>
            </w: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9E4AAD7"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9E4AAD8"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AAD9"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ADA"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9E4AADB"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9E4AADC"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200 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AADD"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ADE"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9E4AADF"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9E4AAE0"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AAE1"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AE2"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9E4AAE3"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9E4AAE4"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427 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AAE5" w14:textId="77777777" w:rsidR="00D7560A" w:rsidRDefault="00D7560A">
            <w:pPr>
              <w:widowControl/>
              <w:jc w:val="right"/>
              <w:rPr>
                <w:rFonts w:ascii="Times New Roman" w:eastAsia="宋体" w:hAnsi="宋体" w:cs="宋体"/>
                <w:kern w:val="0"/>
                <w:sz w:val="24"/>
              </w:rPr>
            </w:pPr>
          </w:p>
        </w:tc>
      </w:tr>
      <w:tr w:rsidR="00D7560A" w14:paraId="59E4AAF3" w14:textId="77777777">
        <w:tc>
          <w:tcPr>
            <w:tcW w:w="0" w:type="auto"/>
            <w:gridSpan w:val="3"/>
            <w:tcBorders>
              <w:top w:val="nil"/>
              <w:left w:val="nil"/>
              <w:bottom w:val="nil"/>
              <w:right w:val="nil"/>
            </w:tcBorders>
            <w:shd w:val="clear" w:color="auto" w:fill="FFFFFF"/>
            <w:tcMar>
              <w:top w:w="40" w:type="dxa"/>
              <w:left w:w="275" w:type="dxa"/>
              <w:bottom w:w="40" w:type="dxa"/>
              <w:right w:w="20" w:type="dxa"/>
            </w:tcMar>
            <w:vAlign w:val="bottom"/>
          </w:tcPr>
          <w:p w14:paraId="59E4AAE7"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Incremental dilution from VMware, Inc. (a)</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AAE8"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AAE9"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AEA"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AAEB"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AAEC"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AED"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AAEE"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AAEF"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AF0"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AAF1"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AAF2" w14:textId="77777777" w:rsidR="00D7560A" w:rsidRDefault="00D7560A">
            <w:pPr>
              <w:widowControl/>
              <w:jc w:val="right"/>
              <w:rPr>
                <w:rFonts w:ascii="Times New Roman" w:eastAsia="宋体" w:hAnsi="宋体" w:cs="宋体"/>
                <w:kern w:val="0"/>
                <w:sz w:val="24"/>
              </w:rPr>
            </w:pPr>
          </w:p>
        </w:tc>
      </w:tr>
      <w:tr w:rsidR="00D7560A" w14:paraId="59E4AB04" w14:textId="77777777">
        <w:tc>
          <w:tcPr>
            <w:tcW w:w="0" w:type="auto"/>
            <w:gridSpan w:val="3"/>
            <w:tcBorders>
              <w:top w:val="nil"/>
              <w:left w:val="nil"/>
              <w:bottom w:val="nil"/>
              <w:right w:val="nil"/>
            </w:tcBorders>
            <w:shd w:val="clear" w:color="auto" w:fill="CCEEFF"/>
            <w:tcMar>
              <w:top w:w="40" w:type="dxa"/>
              <w:left w:w="155" w:type="dxa"/>
              <w:bottom w:w="40" w:type="dxa"/>
              <w:right w:w="20" w:type="dxa"/>
            </w:tcMar>
            <w:vAlign w:val="bottom"/>
          </w:tcPr>
          <w:p w14:paraId="59E4AAF4"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Income from discontinued operations, net of income taxes, attributable to Dell Technologies Inc. - diluted</w:t>
            </w: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59E4AAF5"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0" w:type="dxa"/>
            </w:tcMar>
            <w:vAlign w:val="bottom"/>
          </w:tcPr>
          <w:p w14:paraId="59E4AAF6"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59E4AAF7"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AF8"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59E4AAF9"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0" w:type="dxa"/>
            </w:tcMar>
            <w:vAlign w:val="bottom"/>
          </w:tcPr>
          <w:p w14:paraId="59E4AAFA"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197 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59E4AAFB"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AFC"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59E4AAFD"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0" w:type="dxa"/>
            </w:tcMar>
            <w:vAlign w:val="bottom"/>
          </w:tcPr>
          <w:p w14:paraId="59E4AAFE"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59E4AAFF"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B00"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59E4AB01"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0" w:type="dxa"/>
            </w:tcMar>
            <w:vAlign w:val="bottom"/>
          </w:tcPr>
          <w:p w14:paraId="59E4AB02"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422 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59E4AB03" w14:textId="77777777" w:rsidR="00D7560A" w:rsidRDefault="00D7560A">
            <w:pPr>
              <w:widowControl/>
              <w:jc w:val="right"/>
              <w:rPr>
                <w:rFonts w:ascii="Times New Roman" w:eastAsia="宋体" w:hAnsi="宋体" w:cs="宋体"/>
                <w:kern w:val="0"/>
                <w:sz w:val="24"/>
              </w:rPr>
            </w:pPr>
          </w:p>
        </w:tc>
      </w:tr>
      <w:tr w:rsidR="00D7560A" w14:paraId="59E4AB0D" w14:textId="77777777">
        <w:trPr>
          <w:trHeight w:val="280"/>
        </w:trPr>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B05"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59E4AB06"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B07"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59E4AB08"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B09"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59E4AB0A"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B0B"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59E4AB0C" w14:textId="77777777" w:rsidR="00D7560A" w:rsidRDefault="00D7560A">
            <w:pPr>
              <w:widowControl/>
              <w:jc w:val="left"/>
              <w:rPr>
                <w:rFonts w:ascii="Times New Roman" w:eastAsia="宋体" w:hAnsi="宋体" w:cs="宋体"/>
                <w:kern w:val="0"/>
                <w:sz w:val="24"/>
              </w:rPr>
            </w:pPr>
          </w:p>
        </w:tc>
      </w:tr>
      <w:tr w:rsidR="00D7560A" w14:paraId="59E4AB16"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9E4AB0E"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i/>
                <w:iCs/>
                <w:color w:val="000000"/>
                <w:kern w:val="0"/>
                <w:sz w:val="20"/>
                <w:szCs w:val="20"/>
                <w:lang w:bidi="ar"/>
              </w:rPr>
              <w:t>Denominator: Dell Technologies Common Stock weighted-average shares outstanding</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B0F"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B10"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B11"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B12"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B13"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B14"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B15" w14:textId="77777777" w:rsidR="00D7560A" w:rsidRDefault="00D7560A">
            <w:pPr>
              <w:widowControl/>
              <w:jc w:val="left"/>
              <w:rPr>
                <w:rFonts w:ascii="Times New Roman" w:eastAsia="宋体" w:hAnsi="宋体" w:cs="宋体"/>
                <w:kern w:val="0"/>
                <w:sz w:val="24"/>
              </w:rPr>
            </w:pPr>
          </w:p>
        </w:tc>
      </w:tr>
      <w:tr w:rsidR="00D7560A" w14:paraId="59E4AB23"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59E4AB17"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Weighted-average shares outstanding </w:t>
            </w:r>
            <w:r>
              <w:rPr>
                <w:rFonts w:ascii="Times New Roman" w:eastAsia="宋体" w:hAnsi="Times New Roman" w:cs="Times New Roman"/>
                <w:b/>
                <w:bCs/>
                <w:color w:val="000000"/>
                <w:kern w:val="0"/>
                <w:sz w:val="20"/>
                <w:szCs w:val="20"/>
                <w:lang w:bidi="ar"/>
              </w:rPr>
              <w:t>—</w:t>
            </w:r>
            <w:r>
              <w:rPr>
                <w:rFonts w:ascii="Times New Roman" w:eastAsia="宋体" w:hAnsi="Times New Roman" w:cs="Times New Roman"/>
                <w:color w:val="000000"/>
                <w:kern w:val="0"/>
                <w:sz w:val="20"/>
                <w:szCs w:val="20"/>
                <w:lang w:bidi="ar"/>
              </w:rPr>
              <w:t xml:space="preserve"> basic</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AB18"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739 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AB19"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B1A"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AB1B"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763 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AB1C"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B1D"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AB1E"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746 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AB1F"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B20"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AB21"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760 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AB22" w14:textId="77777777" w:rsidR="00D7560A" w:rsidRDefault="00D7560A">
            <w:pPr>
              <w:widowControl/>
              <w:jc w:val="right"/>
              <w:rPr>
                <w:rFonts w:ascii="Times New Roman" w:eastAsia="宋体" w:hAnsi="宋体" w:cs="宋体"/>
                <w:kern w:val="0"/>
                <w:sz w:val="24"/>
              </w:rPr>
            </w:pPr>
          </w:p>
        </w:tc>
      </w:tr>
      <w:tr w:rsidR="00D7560A" w14:paraId="59E4AB30" w14:textId="77777777">
        <w:tc>
          <w:tcPr>
            <w:tcW w:w="0" w:type="auto"/>
            <w:gridSpan w:val="3"/>
            <w:tcBorders>
              <w:top w:val="nil"/>
              <w:left w:val="nil"/>
              <w:bottom w:val="nil"/>
              <w:right w:val="nil"/>
            </w:tcBorders>
            <w:shd w:val="clear" w:color="auto" w:fill="CCEEFF"/>
            <w:tcMar>
              <w:top w:w="40" w:type="dxa"/>
              <w:left w:w="245" w:type="dxa"/>
              <w:bottom w:w="40" w:type="dxa"/>
              <w:right w:w="20" w:type="dxa"/>
            </w:tcMar>
            <w:vAlign w:val="bottom"/>
          </w:tcPr>
          <w:p w14:paraId="59E4AB24"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Dilutive effect of options, restricted stock units, restricted stock, and other</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AB25"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AB26"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B27"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AB28"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AB29"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B2A"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AB2B"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AB2C"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B2D"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AB2E"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AB2F" w14:textId="77777777" w:rsidR="00D7560A" w:rsidRDefault="00D7560A">
            <w:pPr>
              <w:widowControl/>
              <w:jc w:val="right"/>
              <w:rPr>
                <w:rFonts w:ascii="Times New Roman" w:eastAsia="宋体" w:hAnsi="宋体" w:cs="宋体"/>
                <w:kern w:val="0"/>
                <w:sz w:val="24"/>
              </w:rPr>
            </w:pPr>
          </w:p>
        </w:tc>
      </w:tr>
      <w:tr w:rsidR="00D7560A" w14:paraId="59E4AB3D"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59E4AB31"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Weighted-average shares outstanding </w:t>
            </w:r>
            <w:r>
              <w:rPr>
                <w:rFonts w:ascii="Times New Roman" w:eastAsia="宋体" w:hAnsi="Times New Roman" w:cs="Times New Roman"/>
                <w:b/>
                <w:bCs/>
                <w:color w:val="000000"/>
                <w:kern w:val="0"/>
                <w:sz w:val="20"/>
                <w:szCs w:val="20"/>
                <w:lang w:bidi="ar"/>
              </w:rPr>
              <w:t>—</w:t>
            </w:r>
            <w:r>
              <w:rPr>
                <w:rFonts w:ascii="Times New Roman" w:eastAsia="宋体" w:hAnsi="Times New Roman" w:cs="Times New Roman"/>
                <w:color w:val="000000"/>
                <w:kern w:val="0"/>
                <w:sz w:val="20"/>
                <w:szCs w:val="20"/>
                <w:lang w:bidi="ar"/>
              </w:rPr>
              <w:t xml:space="preserve"> diluted</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59E4AB32"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755 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59E4AB33"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B34" w14:textId="77777777" w:rsidR="00D7560A" w:rsidRDefault="00D7560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59E4AB35"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786 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59E4AB36"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B37" w14:textId="77777777" w:rsidR="00D7560A" w:rsidRDefault="00D7560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59E4AB38"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768 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59E4AB39"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B3A" w14:textId="77777777" w:rsidR="00D7560A" w:rsidRDefault="00D7560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59E4AB3B"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784 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59E4AB3C" w14:textId="77777777" w:rsidR="00D7560A" w:rsidRDefault="00D7560A">
            <w:pPr>
              <w:widowControl/>
              <w:jc w:val="right"/>
              <w:rPr>
                <w:rFonts w:ascii="Times New Roman" w:eastAsia="宋体" w:hAnsi="宋体" w:cs="宋体"/>
                <w:kern w:val="0"/>
                <w:sz w:val="24"/>
              </w:rPr>
            </w:pPr>
          </w:p>
        </w:tc>
      </w:tr>
      <w:tr w:rsidR="00D7560A" w14:paraId="59E4AB4A"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9E4AB3E"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Weighted-average shares outstanding </w:t>
            </w:r>
            <w:r>
              <w:rPr>
                <w:rFonts w:ascii="Times New Roman" w:eastAsia="宋体" w:hAnsi="Times New Roman" w:cs="Times New Roman"/>
                <w:b/>
                <w:bCs/>
                <w:color w:val="000000"/>
                <w:kern w:val="0"/>
                <w:sz w:val="20"/>
                <w:szCs w:val="20"/>
                <w:lang w:bidi="ar"/>
              </w:rPr>
              <w:t>—</w:t>
            </w:r>
            <w:r>
              <w:rPr>
                <w:rFonts w:ascii="Times New Roman" w:eastAsia="宋体" w:hAnsi="Times New Roman" w:cs="Times New Roman"/>
                <w:color w:val="000000"/>
                <w:kern w:val="0"/>
                <w:sz w:val="20"/>
                <w:szCs w:val="20"/>
                <w:lang w:bidi="ar"/>
              </w:rPr>
              <w:t xml:space="preserve"> antidilutive</w:t>
            </w:r>
          </w:p>
        </w:tc>
        <w:tc>
          <w:tcPr>
            <w:tcW w:w="0" w:type="auto"/>
            <w:gridSpan w:val="2"/>
            <w:tcBorders>
              <w:top w:val="double" w:sz="2" w:space="0" w:color="000000"/>
              <w:left w:val="nil"/>
              <w:bottom w:val="nil"/>
              <w:right w:val="nil"/>
            </w:tcBorders>
            <w:shd w:val="clear" w:color="auto" w:fill="CCEEFF"/>
            <w:tcMar>
              <w:top w:w="40" w:type="dxa"/>
              <w:left w:w="20" w:type="dxa"/>
              <w:bottom w:w="40" w:type="dxa"/>
              <w:right w:w="0" w:type="dxa"/>
            </w:tcMar>
            <w:vAlign w:val="bottom"/>
          </w:tcPr>
          <w:p w14:paraId="59E4AB3F"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15 </w:t>
            </w:r>
          </w:p>
        </w:tc>
        <w:tc>
          <w:tcPr>
            <w:tcW w:w="0" w:type="auto"/>
            <w:tcBorders>
              <w:top w:val="double" w:sz="2" w:space="0" w:color="000000"/>
              <w:left w:val="nil"/>
              <w:bottom w:val="nil"/>
              <w:right w:val="nil"/>
            </w:tcBorders>
            <w:shd w:val="clear" w:color="auto" w:fill="CCEEFF"/>
            <w:tcMar>
              <w:top w:w="40" w:type="dxa"/>
              <w:left w:w="0" w:type="dxa"/>
              <w:bottom w:w="40" w:type="dxa"/>
              <w:right w:w="20" w:type="dxa"/>
            </w:tcMar>
            <w:vAlign w:val="bottom"/>
          </w:tcPr>
          <w:p w14:paraId="59E4AB40"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B41" w14:textId="77777777" w:rsidR="00D7560A" w:rsidRDefault="00D7560A">
            <w:pPr>
              <w:widowControl/>
              <w:jc w:val="left"/>
              <w:rPr>
                <w:rFonts w:ascii="Times New Roman" w:eastAsia="宋体" w:hAnsi="宋体" w:cs="宋体"/>
                <w:kern w:val="0"/>
                <w:sz w:val="24"/>
              </w:rPr>
            </w:pPr>
          </w:p>
        </w:tc>
        <w:tc>
          <w:tcPr>
            <w:tcW w:w="0" w:type="auto"/>
            <w:gridSpan w:val="2"/>
            <w:tcBorders>
              <w:top w:val="double" w:sz="2" w:space="0" w:color="000000"/>
              <w:left w:val="nil"/>
              <w:bottom w:val="nil"/>
              <w:right w:val="nil"/>
            </w:tcBorders>
            <w:shd w:val="clear" w:color="auto" w:fill="CCEEFF"/>
            <w:tcMar>
              <w:top w:w="40" w:type="dxa"/>
              <w:left w:w="20" w:type="dxa"/>
              <w:bottom w:w="40" w:type="dxa"/>
              <w:right w:w="0" w:type="dxa"/>
            </w:tcMar>
            <w:vAlign w:val="bottom"/>
          </w:tcPr>
          <w:p w14:paraId="59E4AB42"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double" w:sz="2" w:space="0" w:color="000000"/>
              <w:left w:val="nil"/>
              <w:bottom w:val="nil"/>
              <w:right w:val="nil"/>
            </w:tcBorders>
            <w:shd w:val="clear" w:color="auto" w:fill="CCEEFF"/>
            <w:tcMar>
              <w:top w:w="40" w:type="dxa"/>
              <w:left w:w="0" w:type="dxa"/>
              <w:bottom w:w="40" w:type="dxa"/>
              <w:right w:w="20" w:type="dxa"/>
            </w:tcMar>
            <w:vAlign w:val="bottom"/>
          </w:tcPr>
          <w:p w14:paraId="59E4AB43"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B44" w14:textId="77777777" w:rsidR="00D7560A" w:rsidRDefault="00D7560A">
            <w:pPr>
              <w:widowControl/>
              <w:jc w:val="left"/>
              <w:rPr>
                <w:rFonts w:ascii="Times New Roman" w:eastAsia="宋体" w:hAnsi="宋体" w:cs="宋体"/>
                <w:kern w:val="0"/>
                <w:sz w:val="24"/>
              </w:rPr>
            </w:pPr>
          </w:p>
        </w:tc>
        <w:tc>
          <w:tcPr>
            <w:tcW w:w="0" w:type="auto"/>
            <w:gridSpan w:val="2"/>
            <w:tcBorders>
              <w:top w:val="double" w:sz="2" w:space="0" w:color="000000"/>
              <w:left w:val="nil"/>
              <w:bottom w:val="nil"/>
              <w:right w:val="nil"/>
            </w:tcBorders>
            <w:shd w:val="clear" w:color="auto" w:fill="CCEEFF"/>
            <w:tcMar>
              <w:top w:w="40" w:type="dxa"/>
              <w:left w:w="20" w:type="dxa"/>
              <w:bottom w:w="40" w:type="dxa"/>
              <w:right w:w="0" w:type="dxa"/>
            </w:tcMar>
            <w:vAlign w:val="bottom"/>
          </w:tcPr>
          <w:p w14:paraId="59E4AB45"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8 </w:t>
            </w:r>
          </w:p>
        </w:tc>
        <w:tc>
          <w:tcPr>
            <w:tcW w:w="0" w:type="auto"/>
            <w:tcBorders>
              <w:top w:val="double" w:sz="2" w:space="0" w:color="000000"/>
              <w:left w:val="nil"/>
              <w:bottom w:val="nil"/>
              <w:right w:val="nil"/>
            </w:tcBorders>
            <w:shd w:val="clear" w:color="auto" w:fill="CCEEFF"/>
            <w:tcMar>
              <w:top w:w="40" w:type="dxa"/>
              <w:left w:w="0" w:type="dxa"/>
              <w:bottom w:w="40" w:type="dxa"/>
              <w:right w:w="20" w:type="dxa"/>
            </w:tcMar>
            <w:vAlign w:val="bottom"/>
          </w:tcPr>
          <w:p w14:paraId="59E4AB46"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B47" w14:textId="77777777" w:rsidR="00D7560A" w:rsidRDefault="00D7560A">
            <w:pPr>
              <w:widowControl/>
              <w:jc w:val="left"/>
              <w:rPr>
                <w:rFonts w:ascii="Times New Roman" w:eastAsia="宋体" w:hAnsi="宋体" w:cs="宋体"/>
                <w:kern w:val="0"/>
                <w:sz w:val="24"/>
              </w:rPr>
            </w:pPr>
          </w:p>
        </w:tc>
        <w:tc>
          <w:tcPr>
            <w:tcW w:w="0" w:type="auto"/>
            <w:gridSpan w:val="2"/>
            <w:tcBorders>
              <w:top w:val="double" w:sz="2" w:space="0" w:color="000000"/>
              <w:left w:val="nil"/>
              <w:bottom w:val="nil"/>
              <w:right w:val="nil"/>
            </w:tcBorders>
            <w:shd w:val="clear" w:color="auto" w:fill="CCEEFF"/>
            <w:tcMar>
              <w:top w:w="40" w:type="dxa"/>
              <w:left w:w="20" w:type="dxa"/>
              <w:bottom w:w="40" w:type="dxa"/>
              <w:right w:w="0" w:type="dxa"/>
            </w:tcMar>
            <w:vAlign w:val="bottom"/>
          </w:tcPr>
          <w:p w14:paraId="59E4AB48"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double" w:sz="2" w:space="0" w:color="000000"/>
              <w:left w:val="nil"/>
              <w:bottom w:val="nil"/>
              <w:right w:val="nil"/>
            </w:tcBorders>
            <w:shd w:val="clear" w:color="auto" w:fill="CCEEFF"/>
            <w:tcMar>
              <w:top w:w="40" w:type="dxa"/>
              <w:left w:w="0" w:type="dxa"/>
              <w:bottom w:w="40" w:type="dxa"/>
              <w:right w:w="20" w:type="dxa"/>
            </w:tcMar>
            <w:vAlign w:val="bottom"/>
          </w:tcPr>
          <w:p w14:paraId="59E4AB49" w14:textId="77777777" w:rsidR="00D7560A" w:rsidRDefault="00D7560A">
            <w:pPr>
              <w:widowControl/>
              <w:jc w:val="right"/>
              <w:rPr>
                <w:rFonts w:ascii="Times New Roman" w:eastAsia="宋体" w:hAnsi="宋体" w:cs="宋体"/>
                <w:kern w:val="0"/>
                <w:sz w:val="24"/>
              </w:rPr>
            </w:pPr>
          </w:p>
        </w:tc>
      </w:tr>
    </w:tbl>
    <w:p w14:paraId="59E4AB4B"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____________________</w:t>
      </w:r>
    </w:p>
    <w:p w14:paraId="59E4AB4C" w14:textId="77777777" w:rsidR="00D7560A" w:rsidRDefault="001E3CAB">
      <w:pPr>
        <w:widowControl/>
        <w:ind w:left="360" w:hanging="36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(a)    The incremental dilution from VMware, Inc. represents the impact of VMware, In</w:t>
      </w:r>
      <w:r>
        <w:rPr>
          <w:rFonts w:ascii="Times New Roman" w:eastAsia="宋体" w:hAnsi="Times New Roman" w:cs="Times New Roman"/>
          <w:color w:val="000000"/>
          <w:kern w:val="0"/>
          <w:sz w:val="20"/>
          <w:szCs w:val="20"/>
          <w:lang w:bidi="ar"/>
        </w:rPr>
        <w:t>c.’s dilutive securities on diluted earnings per share of Dell Technologies Common Stock, and is calculated by multiplying the difference between VMware, Inc.’s basic and diluted earnings (loss) per share by the number of shares of VMware, Inc. common stoc</w:t>
      </w:r>
      <w:r>
        <w:rPr>
          <w:rFonts w:ascii="Times New Roman" w:eastAsia="宋体" w:hAnsi="Times New Roman" w:cs="Times New Roman"/>
          <w:color w:val="000000"/>
          <w:kern w:val="0"/>
          <w:sz w:val="20"/>
          <w:szCs w:val="20"/>
          <w:lang w:bidi="ar"/>
        </w:rPr>
        <w:t>k held by the Company before the VMware Spin-off.</w:t>
      </w:r>
    </w:p>
    <w:p w14:paraId="59E4AB4D" w14:textId="77777777" w:rsidR="00D7560A" w:rsidRDefault="001E3CAB">
      <w:pPr>
        <w:widowControl/>
        <w:ind w:left="360" w:hanging="360"/>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AB4E"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AB4F"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48</w:t>
      </w:r>
    </w:p>
    <w:p w14:paraId="59E4AB50"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AB51" w14:textId="77777777" w:rsidR="00D7560A" w:rsidRDefault="001E3CAB">
      <w:pPr>
        <w:widowControl/>
        <w:jc w:val="center"/>
      </w:pPr>
      <w:r>
        <w:rPr>
          <w:rFonts w:ascii="宋体" w:eastAsia="宋体" w:hAnsi="宋体" w:cs="宋体"/>
          <w:kern w:val="0"/>
          <w:sz w:val="24"/>
        </w:rPr>
        <w:pict w14:anchorId="59E4C7FB">
          <v:rect id="_x0000_i1072" style="width:6in;height:1.5pt" o:hralign="center" o:hrstd="t" o:hr="t" fillcolor="#a0a0a0" stroked="f"/>
        </w:pict>
      </w:r>
    </w:p>
    <w:p w14:paraId="59E4AB52" w14:textId="77777777" w:rsidR="00D7560A" w:rsidRDefault="001E3CAB">
      <w:pPr>
        <w:widowControl/>
        <w:jc w:val="left"/>
        <w:rPr>
          <w:rFonts w:ascii="宋体" w:eastAsia="宋体" w:hAnsi="宋体" w:cs="宋体"/>
          <w:kern w:val="0"/>
          <w:sz w:val="24"/>
        </w:rPr>
      </w:pPr>
      <w:hyperlink w:anchor="if933dd1d5d004d2495dd7029e3ecad00_13" w:history="1">
        <w:r>
          <w:rPr>
            <w:rStyle w:val="a4"/>
            <w:rFonts w:ascii="Times New Roman" w:eastAsia="宋体" w:hAnsi="Times New Roman" w:cs="Times New Roman"/>
            <w:sz w:val="20"/>
            <w:szCs w:val="20"/>
          </w:rPr>
          <w:t>Table of Contents</w:t>
        </w:r>
      </w:hyperlink>
    </w:p>
    <w:p w14:paraId="59E4AB53"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DELL TECHNOLOGIES INC.</w:t>
      </w:r>
    </w:p>
    <w:p w14:paraId="59E4AB54"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NOTES TO THE CONDENSED CONSOLIDATED FINANCIAL STATEMENTS (Continued)</w:t>
      </w:r>
    </w:p>
    <w:p w14:paraId="59E4AB55"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(unaudited)</w:t>
      </w:r>
    </w:p>
    <w:p w14:paraId="59E4AB56"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AB57"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 xml:space="preserve">NOTE 16 — RELATED PARTY TRANSACTIONS </w:t>
      </w:r>
    </w:p>
    <w:p w14:paraId="59E4AB58"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AB59"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VMware is considered to be a related party of the Company as a result of Michael Dell’s ownership interest in both Dell Technologies and VMware as well as Mr. Dell’s continued service as Chairman and Chief Executive </w:t>
      </w:r>
      <w:r>
        <w:rPr>
          <w:rFonts w:ascii="Times New Roman" w:eastAsia="宋体" w:hAnsi="Times New Roman" w:cs="Times New Roman"/>
          <w:color w:val="000000"/>
          <w:kern w:val="0"/>
          <w:sz w:val="20"/>
          <w:szCs w:val="20"/>
          <w:lang w:bidi="ar"/>
        </w:rPr>
        <w:t>Officer of Dell Technologies and as Chairman of the Board of VMware, Inc. See Note 1 and Note 2 of the Notes to the Condensed Consolidated Financial Statements for more information about the VMware Spin-off.</w:t>
      </w:r>
    </w:p>
    <w:p w14:paraId="59E4AB5A"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AB5B"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The information provided below </w:t>
      </w:r>
      <w:r>
        <w:rPr>
          <w:rFonts w:ascii="Times New Roman" w:eastAsia="宋体" w:hAnsi="Times New Roman" w:cs="Times New Roman"/>
          <w:color w:val="000000"/>
          <w:kern w:val="0"/>
          <w:sz w:val="20"/>
          <w:szCs w:val="20"/>
          <w:lang w:bidi="ar"/>
        </w:rPr>
        <w:t>includes a summary of transactions with VMware, Inc. and with its consolidated subsidiaries (collectively, “VMware”). Transactions with related parties other than VMware during the periods presented were immaterial, individually and in aggregate.</w:t>
      </w:r>
    </w:p>
    <w:p w14:paraId="59E4AB5C"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AB5D"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Transac</w:t>
      </w:r>
      <w:r>
        <w:rPr>
          <w:rFonts w:ascii="Times New Roman" w:eastAsia="宋体" w:hAnsi="Times New Roman" w:cs="Times New Roman"/>
          <w:b/>
          <w:bCs/>
          <w:color w:val="000000"/>
          <w:kern w:val="0"/>
          <w:sz w:val="20"/>
          <w:szCs w:val="20"/>
          <w:lang w:bidi="ar"/>
        </w:rPr>
        <w:t>tions with VMware</w:t>
      </w:r>
    </w:p>
    <w:p w14:paraId="59E4AB5E"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AB5F"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Dell Technologies and VMware engage in the following ongoing related party transactions:</w:t>
      </w:r>
    </w:p>
    <w:p w14:paraId="59E4AB60"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AB61" w14:textId="77777777" w:rsidR="00D7560A" w:rsidRDefault="001E3CAB">
      <w:pPr>
        <w:widowControl/>
        <w:ind w:left="360" w:hanging="36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•Pursuant to original equipment manufacturer and reseller arrangements, Dell Technologies integrates or bundles VMware’s products and services wi</w:t>
      </w:r>
      <w:r>
        <w:rPr>
          <w:rFonts w:ascii="Times New Roman" w:eastAsia="宋体" w:hAnsi="Times New Roman" w:cs="Times New Roman"/>
          <w:color w:val="000000"/>
          <w:kern w:val="0"/>
          <w:sz w:val="20"/>
          <w:szCs w:val="20"/>
          <w:lang w:bidi="ar"/>
        </w:rPr>
        <w:t xml:space="preserve">th Dell Technologies’ products and sells them to end-users. Dell Technologies also acts as a distributor, purchasing VMware’s standalone products and services for resale to end-user customers. Where applicable, costs under these arrangements are presented </w:t>
      </w:r>
      <w:r>
        <w:rPr>
          <w:rFonts w:ascii="Times New Roman" w:eastAsia="宋体" w:hAnsi="Times New Roman" w:cs="Times New Roman"/>
          <w:color w:val="000000"/>
          <w:kern w:val="0"/>
          <w:sz w:val="20"/>
          <w:szCs w:val="20"/>
          <w:lang w:bidi="ar"/>
        </w:rPr>
        <w:t xml:space="preserve">net of rebates received by Dell Technologies. </w:t>
      </w:r>
    </w:p>
    <w:p w14:paraId="59E4AB62"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AB63" w14:textId="77777777" w:rsidR="00D7560A" w:rsidRDefault="001E3CAB">
      <w:pPr>
        <w:widowControl/>
        <w:ind w:left="360" w:hanging="360"/>
        <w:jc w:val="left"/>
        <w:rPr>
          <w:rFonts w:ascii="宋体" w:eastAsia="宋体" w:hAnsi="宋体" w:cs="宋体"/>
          <w:kern w:val="0"/>
          <w:sz w:val="24"/>
        </w:rPr>
      </w:pPr>
      <w:r>
        <w:rPr>
          <w:rFonts w:ascii="Times New Roman" w:eastAsia="宋体" w:hAnsi="Times New Roman" w:cs="Times New Roman"/>
          <w:i/>
          <w:iCs/>
          <w:color w:val="000000"/>
          <w:kern w:val="0"/>
          <w:sz w:val="20"/>
          <w:szCs w:val="20"/>
          <w:lang w:bidi="ar"/>
        </w:rPr>
        <w:t>•</w:t>
      </w:r>
      <w:r>
        <w:rPr>
          <w:rFonts w:ascii="Times New Roman" w:eastAsia="宋体" w:hAnsi="Times New Roman" w:cs="Times New Roman"/>
          <w:color w:val="000000"/>
          <w:kern w:val="0"/>
          <w:sz w:val="20"/>
          <w:szCs w:val="20"/>
          <w:lang w:bidi="ar"/>
        </w:rPr>
        <w:t>Dell Technologies procures products and services from VMware for its internal use. For the three and six months ended July 29, 2022 and July 30, 2021, costs incurred associated with products and services pu</w:t>
      </w:r>
      <w:r>
        <w:rPr>
          <w:rFonts w:ascii="Times New Roman" w:eastAsia="宋体" w:hAnsi="Times New Roman" w:cs="Times New Roman"/>
          <w:color w:val="000000"/>
          <w:kern w:val="0"/>
          <w:sz w:val="20"/>
          <w:szCs w:val="20"/>
          <w:lang w:bidi="ar"/>
        </w:rPr>
        <w:t>rchased from VMware for internal use were immaterial.</w:t>
      </w:r>
    </w:p>
    <w:p w14:paraId="59E4AB64"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AB65" w14:textId="77777777" w:rsidR="00D7560A" w:rsidRDefault="001E3CAB">
      <w:pPr>
        <w:widowControl/>
        <w:ind w:left="360" w:hanging="360"/>
        <w:jc w:val="left"/>
        <w:rPr>
          <w:rFonts w:ascii="宋体" w:eastAsia="宋体" w:hAnsi="宋体" w:cs="宋体"/>
          <w:kern w:val="0"/>
          <w:sz w:val="24"/>
        </w:rPr>
      </w:pPr>
      <w:r>
        <w:rPr>
          <w:rFonts w:ascii="Times New Roman" w:eastAsia="宋体" w:hAnsi="Times New Roman" w:cs="Times New Roman"/>
          <w:i/>
          <w:iCs/>
          <w:color w:val="000000"/>
          <w:kern w:val="0"/>
          <w:sz w:val="20"/>
          <w:szCs w:val="20"/>
          <w:lang w:bidi="ar"/>
        </w:rPr>
        <w:t>•</w:t>
      </w:r>
      <w:r>
        <w:rPr>
          <w:rFonts w:ascii="Times New Roman" w:eastAsia="宋体" w:hAnsi="Times New Roman" w:cs="Times New Roman"/>
          <w:color w:val="000000"/>
          <w:kern w:val="0"/>
          <w:sz w:val="20"/>
          <w:szCs w:val="20"/>
          <w:lang w:bidi="ar"/>
        </w:rPr>
        <w:t>Dell Technologies sells and leases products and sells services to VMware. For the three and six months ended July 29, 2022 and July 30, 2021, revenue recognized from sales of services to VMware was i</w:t>
      </w:r>
      <w:r>
        <w:rPr>
          <w:rFonts w:ascii="Times New Roman" w:eastAsia="宋体" w:hAnsi="Times New Roman" w:cs="Times New Roman"/>
          <w:color w:val="000000"/>
          <w:kern w:val="0"/>
          <w:sz w:val="20"/>
          <w:szCs w:val="20"/>
          <w:lang w:bidi="ar"/>
        </w:rPr>
        <w:t>mmaterial.</w:t>
      </w:r>
    </w:p>
    <w:p w14:paraId="59E4AB66"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AB67" w14:textId="77777777" w:rsidR="00D7560A" w:rsidRDefault="001E3CAB">
      <w:pPr>
        <w:widowControl/>
        <w:ind w:left="360" w:hanging="360"/>
        <w:jc w:val="left"/>
        <w:rPr>
          <w:rFonts w:ascii="宋体" w:eastAsia="宋体" w:hAnsi="宋体" w:cs="宋体"/>
          <w:kern w:val="0"/>
          <w:sz w:val="24"/>
        </w:rPr>
      </w:pPr>
      <w:r>
        <w:rPr>
          <w:rFonts w:ascii="Times New Roman" w:eastAsia="宋体" w:hAnsi="Times New Roman" w:cs="Times New Roman"/>
          <w:i/>
          <w:iCs/>
          <w:color w:val="000000"/>
          <w:kern w:val="0"/>
          <w:sz w:val="20"/>
          <w:szCs w:val="20"/>
          <w:lang w:bidi="ar"/>
        </w:rPr>
        <w:t>•</w:t>
      </w:r>
      <w:r>
        <w:rPr>
          <w:rFonts w:ascii="Times New Roman" w:eastAsia="宋体" w:hAnsi="Times New Roman" w:cs="Times New Roman"/>
          <w:color w:val="000000"/>
          <w:kern w:val="0"/>
          <w:sz w:val="20"/>
          <w:szCs w:val="20"/>
          <w:lang w:bidi="ar"/>
        </w:rPr>
        <w:t>Dell Technologies and VMware also enter into joint marketing, sales, and branding arrangements, for which both parties may incur costs. For the three and six months ended July 29, 2022 and July 30, 2021, consideration received from VMware for</w:t>
      </w:r>
      <w:r>
        <w:rPr>
          <w:rFonts w:ascii="Times New Roman" w:eastAsia="宋体" w:hAnsi="Times New Roman" w:cs="Times New Roman"/>
          <w:color w:val="000000"/>
          <w:kern w:val="0"/>
          <w:sz w:val="20"/>
          <w:szCs w:val="20"/>
          <w:lang w:bidi="ar"/>
        </w:rPr>
        <w:t xml:space="preserve"> joint marketing, sales, and branding arrangements was immaterial.</w:t>
      </w:r>
    </w:p>
    <w:p w14:paraId="59E4AB68"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AB69" w14:textId="77777777" w:rsidR="00D7560A" w:rsidRDefault="001E3CAB">
      <w:pPr>
        <w:widowControl/>
        <w:ind w:left="360" w:hanging="36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•DFS provides financing to certain VMware end users. Upon acceptance of the financing arrangement by both VMware’s end users and DFS, DFS recognizes amounts due to related parties on the </w:t>
      </w:r>
      <w:r>
        <w:rPr>
          <w:rFonts w:ascii="Times New Roman" w:eastAsia="宋体" w:hAnsi="Times New Roman" w:cs="Times New Roman"/>
          <w:color w:val="000000"/>
          <w:kern w:val="0"/>
          <w:sz w:val="20"/>
          <w:szCs w:val="20"/>
          <w:lang w:bidi="ar"/>
        </w:rPr>
        <w:t>Condensed Consolidated Statements of Financial Position. Associated financing fees are recorded to product net revenue on the Condensed Consolidated Statements of Income.</w:t>
      </w:r>
    </w:p>
    <w:p w14:paraId="59E4AB6A"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AB6B" w14:textId="77777777" w:rsidR="00D7560A" w:rsidRDefault="001E3CAB">
      <w:pPr>
        <w:widowControl/>
        <w:ind w:left="360" w:hanging="36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•Dell Technologies and VMware enter into agreements to collaborate on technology pr</w:t>
      </w:r>
      <w:r>
        <w:rPr>
          <w:rFonts w:ascii="Times New Roman" w:eastAsia="宋体" w:hAnsi="Times New Roman" w:cs="Times New Roman"/>
          <w:color w:val="000000"/>
          <w:kern w:val="0"/>
          <w:sz w:val="20"/>
          <w:szCs w:val="20"/>
          <w:lang w:bidi="ar"/>
        </w:rPr>
        <w:t>ojects in which one party pays the corresponding party for services or the reimbursement of costs. For the three and six months ended July 29, 2022 and July 30, 2021, collaborative technology projects were immaterial.</w:t>
      </w:r>
    </w:p>
    <w:p w14:paraId="59E4AB6C"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AB6D" w14:textId="77777777" w:rsidR="00D7560A" w:rsidRDefault="001E3CAB">
      <w:pPr>
        <w:widowControl/>
        <w:ind w:left="360" w:hanging="36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•Dell Technologies provides </w:t>
      </w:r>
      <w:r>
        <w:rPr>
          <w:rFonts w:ascii="Times New Roman" w:eastAsia="宋体" w:hAnsi="Times New Roman" w:cs="Times New Roman"/>
          <w:color w:val="000000"/>
          <w:kern w:val="0"/>
          <w:sz w:val="20"/>
          <w:szCs w:val="20"/>
          <w:lang w:bidi="ar"/>
        </w:rPr>
        <w:t>support services and support from Dell Technologies personnel to VMware in certain geographic regions where VMware does not have an established legal entity. These employees are managed by VMware but Dell Technologies incurs the costs for these such servic</w:t>
      </w:r>
      <w:r>
        <w:rPr>
          <w:rFonts w:ascii="Times New Roman" w:eastAsia="宋体" w:hAnsi="Times New Roman" w:cs="Times New Roman"/>
          <w:color w:val="000000"/>
          <w:kern w:val="0"/>
          <w:sz w:val="20"/>
          <w:szCs w:val="20"/>
          <w:lang w:bidi="ar"/>
        </w:rPr>
        <w:t>es. The costs incurred by Dell Technologies on VMware’s behalf to these employees are charged to VMware. For the three and six months ended July 29, 2022 and July 30, 2021, costs associated with such seconded employees were immaterial.</w:t>
      </w:r>
    </w:p>
    <w:p w14:paraId="59E4AB6E"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AB6F" w14:textId="77777777" w:rsidR="00D7560A" w:rsidRDefault="001E3CAB">
      <w:pPr>
        <w:widowControl/>
        <w:ind w:left="360" w:hanging="36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•Dell Technologies and VMware entered into a transition services agreement in connection with the VMware Spin-off to provide various support services including investment advisory services, certain support services from Dell Technologies personnel, and oth</w:t>
      </w:r>
      <w:r>
        <w:rPr>
          <w:rFonts w:ascii="Times New Roman" w:eastAsia="宋体" w:hAnsi="Times New Roman" w:cs="Times New Roman"/>
          <w:color w:val="000000"/>
          <w:kern w:val="0"/>
          <w:sz w:val="20"/>
          <w:szCs w:val="20"/>
          <w:lang w:bidi="ar"/>
        </w:rPr>
        <w:t xml:space="preserve">er transitional services. Costs associated with this agreement were immaterial for the three and six months ended July 29, 2022. </w:t>
      </w:r>
    </w:p>
    <w:p w14:paraId="59E4AB70"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AB71"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AB72"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49</w:t>
      </w:r>
    </w:p>
    <w:p w14:paraId="59E4AB73"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AB74" w14:textId="77777777" w:rsidR="00D7560A" w:rsidRDefault="001E3CAB">
      <w:pPr>
        <w:widowControl/>
        <w:jc w:val="center"/>
      </w:pPr>
      <w:r>
        <w:rPr>
          <w:rFonts w:ascii="宋体" w:eastAsia="宋体" w:hAnsi="宋体" w:cs="宋体"/>
          <w:kern w:val="0"/>
          <w:sz w:val="24"/>
        </w:rPr>
        <w:pict w14:anchorId="59E4C7FC">
          <v:rect id="_x0000_i1073" style="width:6in;height:1.5pt" o:hralign="center" o:hrstd="t" o:hr="t" fillcolor="#a0a0a0" stroked="f"/>
        </w:pict>
      </w:r>
    </w:p>
    <w:p w14:paraId="59E4AB75" w14:textId="77777777" w:rsidR="00D7560A" w:rsidRDefault="001E3CAB">
      <w:pPr>
        <w:widowControl/>
        <w:jc w:val="left"/>
        <w:rPr>
          <w:rFonts w:ascii="宋体" w:eastAsia="宋体" w:hAnsi="宋体" w:cs="宋体"/>
          <w:kern w:val="0"/>
          <w:sz w:val="24"/>
        </w:rPr>
      </w:pPr>
      <w:hyperlink w:anchor="if933dd1d5d004d2495dd7029e3ecad00_13" w:history="1">
        <w:r>
          <w:rPr>
            <w:rStyle w:val="a4"/>
            <w:rFonts w:ascii="Times New Roman" w:eastAsia="宋体" w:hAnsi="Times New Roman" w:cs="Times New Roman"/>
            <w:sz w:val="20"/>
            <w:szCs w:val="20"/>
          </w:rPr>
          <w:t>Table of Contents</w:t>
        </w:r>
      </w:hyperlink>
    </w:p>
    <w:p w14:paraId="59E4AB76"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DELL TECHNOLOGIES INC.</w:t>
      </w:r>
    </w:p>
    <w:p w14:paraId="59E4AB77"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NOTES TO THE CO</w:t>
      </w:r>
      <w:r>
        <w:rPr>
          <w:rFonts w:ascii="Times New Roman" w:eastAsia="宋体" w:hAnsi="Times New Roman" w:cs="Times New Roman"/>
          <w:b/>
          <w:bCs/>
          <w:color w:val="000000"/>
          <w:kern w:val="0"/>
          <w:sz w:val="20"/>
          <w:szCs w:val="20"/>
          <w:lang w:bidi="ar"/>
        </w:rPr>
        <w:t>NDENSED CONSOLIDATED FINANCIAL STATEMENTS (Continued)</w:t>
      </w:r>
    </w:p>
    <w:p w14:paraId="59E4AB78"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(unaudited)</w:t>
      </w:r>
    </w:p>
    <w:p w14:paraId="59E4AB79"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AB7A" w14:textId="77777777" w:rsidR="00D7560A" w:rsidRDefault="001E3CAB">
      <w:pPr>
        <w:widowControl/>
        <w:spacing w:after="6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The following table presents information about the impact of Dell Technologies’ related party transactions with VMware on the Condensed Consolidated Statements of Income for the periods indicated: </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7"/>
        <w:gridCol w:w="1900"/>
        <w:gridCol w:w="36"/>
        <w:gridCol w:w="59"/>
        <w:gridCol w:w="1488"/>
        <w:gridCol w:w="36"/>
        <w:gridCol w:w="36"/>
        <w:gridCol w:w="36"/>
        <w:gridCol w:w="36"/>
        <w:gridCol w:w="120"/>
        <w:gridCol w:w="931"/>
        <w:gridCol w:w="36"/>
        <w:gridCol w:w="36"/>
        <w:gridCol w:w="36"/>
        <w:gridCol w:w="36"/>
        <w:gridCol w:w="120"/>
        <w:gridCol w:w="931"/>
        <w:gridCol w:w="36"/>
        <w:gridCol w:w="36"/>
        <w:gridCol w:w="36"/>
        <w:gridCol w:w="36"/>
        <w:gridCol w:w="120"/>
        <w:gridCol w:w="931"/>
        <w:gridCol w:w="36"/>
        <w:gridCol w:w="36"/>
        <w:gridCol w:w="36"/>
        <w:gridCol w:w="36"/>
        <w:gridCol w:w="120"/>
        <w:gridCol w:w="931"/>
        <w:gridCol w:w="36"/>
      </w:tblGrid>
      <w:tr w:rsidR="00D7560A" w14:paraId="59E4AB99" w14:textId="77777777">
        <w:tc>
          <w:tcPr>
            <w:tcW w:w="50" w:type="pct"/>
            <w:tcBorders>
              <w:top w:val="nil"/>
              <w:left w:val="nil"/>
              <w:bottom w:val="nil"/>
              <w:right w:val="nil"/>
            </w:tcBorders>
            <w:shd w:val="clear" w:color="auto" w:fill="auto"/>
            <w:vAlign w:val="bottom"/>
          </w:tcPr>
          <w:p w14:paraId="59E4AB7B" w14:textId="77777777" w:rsidR="00D7560A" w:rsidRDefault="00D7560A">
            <w:pPr>
              <w:widowControl/>
              <w:jc w:val="left"/>
              <w:rPr>
                <w:rFonts w:ascii="Times New Roman" w:eastAsia="宋体" w:hAnsi="宋体" w:cs="宋体"/>
                <w:kern w:val="0"/>
                <w:sz w:val="24"/>
              </w:rPr>
            </w:pPr>
          </w:p>
        </w:tc>
        <w:tc>
          <w:tcPr>
            <w:tcW w:w="1195" w:type="pct"/>
            <w:tcBorders>
              <w:top w:val="nil"/>
              <w:left w:val="nil"/>
              <w:bottom w:val="nil"/>
              <w:right w:val="nil"/>
            </w:tcBorders>
            <w:shd w:val="clear" w:color="auto" w:fill="auto"/>
            <w:vAlign w:val="bottom"/>
          </w:tcPr>
          <w:p w14:paraId="59E4AB7C"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AB7D"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AB7E" w14:textId="77777777" w:rsidR="00D7560A" w:rsidRDefault="00D7560A">
            <w:pPr>
              <w:widowControl/>
              <w:jc w:val="left"/>
              <w:rPr>
                <w:rFonts w:ascii="Times New Roman" w:eastAsia="宋体" w:hAnsi="宋体" w:cs="宋体"/>
                <w:kern w:val="0"/>
                <w:sz w:val="24"/>
              </w:rPr>
            </w:pPr>
          </w:p>
        </w:tc>
        <w:tc>
          <w:tcPr>
            <w:tcW w:w="961" w:type="pct"/>
            <w:tcBorders>
              <w:top w:val="nil"/>
              <w:left w:val="nil"/>
              <w:bottom w:val="nil"/>
              <w:right w:val="nil"/>
            </w:tcBorders>
            <w:shd w:val="clear" w:color="auto" w:fill="auto"/>
            <w:vAlign w:val="bottom"/>
          </w:tcPr>
          <w:p w14:paraId="59E4AB7F"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AB80"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AB81" w14:textId="77777777" w:rsidR="00D7560A" w:rsidRDefault="00D7560A">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59E4AB82"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AB83"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AB84" w14:textId="77777777" w:rsidR="00D7560A" w:rsidRDefault="00D7560A">
            <w:pPr>
              <w:widowControl/>
              <w:jc w:val="left"/>
              <w:rPr>
                <w:rFonts w:ascii="Times New Roman" w:eastAsia="宋体" w:hAnsi="宋体" w:cs="宋体"/>
                <w:kern w:val="0"/>
                <w:sz w:val="24"/>
              </w:rPr>
            </w:pPr>
          </w:p>
        </w:tc>
        <w:tc>
          <w:tcPr>
            <w:tcW w:w="599" w:type="pct"/>
            <w:tcBorders>
              <w:top w:val="nil"/>
              <w:left w:val="nil"/>
              <w:bottom w:val="nil"/>
              <w:right w:val="nil"/>
            </w:tcBorders>
            <w:shd w:val="clear" w:color="auto" w:fill="auto"/>
            <w:vAlign w:val="bottom"/>
          </w:tcPr>
          <w:p w14:paraId="59E4AB85"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AB86"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AB87" w14:textId="77777777" w:rsidR="00D7560A" w:rsidRDefault="00D7560A">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59E4AB88"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AB89"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AB8A" w14:textId="77777777" w:rsidR="00D7560A" w:rsidRDefault="00D7560A">
            <w:pPr>
              <w:widowControl/>
              <w:jc w:val="left"/>
              <w:rPr>
                <w:rFonts w:ascii="Times New Roman" w:eastAsia="宋体" w:hAnsi="宋体" w:cs="宋体"/>
                <w:kern w:val="0"/>
                <w:sz w:val="24"/>
              </w:rPr>
            </w:pPr>
          </w:p>
        </w:tc>
        <w:tc>
          <w:tcPr>
            <w:tcW w:w="599" w:type="pct"/>
            <w:tcBorders>
              <w:top w:val="nil"/>
              <w:left w:val="nil"/>
              <w:bottom w:val="nil"/>
              <w:right w:val="nil"/>
            </w:tcBorders>
            <w:shd w:val="clear" w:color="auto" w:fill="auto"/>
            <w:vAlign w:val="bottom"/>
          </w:tcPr>
          <w:p w14:paraId="59E4AB8B"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AB8C"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AB8D" w14:textId="77777777" w:rsidR="00D7560A" w:rsidRDefault="00D7560A">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59E4AB8E"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AB8F"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AB90" w14:textId="77777777" w:rsidR="00D7560A" w:rsidRDefault="00D7560A">
            <w:pPr>
              <w:widowControl/>
              <w:jc w:val="left"/>
              <w:rPr>
                <w:rFonts w:ascii="Times New Roman" w:eastAsia="宋体" w:hAnsi="宋体" w:cs="宋体"/>
                <w:kern w:val="0"/>
                <w:sz w:val="24"/>
              </w:rPr>
            </w:pPr>
          </w:p>
        </w:tc>
        <w:tc>
          <w:tcPr>
            <w:tcW w:w="599" w:type="pct"/>
            <w:tcBorders>
              <w:top w:val="nil"/>
              <w:left w:val="nil"/>
              <w:bottom w:val="nil"/>
              <w:right w:val="nil"/>
            </w:tcBorders>
            <w:shd w:val="clear" w:color="auto" w:fill="auto"/>
            <w:vAlign w:val="bottom"/>
          </w:tcPr>
          <w:p w14:paraId="59E4AB91"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AB92"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AB93" w14:textId="77777777" w:rsidR="00D7560A" w:rsidRDefault="00D7560A">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59E4AB94"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AB95"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AB96" w14:textId="77777777" w:rsidR="00D7560A" w:rsidRDefault="00D7560A">
            <w:pPr>
              <w:widowControl/>
              <w:jc w:val="left"/>
              <w:rPr>
                <w:rFonts w:ascii="Times New Roman" w:eastAsia="宋体" w:hAnsi="宋体" w:cs="宋体"/>
                <w:kern w:val="0"/>
                <w:sz w:val="24"/>
              </w:rPr>
            </w:pPr>
          </w:p>
        </w:tc>
        <w:tc>
          <w:tcPr>
            <w:tcW w:w="599" w:type="pct"/>
            <w:tcBorders>
              <w:top w:val="nil"/>
              <w:left w:val="nil"/>
              <w:bottom w:val="nil"/>
              <w:right w:val="nil"/>
            </w:tcBorders>
            <w:shd w:val="clear" w:color="auto" w:fill="auto"/>
            <w:vAlign w:val="bottom"/>
          </w:tcPr>
          <w:p w14:paraId="59E4AB97"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AB98" w14:textId="77777777" w:rsidR="00D7560A" w:rsidRDefault="00D7560A">
            <w:pPr>
              <w:widowControl/>
              <w:jc w:val="left"/>
              <w:rPr>
                <w:rFonts w:ascii="Times New Roman" w:eastAsia="宋体" w:hAnsi="宋体" w:cs="宋体"/>
                <w:kern w:val="0"/>
                <w:sz w:val="24"/>
              </w:rPr>
            </w:pPr>
          </w:p>
        </w:tc>
      </w:tr>
      <w:tr w:rsidR="00D7560A" w14:paraId="59E4ABA0"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AB9A"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AB9B"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AB9C" w14:textId="77777777" w:rsidR="00D7560A" w:rsidRDefault="00D7560A">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59E4AB9D"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Three Months Ended</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AB9E" w14:textId="77777777" w:rsidR="00D7560A" w:rsidRDefault="00D7560A">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59E4AB9F"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Six Months Ended</w:t>
            </w:r>
          </w:p>
        </w:tc>
      </w:tr>
      <w:tr w:rsidR="00D7560A" w14:paraId="59E4ABAB"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ABA1"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9E4ABA2"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Classification</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ABA3"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59E4ABA4"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29, 2022</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59E4ABA5"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59E4ABA6"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30, 2021</w:t>
            </w: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59E4ABA7"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59E4ABA8"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29, 2022</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59E4ABA9"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59E4ABAA"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30, 2021</w:t>
            </w:r>
          </w:p>
        </w:tc>
      </w:tr>
      <w:tr w:rsidR="00D7560A" w14:paraId="59E4ABB0"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ABAC"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59E4ABAD"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ABAE" w14:textId="77777777" w:rsidR="00D7560A" w:rsidRDefault="00D7560A">
            <w:pPr>
              <w:widowControl/>
              <w:jc w:val="left"/>
              <w:rPr>
                <w:rFonts w:ascii="Times New Roman" w:eastAsia="宋体" w:hAnsi="宋体" w:cs="宋体"/>
                <w:kern w:val="0"/>
                <w:sz w:val="24"/>
              </w:rPr>
            </w:pPr>
          </w:p>
        </w:tc>
        <w:tc>
          <w:tcPr>
            <w:tcW w:w="0" w:type="auto"/>
            <w:gridSpan w:val="21"/>
            <w:tcBorders>
              <w:top w:val="single" w:sz="8" w:space="0" w:color="000000"/>
              <w:left w:val="nil"/>
              <w:bottom w:val="nil"/>
              <w:right w:val="nil"/>
            </w:tcBorders>
            <w:shd w:val="clear" w:color="auto" w:fill="auto"/>
            <w:tcMar>
              <w:top w:w="40" w:type="dxa"/>
              <w:left w:w="20" w:type="dxa"/>
              <w:bottom w:w="40" w:type="dxa"/>
              <w:right w:w="20" w:type="dxa"/>
            </w:tcMar>
            <w:vAlign w:val="bottom"/>
          </w:tcPr>
          <w:p w14:paraId="59E4ABAF"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(in millions)</w:t>
            </w:r>
          </w:p>
        </w:tc>
      </w:tr>
      <w:tr w:rsidR="00D7560A" w14:paraId="59E4ABC3"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9E4ABB1"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Sales and leases of products to VMware</w:t>
            </w: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9E4ABB2"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Net revenue - products</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BB3"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9E4ABB4"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9E4ABB5"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ABB6"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BB7"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9E4ABB8"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9E4ABB9"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ABBA"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BBB"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9E4ABBC"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9E4ABBD"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81 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ABBE"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BBF"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9E4ABC0"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9E4ABC1"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ABC2" w14:textId="77777777" w:rsidR="00D7560A" w:rsidRDefault="00D7560A">
            <w:pPr>
              <w:widowControl/>
              <w:jc w:val="right"/>
              <w:rPr>
                <w:rFonts w:ascii="Times New Roman" w:eastAsia="宋体" w:hAnsi="宋体" w:cs="宋体"/>
                <w:kern w:val="0"/>
                <w:sz w:val="24"/>
              </w:rPr>
            </w:pPr>
          </w:p>
        </w:tc>
      </w:tr>
      <w:tr w:rsidR="00D7560A" w14:paraId="59E4ABCE" w14:textId="77777777">
        <w:trPr>
          <w:hidden/>
        </w:trPr>
        <w:tc>
          <w:tcPr>
            <w:tcW w:w="0" w:type="auto"/>
            <w:gridSpan w:val="3"/>
            <w:tcBorders>
              <w:top w:val="nil"/>
              <w:left w:val="nil"/>
              <w:bottom w:val="nil"/>
              <w:right w:val="nil"/>
            </w:tcBorders>
            <w:shd w:val="clear" w:color="auto" w:fill="auto"/>
            <w:vAlign w:val="bottom"/>
          </w:tcPr>
          <w:p w14:paraId="59E4ABC4"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BC5"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BC6"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BC7"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BC8"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BC9"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BCA"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BCB"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BCC"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BCD" w14:textId="77777777" w:rsidR="00D7560A" w:rsidRDefault="00D7560A">
            <w:pPr>
              <w:widowControl/>
              <w:jc w:val="left"/>
              <w:rPr>
                <w:rFonts w:ascii="Times New Roman" w:eastAsia="宋体" w:hAnsi="宋体" w:cs="宋体"/>
                <w:vanish/>
                <w:kern w:val="0"/>
                <w:sz w:val="24"/>
              </w:rPr>
            </w:pPr>
          </w:p>
        </w:tc>
      </w:tr>
      <w:tr w:rsidR="00D7560A" w14:paraId="59E4ABE1"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59E4ABCF"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Purchase of VMware products for resale</w:t>
            </w: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59E4ABD0"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Cost of net revenue - products</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BD1"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9E4ABD2"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9E4ABD3"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426 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ABD4"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BD5"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9E4ABD6"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9E4ABD7"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387 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ABD8"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BD9"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9E4ABDA"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9E4ABDB"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681 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ABDC"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BDD"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9E4ABDE"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9E4ABDF"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706 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ABE0" w14:textId="77777777" w:rsidR="00D7560A" w:rsidRDefault="00D7560A">
            <w:pPr>
              <w:widowControl/>
              <w:jc w:val="right"/>
              <w:rPr>
                <w:rFonts w:ascii="Times New Roman" w:eastAsia="宋体" w:hAnsi="宋体" w:cs="宋体"/>
                <w:kern w:val="0"/>
                <w:sz w:val="24"/>
              </w:rPr>
            </w:pPr>
          </w:p>
        </w:tc>
      </w:tr>
      <w:tr w:rsidR="00D7560A" w14:paraId="59E4ABF4"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9E4ABE2"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Purchase of VMware services for resale</w:t>
            </w: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9E4ABE3"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Cost of net revenue - services</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BE4"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9E4ABE5"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9E4ABE6"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762 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ABE7"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BE8"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9E4ABE9"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9E4ABEA"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616 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ABEB"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BEC"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9E4ABED"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9E4ABEE"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1,471 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ABEF"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BF0"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9E4ABF1"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9E4ABF2"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1,194 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ABF3" w14:textId="77777777" w:rsidR="00D7560A" w:rsidRDefault="00D7560A">
            <w:pPr>
              <w:widowControl/>
              <w:jc w:val="right"/>
              <w:rPr>
                <w:rFonts w:ascii="Times New Roman" w:eastAsia="宋体" w:hAnsi="宋体" w:cs="宋体"/>
                <w:kern w:val="0"/>
                <w:sz w:val="24"/>
              </w:rPr>
            </w:pPr>
          </w:p>
        </w:tc>
      </w:tr>
      <w:tr w:rsidR="00D7560A" w14:paraId="59E4ABFF" w14:textId="77777777">
        <w:trPr>
          <w:hidden/>
        </w:trPr>
        <w:tc>
          <w:tcPr>
            <w:tcW w:w="0" w:type="auto"/>
            <w:gridSpan w:val="3"/>
            <w:tcBorders>
              <w:top w:val="nil"/>
              <w:left w:val="nil"/>
              <w:bottom w:val="nil"/>
              <w:right w:val="nil"/>
            </w:tcBorders>
            <w:shd w:val="clear" w:color="auto" w:fill="auto"/>
            <w:vAlign w:val="bottom"/>
          </w:tcPr>
          <w:p w14:paraId="59E4ABF5"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BF6"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BF7"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BF8"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BF9"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BFA"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BFB"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BFC"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BFD"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BFE" w14:textId="77777777" w:rsidR="00D7560A" w:rsidRDefault="00D7560A">
            <w:pPr>
              <w:widowControl/>
              <w:jc w:val="left"/>
              <w:rPr>
                <w:rFonts w:ascii="Times New Roman" w:eastAsia="宋体" w:hAnsi="宋体" w:cs="宋体"/>
                <w:vanish/>
                <w:kern w:val="0"/>
                <w:sz w:val="24"/>
              </w:rPr>
            </w:pPr>
          </w:p>
        </w:tc>
      </w:tr>
      <w:tr w:rsidR="00D7560A" w14:paraId="59E4AC0A" w14:textId="77777777">
        <w:trPr>
          <w:hidden/>
        </w:trPr>
        <w:tc>
          <w:tcPr>
            <w:tcW w:w="0" w:type="auto"/>
            <w:gridSpan w:val="3"/>
            <w:tcBorders>
              <w:top w:val="nil"/>
              <w:left w:val="nil"/>
              <w:bottom w:val="nil"/>
              <w:right w:val="nil"/>
            </w:tcBorders>
            <w:shd w:val="clear" w:color="auto" w:fill="auto"/>
            <w:vAlign w:val="bottom"/>
          </w:tcPr>
          <w:p w14:paraId="59E4AC00"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C01"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C02"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C03"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C04"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C05"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C06"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C07"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C08"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C09" w14:textId="77777777" w:rsidR="00D7560A" w:rsidRDefault="00D7560A">
            <w:pPr>
              <w:widowControl/>
              <w:jc w:val="left"/>
              <w:rPr>
                <w:rFonts w:ascii="Times New Roman" w:eastAsia="宋体" w:hAnsi="宋体" w:cs="宋体"/>
                <w:vanish/>
                <w:kern w:val="0"/>
                <w:sz w:val="24"/>
              </w:rPr>
            </w:pPr>
          </w:p>
        </w:tc>
      </w:tr>
    </w:tbl>
    <w:p w14:paraId="59E4AC0B"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AC0C"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The following table presents information about the impact of Dell Technologies’ related party transactions with VMware on the Condensed Consolidated Statements of Financial Position for the periods indicated: </w:t>
      </w:r>
    </w:p>
    <w:p w14:paraId="59E4AC0D"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40"/>
        <w:gridCol w:w="3596"/>
        <w:gridCol w:w="36"/>
        <w:gridCol w:w="60"/>
        <w:gridCol w:w="1530"/>
        <w:gridCol w:w="36"/>
        <w:gridCol w:w="36"/>
        <w:gridCol w:w="36"/>
        <w:gridCol w:w="36"/>
        <w:gridCol w:w="120"/>
        <w:gridCol w:w="1272"/>
        <w:gridCol w:w="36"/>
        <w:gridCol w:w="36"/>
        <w:gridCol w:w="36"/>
        <w:gridCol w:w="36"/>
        <w:gridCol w:w="121"/>
        <w:gridCol w:w="1237"/>
        <w:gridCol w:w="36"/>
      </w:tblGrid>
      <w:tr w:rsidR="00D7560A" w14:paraId="59E4AC20" w14:textId="77777777">
        <w:tc>
          <w:tcPr>
            <w:tcW w:w="50" w:type="pct"/>
            <w:tcBorders>
              <w:top w:val="nil"/>
              <w:left w:val="nil"/>
              <w:bottom w:val="nil"/>
              <w:right w:val="nil"/>
            </w:tcBorders>
            <w:shd w:val="clear" w:color="auto" w:fill="auto"/>
            <w:vAlign w:val="bottom"/>
          </w:tcPr>
          <w:p w14:paraId="59E4AC0E" w14:textId="77777777" w:rsidR="00D7560A" w:rsidRDefault="00D7560A">
            <w:pPr>
              <w:widowControl/>
              <w:jc w:val="left"/>
              <w:rPr>
                <w:rFonts w:ascii="Times New Roman" w:eastAsia="宋体" w:hAnsi="宋体" w:cs="宋体"/>
                <w:kern w:val="0"/>
                <w:sz w:val="24"/>
              </w:rPr>
            </w:pPr>
          </w:p>
        </w:tc>
        <w:tc>
          <w:tcPr>
            <w:tcW w:w="2183" w:type="pct"/>
            <w:tcBorders>
              <w:top w:val="nil"/>
              <w:left w:val="nil"/>
              <w:bottom w:val="nil"/>
              <w:right w:val="nil"/>
            </w:tcBorders>
            <w:shd w:val="clear" w:color="auto" w:fill="auto"/>
            <w:vAlign w:val="bottom"/>
          </w:tcPr>
          <w:p w14:paraId="59E4AC0F"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AC10"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AC11" w14:textId="77777777" w:rsidR="00D7560A" w:rsidRDefault="00D7560A">
            <w:pPr>
              <w:widowControl/>
              <w:jc w:val="left"/>
              <w:rPr>
                <w:rFonts w:ascii="Times New Roman" w:eastAsia="宋体" w:hAnsi="宋体" w:cs="宋体"/>
                <w:kern w:val="0"/>
                <w:sz w:val="24"/>
              </w:rPr>
            </w:pPr>
          </w:p>
        </w:tc>
        <w:tc>
          <w:tcPr>
            <w:tcW w:w="955" w:type="pct"/>
            <w:tcBorders>
              <w:top w:val="nil"/>
              <w:left w:val="nil"/>
              <w:bottom w:val="nil"/>
              <w:right w:val="nil"/>
            </w:tcBorders>
            <w:shd w:val="clear" w:color="auto" w:fill="auto"/>
            <w:vAlign w:val="bottom"/>
          </w:tcPr>
          <w:p w14:paraId="59E4AC12"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AC13"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AC14" w14:textId="77777777" w:rsidR="00D7560A" w:rsidRDefault="00D7560A">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59E4AC15"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AC16"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AC17" w14:textId="77777777" w:rsidR="00D7560A" w:rsidRDefault="00D7560A">
            <w:pPr>
              <w:widowControl/>
              <w:jc w:val="left"/>
              <w:rPr>
                <w:rFonts w:ascii="Times New Roman" w:eastAsia="宋体" w:hAnsi="宋体" w:cs="宋体"/>
                <w:kern w:val="0"/>
                <w:sz w:val="24"/>
              </w:rPr>
            </w:pPr>
          </w:p>
        </w:tc>
        <w:tc>
          <w:tcPr>
            <w:tcW w:w="788" w:type="pct"/>
            <w:tcBorders>
              <w:top w:val="nil"/>
              <w:left w:val="nil"/>
              <w:bottom w:val="nil"/>
              <w:right w:val="nil"/>
            </w:tcBorders>
            <w:shd w:val="clear" w:color="auto" w:fill="auto"/>
            <w:vAlign w:val="bottom"/>
          </w:tcPr>
          <w:p w14:paraId="59E4AC18"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AC19"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AC1A" w14:textId="77777777" w:rsidR="00D7560A" w:rsidRDefault="00D7560A">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59E4AC1B"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AC1C"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AC1D" w14:textId="77777777" w:rsidR="00D7560A" w:rsidRDefault="00D7560A">
            <w:pPr>
              <w:widowControl/>
              <w:jc w:val="left"/>
              <w:rPr>
                <w:rFonts w:ascii="Times New Roman" w:eastAsia="宋体" w:hAnsi="宋体" w:cs="宋体"/>
                <w:kern w:val="0"/>
                <w:sz w:val="24"/>
              </w:rPr>
            </w:pPr>
          </w:p>
        </w:tc>
        <w:tc>
          <w:tcPr>
            <w:tcW w:w="788" w:type="pct"/>
            <w:tcBorders>
              <w:top w:val="nil"/>
              <w:left w:val="nil"/>
              <w:bottom w:val="nil"/>
              <w:right w:val="nil"/>
            </w:tcBorders>
            <w:shd w:val="clear" w:color="auto" w:fill="auto"/>
            <w:vAlign w:val="bottom"/>
          </w:tcPr>
          <w:p w14:paraId="59E4AC1E"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AC1F" w14:textId="77777777" w:rsidR="00D7560A" w:rsidRDefault="00D7560A">
            <w:pPr>
              <w:widowControl/>
              <w:jc w:val="left"/>
              <w:rPr>
                <w:rFonts w:ascii="Times New Roman" w:eastAsia="宋体" w:hAnsi="宋体" w:cs="宋体"/>
                <w:kern w:val="0"/>
                <w:sz w:val="24"/>
              </w:rPr>
            </w:pPr>
          </w:p>
        </w:tc>
      </w:tr>
      <w:tr w:rsidR="00D7560A" w14:paraId="59E4AC27"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AC21"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9E4AC22"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Classification</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AC23"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9E4AC24"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29, 2022</w:t>
            </w: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59E4AC25"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auto"/>
            <w:tcMar>
              <w:top w:w="40" w:type="dxa"/>
              <w:left w:w="20" w:type="dxa"/>
              <w:bottom w:w="40" w:type="dxa"/>
              <w:right w:w="20" w:type="dxa"/>
            </w:tcMar>
            <w:vAlign w:val="bottom"/>
          </w:tcPr>
          <w:p w14:paraId="59E4AC26"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January 28, 2022</w:t>
            </w:r>
          </w:p>
        </w:tc>
      </w:tr>
      <w:tr w:rsidR="00D7560A" w14:paraId="59E4AC2C"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AC28"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59E4AC29"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AC2A" w14:textId="77777777" w:rsidR="00D7560A" w:rsidRDefault="00D7560A">
            <w:pPr>
              <w:widowControl/>
              <w:jc w:val="left"/>
              <w:rPr>
                <w:rFonts w:ascii="Times New Roman" w:eastAsia="宋体" w:hAnsi="宋体" w:cs="宋体"/>
                <w:kern w:val="0"/>
                <w:sz w:val="24"/>
              </w:rPr>
            </w:pPr>
          </w:p>
        </w:tc>
        <w:tc>
          <w:tcPr>
            <w:tcW w:w="0" w:type="auto"/>
            <w:gridSpan w:val="9"/>
            <w:tcBorders>
              <w:top w:val="single" w:sz="8" w:space="0" w:color="000000"/>
              <w:left w:val="nil"/>
              <w:bottom w:val="nil"/>
              <w:right w:val="nil"/>
            </w:tcBorders>
            <w:shd w:val="clear" w:color="auto" w:fill="auto"/>
            <w:tcMar>
              <w:top w:w="40" w:type="dxa"/>
              <w:left w:w="20" w:type="dxa"/>
              <w:bottom w:w="40" w:type="dxa"/>
              <w:right w:w="20" w:type="dxa"/>
            </w:tcMar>
            <w:vAlign w:val="bottom"/>
          </w:tcPr>
          <w:p w14:paraId="59E4AC2B"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(in millions)</w:t>
            </w:r>
          </w:p>
        </w:tc>
      </w:tr>
      <w:tr w:rsidR="00D7560A" w14:paraId="59E4AC37"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9E4AC2D"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Deferred costs related to VMware products and services for resale</w:t>
            </w: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9E4AC2E"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Other current assets</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C2F"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9E4AC30"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9E4AC31"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2,652 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AC32"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C33"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9E4AC34"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9E4AC35"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2,571 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AC36" w14:textId="77777777" w:rsidR="00D7560A" w:rsidRDefault="00D7560A">
            <w:pPr>
              <w:widowControl/>
              <w:jc w:val="right"/>
              <w:rPr>
                <w:rFonts w:ascii="Times New Roman" w:eastAsia="宋体" w:hAnsi="宋体" w:cs="宋体"/>
                <w:kern w:val="0"/>
                <w:sz w:val="24"/>
              </w:rPr>
            </w:pPr>
          </w:p>
        </w:tc>
      </w:tr>
      <w:tr w:rsidR="00D7560A" w14:paraId="59E4AC42"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59E4AC38"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Deferred costs related to VMware products and services for resale</w:t>
            </w: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59E4AC39"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Other </w:t>
            </w:r>
            <w:r>
              <w:rPr>
                <w:rFonts w:ascii="Times New Roman" w:eastAsia="宋体" w:hAnsi="Times New Roman" w:cs="Times New Roman"/>
                <w:color w:val="000000"/>
                <w:kern w:val="0"/>
                <w:sz w:val="20"/>
                <w:szCs w:val="20"/>
                <w:lang w:bidi="ar"/>
              </w:rPr>
              <w:t>non-current assets</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C3A"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9E4AC3B"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9E4AC3C"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2,166 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AC3D"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C3E"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9E4AC3F"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9E4AC40"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2,311 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AC41" w14:textId="77777777" w:rsidR="00D7560A" w:rsidRDefault="00D7560A">
            <w:pPr>
              <w:widowControl/>
              <w:jc w:val="right"/>
              <w:rPr>
                <w:rFonts w:ascii="Times New Roman" w:eastAsia="宋体" w:hAnsi="宋体" w:cs="宋体"/>
                <w:kern w:val="0"/>
                <w:sz w:val="24"/>
              </w:rPr>
            </w:pPr>
          </w:p>
        </w:tc>
      </w:tr>
      <w:tr w:rsidR="00D7560A" w14:paraId="59E4AC49" w14:textId="77777777">
        <w:trPr>
          <w:hidden/>
        </w:trPr>
        <w:tc>
          <w:tcPr>
            <w:tcW w:w="0" w:type="auto"/>
            <w:gridSpan w:val="3"/>
            <w:tcBorders>
              <w:top w:val="nil"/>
              <w:left w:val="nil"/>
              <w:bottom w:val="nil"/>
              <w:right w:val="nil"/>
            </w:tcBorders>
            <w:shd w:val="clear" w:color="auto" w:fill="auto"/>
            <w:vAlign w:val="bottom"/>
          </w:tcPr>
          <w:p w14:paraId="59E4AC43"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C44"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C45"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C46"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C47"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C48" w14:textId="77777777" w:rsidR="00D7560A" w:rsidRDefault="00D7560A">
            <w:pPr>
              <w:widowControl/>
              <w:jc w:val="left"/>
              <w:rPr>
                <w:rFonts w:ascii="Times New Roman" w:eastAsia="宋体" w:hAnsi="宋体" w:cs="宋体"/>
                <w:vanish/>
                <w:kern w:val="0"/>
                <w:sz w:val="24"/>
              </w:rPr>
            </w:pPr>
          </w:p>
        </w:tc>
      </w:tr>
      <w:tr w:rsidR="00D7560A" w14:paraId="59E4AC50" w14:textId="77777777">
        <w:trPr>
          <w:hidden/>
        </w:trPr>
        <w:tc>
          <w:tcPr>
            <w:tcW w:w="0" w:type="auto"/>
            <w:gridSpan w:val="3"/>
            <w:tcBorders>
              <w:top w:val="nil"/>
              <w:left w:val="nil"/>
              <w:bottom w:val="nil"/>
              <w:right w:val="nil"/>
            </w:tcBorders>
            <w:shd w:val="clear" w:color="auto" w:fill="auto"/>
            <w:vAlign w:val="bottom"/>
          </w:tcPr>
          <w:p w14:paraId="59E4AC4A"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C4B"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C4C"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C4D"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C4E"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C4F" w14:textId="77777777" w:rsidR="00D7560A" w:rsidRDefault="00D7560A">
            <w:pPr>
              <w:widowControl/>
              <w:jc w:val="left"/>
              <w:rPr>
                <w:rFonts w:ascii="Times New Roman" w:eastAsia="宋体" w:hAnsi="宋体" w:cs="宋体"/>
                <w:vanish/>
                <w:kern w:val="0"/>
                <w:sz w:val="24"/>
              </w:rPr>
            </w:pPr>
          </w:p>
        </w:tc>
      </w:tr>
      <w:tr w:rsidR="00D7560A" w14:paraId="59E4AC57" w14:textId="77777777">
        <w:trPr>
          <w:hidden/>
        </w:trPr>
        <w:tc>
          <w:tcPr>
            <w:tcW w:w="0" w:type="auto"/>
            <w:gridSpan w:val="3"/>
            <w:tcBorders>
              <w:top w:val="nil"/>
              <w:left w:val="nil"/>
              <w:bottom w:val="nil"/>
              <w:right w:val="nil"/>
            </w:tcBorders>
            <w:shd w:val="clear" w:color="auto" w:fill="auto"/>
            <w:vAlign w:val="bottom"/>
          </w:tcPr>
          <w:p w14:paraId="59E4AC51"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C52"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C53"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C54"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C55"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C56" w14:textId="77777777" w:rsidR="00D7560A" w:rsidRDefault="00D7560A">
            <w:pPr>
              <w:widowControl/>
              <w:jc w:val="left"/>
              <w:rPr>
                <w:rFonts w:ascii="Times New Roman" w:eastAsia="宋体" w:hAnsi="宋体" w:cs="宋体"/>
                <w:vanish/>
                <w:kern w:val="0"/>
                <w:sz w:val="24"/>
              </w:rPr>
            </w:pPr>
          </w:p>
        </w:tc>
      </w:tr>
    </w:tbl>
    <w:p w14:paraId="59E4AC58"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AC59"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i/>
          <w:iCs/>
          <w:color w:val="000000"/>
          <w:kern w:val="0"/>
          <w:sz w:val="20"/>
          <w:szCs w:val="20"/>
          <w:u w:val="single"/>
          <w:lang w:bidi="ar"/>
        </w:rPr>
        <w:t>Related Party Tax Matters</w:t>
      </w:r>
    </w:p>
    <w:p w14:paraId="59E4AC5A"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AC5B"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i/>
          <w:iCs/>
          <w:color w:val="000000"/>
          <w:kern w:val="0"/>
          <w:sz w:val="20"/>
          <w:szCs w:val="20"/>
          <w:lang w:bidi="ar"/>
        </w:rPr>
        <w:t>Tax Agreements</w:t>
      </w:r>
      <w:r>
        <w:rPr>
          <w:rFonts w:ascii="Times New Roman" w:eastAsia="宋体" w:hAnsi="Times New Roman" w:cs="Times New Roman"/>
          <w:color w:val="000000"/>
          <w:kern w:val="0"/>
          <w:sz w:val="20"/>
          <w:szCs w:val="20"/>
          <w:lang w:bidi="ar"/>
        </w:rPr>
        <w:t xml:space="preserve"> — In connection with the VMware Spin-off and concurrently with the execution of the Separation and Distribution Agreement, effective as of April 14, 2021, Dell Technologies and VMware entered into a Tax Matters Agreement (the “Tax Matters Agreement”) and </w:t>
      </w:r>
      <w:r>
        <w:rPr>
          <w:rFonts w:ascii="Times New Roman" w:eastAsia="宋体" w:hAnsi="Times New Roman" w:cs="Times New Roman"/>
          <w:color w:val="000000"/>
          <w:kern w:val="0"/>
          <w:sz w:val="20"/>
          <w:szCs w:val="20"/>
          <w:lang w:bidi="ar"/>
        </w:rPr>
        <w:t>agreed to terminate the tax sharing agreement as amended on December 30, 2019 (together with the Tax Matters Agreement, the “Tax Agreements”). The Tax Matters Agreement governs Dell Technologies’ and VMware’s respective rights and obligations, both for pre</w:t>
      </w:r>
      <w:r>
        <w:rPr>
          <w:rFonts w:ascii="Times New Roman" w:eastAsia="宋体" w:hAnsi="Times New Roman" w:cs="Times New Roman"/>
          <w:color w:val="000000"/>
          <w:kern w:val="0"/>
          <w:sz w:val="20"/>
          <w:szCs w:val="20"/>
          <w:lang w:bidi="ar"/>
        </w:rPr>
        <w:t>-spin-off periods and post-spin-off periods, regarding income and other taxes, and related matters, including tax liabilities and benefits, attributes, and returns.</w:t>
      </w:r>
    </w:p>
    <w:p w14:paraId="59E4AC5C"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AC5D"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The timing of the tax payments due to and from related parties is governed by the Tax Agr</w:t>
      </w:r>
      <w:r>
        <w:rPr>
          <w:rFonts w:ascii="Times New Roman" w:eastAsia="宋体" w:hAnsi="Times New Roman" w:cs="Times New Roman"/>
          <w:color w:val="000000"/>
          <w:kern w:val="0"/>
          <w:sz w:val="20"/>
          <w:szCs w:val="20"/>
          <w:lang w:bidi="ar"/>
        </w:rPr>
        <w:t>eements. VMware’s portion of the mandatory one-time transition tax on accumulated earnings of foreign subsidiaries (the “Transition Tax”) is governed by a letter agreement between VMware and Dell Technologies entered into on April 1, 2019.</w:t>
      </w:r>
    </w:p>
    <w:p w14:paraId="59E4AC5E"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AC5F"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Net receipts f</w:t>
      </w:r>
      <w:r>
        <w:rPr>
          <w:rFonts w:ascii="Times New Roman" w:eastAsia="宋体" w:hAnsi="Times New Roman" w:cs="Times New Roman"/>
          <w:color w:val="000000"/>
          <w:kern w:val="0"/>
          <w:sz w:val="20"/>
          <w:szCs w:val="20"/>
          <w:lang w:bidi="ar"/>
        </w:rPr>
        <w:t>rom VMware pursuant to the Tax Agreements were immaterial during the three and six months ended July 29, 2022 and July 30, 2021, and primarily relate to VMware’s portion of the Transition Tax, federal income taxes on Dell Technologies’ consolidated tax ret</w:t>
      </w:r>
      <w:r>
        <w:rPr>
          <w:rFonts w:ascii="Times New Roman" w:eastAsia="宋体" w:hAnsi="Times New Roman" w:cs="Times New Roman"/>
          <w:color w:val="000000"/>
          <w:kern w:val="0"/>
          <w:sz w:val="20"/>
          <w:szCs w:val="20"/>
          <w:lang w:bidi="ar"/>
        </w:rPr>
        <w:t>urn, and state tax payments for combined states.</w:t>
      </w:r>
    </w:p>
    <w:p w14:paraId="59E4AC60"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AC61"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As a result of the activity under the Tax Agreements with VMware, amounts due from VMware were $570 million and $621 million as of July 29, 2022 and January 28, 2022, respectively, primarily related to VMw</w:t>
      </w:r>
      <w:r>
        <w:rPr>
          <w:rFonts w:ascii="Times New Roman" w:eastAsia="宋体" w:hAnsi="Times New Roman" w:cs="Times New Roman"/>
          <w:color w:val="000000"/>
          <w:kern w:val="0"/>
          <w:sz w:val="20"/>
          <w:szCs w:val="20"/>
          <w:lang w:bidi="ar"/>
        </w:rPr>
        <w:t>are’s estimated tax obligation resulting from the Transition Tax. The 2017 Tax Cuts and Jobs Act included a deferral election for an eight-year installment payment method on the Transition Tax. Dell Technologies expects VMware to pay the remainder of its T</w:t>
      </w:r>
      <w:r>
        <w:rPr>
          <w:rFonts w:ascii="Times New Roman" w:eastAsia="宋体" w:hAnsi="Times New Roman" w:cs="Times New Roman"/>
          <w:color w:val="000000"/>
          <w:kern w:val="0"/>
          <w:sz w:val="20"/>
          <w:szCs w:val="20"/>
          <w:lang w:bidi="ar"/>
        </w:rPr>
        <w:t>ransition Tax over a period of three years.</w:t>
      </w:r>
    </w:p>
    <w:p w14:paraId="59E4AC62"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AC63"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i/>
          <w:iCs/>
          <w:color w:val="000000"/>
          <w:kern w:val="0"/>
          <w:sz w:val="20"/>
          <w:szCs w:val="20"/>
          <w:lang w:bidi="ar"/>
        </w:rPr>
        <w:t>Indemnification</w:t>
      </w:r>
      <w:r>
        <w:rPr>
          <w:rFonts w:ascii="Times New Roman" w:eastAsia="宋体" w:hAnsi="Times New Roman" w:cs="Times New Roman"/>
          <w:color w:val="000000"/>
          <w:kern w:val="0"/>
          <w:sz w:val="20"/>
          <w:szCs w:val="20"/>
          <w:lang w:bidi="ar"/>
        </w:rPr>
        <w:t xml:space="preserve"> — Upon consummation of the VMware Spin-off, Dell Technologies recorded net income tax indemnification receivables from VMware related to certain income tax liabilities for which Dell Technologies is jointly and severally liable, but for which it is indemn</w:t>
      </w:r>
      <w:r>
        <w:rPr>
          <w:rFonts w:ascii="Times New Roman" w:eastAsia="宋体" w:hAnsi="Times New Roman" w:cs="Times New Roman"/>
          <w:color w:val="000000"/>
          <w:kern w:val="0"/>
          <w:sz w:val="20"/>
          <w:szCs w:val="20"/>
          <w:lang w:bidi="ar"/>
        </w:rPr>
        <w:t xml:space="preserve">ified by VMware under the Tax Matters Agreement. The amounts that VMware may be obligated to pay Dell Technologies could vary depending on the outcome of certain unresolved tax matters, which may not be resolved for several years. The net receivable as of </w:t>
      </w:r>
      <w:r>
        <w:rPr>
          <w:rFonts w:ascii="Times New Roman" w:eastAsia="宋体" w:hAnsi="Times New Roman" w:cs="Times New Roman"/>
          <w:color w:val="000000"/>
          <w:kern w:val="0"/>
          <w:sz w:val="20"/>
          <w:szCs w:val="20"/>
          <w:lang w:bidi="ar"/>
        </w:rPr>
        <w:t>July 29, 2022 and January 28, 2022 was $154 million and$144 million, respectively.</w:t>
      </w:r>
    </w:p>
    <w:p w14:paraId="59E4AC64"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AC65"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AC66"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AC67"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AC68"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50</w:t>
      </w:r>
    </w:p>
    <w:p w14:paraId="59E4AC69"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AC6A" w14:textId="77777777" w:rsidR="00D7560A" w:rsidRDefault="001E3CAB">
      <w:pPr>
        <w:widowControl/>
        <w:jc w:val="center"/>
      </w:pPr>
      <w:r>
        <w:rPr>
          <w:rFonts w:ascii="宋体" w:eastAsia="宋体" w:hAnsi="宋体" w:cs="宋体"/>
          <w:kern w:val="0"/>
          <w:sz w:val="24"/>
        </w:rPr>
        <w:pict w14:anchorId="59E4C7FD">
          <v:rect id="_x0000_i1074" style="width:6in;height:1.5pt" o:hralign="center" o:hrstd="t" o:hr="t" fillcolor="#a0a0a0" stroked="f"/>
        </w:pict>
      </w:r>
    </w:p>
    <w:p w14:paraId="59E4AC6B" w14:textId="77777777" w:rsidR="00D7560A" w:rsidRDefault="001E3CAB">
      <w:pPr>
        <w:widowControl/>
        <w:jc w:val="left"/>
        <w:rPr>
          <w:rFonts w:ascii="宋体" w:eastAsia="宋体" w:hAnsi="宋体" w:cs="宋体"/>
          <w:kern w:val="0"/>
          <w:sz w:val="24"/>
        </w:rPr>
      </w:pPr>
      <w:hyperlink w:anchor="if933dd1d5d004d2495dd7029e3ecad00_13" w:history="1">
        <w:r>
          <w:rPr>
            <w:rStyle w:val="a4"/>
            <w:rFonts w:ascii="Times New Roman" w:eastAsia="宋体" w:hAnsi="Times New Roman" w:cs="Times New Roman"/>
            <w:sz w:val="20"/>
            <w:szCs w:val="20"/>
          </w:rPr>
          <w:t>Table of Contents</w:t>
        </w:r>
      </w:hyperlink>
    </w:p>
    <w:p w14:paraId="59E4AC6C"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DELL TECHNOLOGIES INC.</w:t>
      </w:r>
    </w:p>
    <w:p w14:paraId="59E4AC6D"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 xml:space="preserve">NOTES TO THE CONDENSED CONSOLIDATED FINANCIAL </w:t>
      </w:r>
      <w:r>
        <w:rPr>
          <w:rFonts w:ascii="Times New Roman" w:eastAsia="宋体" w:hAnsi="Times New Roman" w:cs="Times New Roman"/>
          <w:b/>
          <w:bCs/>
          <w:color w:val="000000"/>
          <w:kern w:val="0"/>
          <w:sz w:val="20"/>
          <w:szCs w:val="20"/>
          <w:lang w:bidi="ar"/>
        </w:rPr>
        <w:t>STATEMENTS (Continued)</w:t>
      </w:r>
    </w:p>
    <w:p w14:paraId="59E4AC6E"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(unaudited)</w:t>
      </w:r>
    </w:p>
    <w:p w14:paraId="59E4AC6F"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AC70"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i/>
          <w:iCs/>
          <w:color w:val="000000"/>
          <w:kern w:val="0"/>
          <w:sz w:val="20"/>
          <w:szCs w:val="20"/>
          <w:u w:val="single"/>
          <w:lang w:bidi="ar"/>
        </w:rPr>
        <w:t>Due To/From Related Party</w:t>
      </w:r>
    </w:p>
    <w:p w14:paraId="59E4AC71"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AC72" w14:textId="77777777" w:rsidR="00D7560A" w:rsidRDefault="001E3CAB">
      <w:pPr>
        <w:widowControl/>
        <w:spacing w:after="6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The following table presents amounts due to and from VMware as of the dates indicated:</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8"/>
        <w:gridCol w:w="5330"/>
        <w:gridCol w:w="37"/>
        <w:gridCol w:w="120"/>
        <w:gridCol w:w="1255"/>
        <w:gridCol w:w="36"/>
        <w:gridCol w:w="36"/>
        <w:gridCol w:w="36"/>
        <w:gridCol w:w="36"/>
        <w:gridCol w:w="121"/>
        <w:gridCol w:w="1255"/>
        <w:gridCol w:w="36"/>
      </w:tblGrid>
      <w:tr w:rsidR="00D7560A" w14:paraId="59E4AC7F" w14:textId="77777777">
        <w:tc>
          <w:tcPr>
            <w:tcW w:w="50" w:type="pct"/>
            <w:tcBorders>
              <w:top w:val="nil"/>
              <w:left w:val="nil"/>
              <w:bottom w:val="nil"/>
              <w:right w:val="nil"/>
            </w:tcBorders>
            <w:shd w:val="clear" w:color="auto" w:fill="auto"/>
            <w:vAlign w:val="bottom"/>
          </w:tcPr>
          <w:p w14:paraId="59E4AC73" w14:textId="77777777" w:rsidR="00D7560A" w:rsidRDefault="00D7560A">
            <w:pPr>
              <w:widowControl/>
              <w:jc w:val="left"/>
              <w:rPr>
                <w:rFonts w:ascii="Times New Roman" w:eastAsia="宋体" w:hAnsi="宋体" w:cs="宋体"/>
                <w:kern w:val="0"/>
                <w:sz w:val="24"/>
              </w:rPr>
            </w:pPr>
          </w:p>
        </w:tc>
        <w:tc>
          <w:tcPr>
            <w:tcW w:w="3234" w:type="pct"/>
            <w:tcBorders>
              <w:top w:val="nil"/>
              <w:left w:val="nil"/>
              <w:bottom w:val="nil"/>
              <w:right w:val="nil"/>
            </w:tcBorders>
            <w:shd w:val="clear" w:color="auto" w:fill="auto"/>
            <w:vAlign w:val="bottom"/>
          </w:tcPr>
          <w:p w14:paraId="59E4AC74"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AC75"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AC76" w14:textId="77777777" w:rsidR="00D7560A" w:rsidRDefault="00D7560A">
            <w:pPr>
              <w:widowControl/>
              <w:jc w:val="left"/>
              <w:rPr>
                <w:rFonts w:ascii="Times New Roman" w:eastAsia="宋体" w:hAnsi="宋体" w:cs="宋体"/>
                <w:kern w:val="0"/>
                <w:sz w:val="24"/>
              </w:rPr>
            </w:pPr>
          </w:p>
        </w:tc>
        <w:tc>
          <w:tcPr>
            <w:tcW w:w="785" w:type="pct"/>
            <w:tcBorders>
              <w:top w:val="nil"/>
              <w:left w:val="nil"/>
              <w:bottom w:val="nil"/>
              <w:right w:val="nil"/>
            </w:tcBorders>
            <w:shd w:val="clear" w:color="auto" w:fill="auto"/>
            <w:vAlign w:val="bottom"/>
          </w:tcPr>
          <w:p w14:paraId="59E4AC77"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AC78"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AC79" w14:textId="77777777" w:rsidR="00D7560A" w:rsidRDefault="00D7560A">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59E4AC7A"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AC7B"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AC7C" w14:textId="77777777" w:rsidR="00D7560A" w:rsidRDefault="00D7560A">
            <w:pPr>
              <w:widowControl/>
              <w:jc w:val="left"/>
              <w:rPr>
                <w:rFonts w:ascii="Times New Roman" w:eastAsia="宋体" w:hAnsi="宋体" w:cs="宋体"/>
                <w:kern w:val="0"/>
                <w:sz w:val="24"/>
              </w:rPr>
            </w:pPr>
          </w:p>
        </w:tc>
        <w:tc>
          <w:tcPr>
            <w:tcW w:w="785" w:type="pct"/>
            <w:tcBorders>
              <w:top w:val="nil"/>
              <w:left w:val="nil"/>
              <w:bottom w:val="nil"/>
              <w:right w:val="nil"/>
            </w:tcBorders>
            <w:shd w:val="clear" w:color="auto" w:fill="auto"/>
            <w:vAlign w:val="bottom"/>
          </w:tcPr>
          <w:p w14:paraId="59E4AC7D"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AC7E" w14:textId="77777777" w:rsidR="00D7560A" w:rsidRDefault="00D7560A">
            <w:pPr>
              <w:widowControl/>
              <w:jc w:val="left"/>
              <w:rPr>
                <w:rFonts w:ascii="Times New Roman" w:eastAsia="宋体" w:hAnsi="宋体" w:cs="宋体"/>
                <w:kern w:val="0"/>
                <w:sz w:val="24"/>
              </w:rPr>
            </w:pPr>
          </w:p>
        </w:tc>
      </w:tr>
      <w:tr w:rsidR="00D7560A" w14:paraId="59E4AC84"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AC80"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9E4AC81"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29, 2022</w:t>
            </w: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59E4AC82"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auto"/>
            <w:tcMar>
              <w:top w:w="40" w:type="dxa"/>
              <w:left w:w="20" w:type="dxa"/>
              <w:bottom w:w="40" w:type="dxa"/>
              <w:right w:w="20" w:type="dxa"/>
            </w:tcMar>
            <w:vAlign w:val="bottom"/>
          </w:tcPr>
          <w:p w14:paraId="59E4AC83"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January 28, 2022</w:t>
            </w:r>
          </w:p>
        </w:tc>
      </w:tr>
      <w:tr w:rsidR="00D7560A" w14:paraId="59E4AC87"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AC85" w14:textId="77777777" w:rsidR="00D7560A" w:rsidRDefault="00D7560A">
            <w:pPr>
              <w:widowControl/>
              <w:jc w:val="left"/>
              <w:rPr>
                <w:rFonts w:ascii="Times New Roman" w:eastAsia="宋体" w:hAnsi="宋体" w:cs="宋体"/>
                <w:kern w:val="0"/>
                <w:sz w:val="24"/>
              </w:rPr>
            </w:pPr>
          </w:p>
        </w:tc>
        <w:tc>
          <w:tcPr>
            <w:tcW w:w="0" w:type="auto"/>
            <w:gridSpan w:val="9"/>
            <w:tcBorders>
              <w:top w:val="single" w:sz="8" w:space="0" w:color="000000"/>
              <w:left w:val="nil"/>
              <w:bottom w:val="nil"/>
              <w:right w:val="nil"/>
            </w:tcBorders>
            <w:shd w:val="clear" w:color="auto" w:fill="auto"/>
            <w:tcMar>
              <w:top w:w="40" w:type="dxa"/>
              <w:left w:w="20" w:type="dxa"/>
              <w:bottom w:w="40" w:type="dxa"/>
              <w:right w:w="20" w:type="dxa"/>
            </w:tcMar>
            <w:vAlign w:val="bottom"/>
          </w:tcPr>
          <w:p w14:paraId="59E4AC86"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(in millions)</w:t>
            </w:r>
          </w:p>
        </w:tc>
      </w:tr>
      <w:tr w:rsidR="00D7560A" w14:paraId="59E4AC90"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9E4AC88"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Due from related party, net, </w:t>
            </w:r>
            <w:r>
              <w:rPr>
                <w:rFonts w:ascii="Times New Roman" w:eastAsia="宋体" w:hAnsi="Times New Roman" w:cs="Times New Roman"/>
                <w:color w:val="000000"/>
                <w:kern w:val="0"/>
                <w:sz w:val="20"/>
                <w:szCs w:val="20"/>
                <w:lang w:bidi="ar"/>
              </w:rPr>
              <w:t>current (a)</w:t>
            </w: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9E4AC89"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9E4AC8A"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195 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AC8B"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C8C"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9E4AC8D"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9E4AC8E"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131 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AC8F" w14:textId="77777777" w:rsidR="00D7560A" w:rsidRDefault="00D7560A">
            <w:pPr>
              <w:widowControl/>
              <w:jc w:val="right"/>
              <w:rPr>
                <w:rFonts w:ascii="Times New Roman" w:eastAsia="宋体" w:hAnsi="宋体" w:cs="宋体"/>
                <w:kern w:val="0"/>
                <w:sz w:val="24"/>
              </w:rPr>
            </w:pPr>
          </w:p>
        </w:tc>
      </w:tr>
      <w:tr w:rsidR="00D7560A" w14:paraId="59E4AC99"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59E4AC91"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Due from related party, net, non-current (b)</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9E4AC92"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9E4AC93"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609 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AC94"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C95"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9E4AC96"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9E4AC97"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710 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AC98" w14:textId="77777777" w:rsidR="00D7560A" w:rsidRDefault="00D7560A">
            <w:pPr>
              <w:widowControl/>
              <w:jc w:val="right"/>
              <w:rPr>
                <w:rFonts w:ascii="Times New Roman" w:eastAsia="宋体" w:hAnsi="宋体" w:cs="宋体"/>
                <w:kern w:val="0"/>
                <w:sz w:val="24"/>
              </w:rPr>
            </w:pPr>
          </w:p>
        </w:tc>
      </w:tr>
      <w:tr w:rsidR="00D7560A" w14:paraId="59E4ACA2"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9E4AC9A"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Due to related party, current (c)</w:t>
            </w: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9E4AC9B"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9E4AC9C"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1,269 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AC9D"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C9E"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9E4AC9F"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9E4ACA0"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1,414 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ACA1" w14:textId="77777777" w:rsidR="00D7560A" w:rsidRDefault="00D7560A">
            <w:pPr>
              <w:widowControl/>
              <w:jc w:val="right"/>
              <w:rPr>
                <w:rFonts w:ascii="Times New Roman" w:eastAsia="宋体" w:hAnsi="宋体" w:cs="宋体"/>
                <w:kern w:val="0"/>
                <w:sz w:val="24"/>
              </w:rPr>
            </w:pPr>
          </w:p>
        </w:tc>
      </w:tr>
    </w:tbl>
    <w:p w14:paraId="59E4ACA3"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____________________</w:t>
      </w:r>
    </w:p>
    <w:p w14:paraId="59E4ACA4" w14:textId="77777777" w:rsidR="00D7560A" w:rsidRDefault="001E3CAB">
      <w:pPr>
        <w:widowControl/>
        <w:ind w:left="360" w:hanging="36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(a)    Amounts due from related party, current consists of amounts due from </w:t>
      </w:r>
      <w:r>
        <w:rPr>
          <w:rFonts w:ascii="Times New Roman" w:eastAsia="宋体" w:hAnsi="Times New Roman" w:cs="Times New Roman"/>
          <w:color w:val="000000"/>
          <w:kern w:val="0"/>
          <w:sz w:val="20"/>
          <w:szCs w:val="20"/>
          <w:lang w:bidi="ar"/>
        </w:rPr>
        <w:t>VMware, inclusive of current net tax receivables from VMware under the Tax Agreements. Amounts, excluding tax, are generally settled in cash within 60 days of each quarter-end.</w:t>
      </w:r>
    </w:p>
    <w:p w14:paraId="59E4ACA5" w14:textId="77777777" w:rsidR="00D7560A" w:rsidRDefault="001E3CAB">
      <w:pPr>
        <w:widowControl/>
        <w:ind w:left="360" w:hanging="36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(b) Amounts due from related party, non-current consists of non-current portion of net receivables from VMware under the Tax Agreements. </w:t>
      </w:r>
    </w:p>
    <w:p w14:paraId="59E4ACA6" w14:textId="77777777" w:rsidR="00D7560A" w:rsidRDefault="001E3CAB">
      <w:pPr>
        <w:widowControl/>
        <w:ind w:left="360" w:hanging="36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(c) Amounts due to related party, current includes amounts due to VMware which are generally settled in cash within 60</w:t>
      </w:r>
      <w:r>
        <w:rPr>
          <w:rFonts w:ascii="Times New Roman" w:eastAsia="宋体" w:hAnsi="Times New Roman" w:cs="Times New Roman"/>
          <w:color w:val="000000"/>
          <w:kern w:val="0"/>
          <w:sz w:val="20"/>
          <w:szCs w:val="20"/>
          <w:lang w:bidi="ar"/>
        </w:rPr>
        <w:t xml:space="preserve"> days of each quarter-end.</w:t>
      </w:r>
    </w:p>
    <w:p w14:paraId="59E4ACA7"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ACA8"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ACA9"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ACAA"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ACAB"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ACAC"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51</w:t>
      </w:r>
    </w:p>
    <w:p w14:paraId="59E4ACAD"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ACAE" w14:textId="77777777" w:rsidR="00D7560A" w:rsidRDefault="001E3CAB">
      <w:pPr>
        <w:widowControl/>
        <w:jc w:val="center"/>
      </w:pPr>
      <w:r>
        <w:rPr>
          <w:rFonts w:ascii="宋体" w:eastAsia="宋体" w:hAnsi="宋体" w:cs="宋体"/>
          <w:kern w:val="0"/>
          <w:sz w:val="24"/>
        </w:rPr>
        <w:pict w14:anchorId="59E4C7FE">
          <v:rect id="_x0000_i1075" style="width:6in;height:1.5pt" o:hralign="center" o:hrstd="t" o:hr="t" fillcolor="#a0a0a0" stroked="f"/>
        </w:pict>
      </w:r>
    </w:p>
    <w:p w14:paraId="59E4ACAF" w14:textId="77777777" w:rsidR="00D7560A" w:rsidRDefault="001E3CAB">
      <w:pPr>
        <w:widowControl/>
        <w:jc w:val="left"/>
        <w:rPr>
          <w:rFonts w:ascii="宋体" w:eastAsia="宋体" w:hAnsi="宋体" w:cs="宋体"/>
          <w:kern w:val="0"/>
          <w:sz w:val="24"/>
        </w:rPr>
      </w:pPr>
      <w:hyperlink w:anchor="if933dd1d5d004d2495dd7029e3ecad00_13" w:history="1">
        <w:r>
          <w:rPr>
            <w:rStyle w:val="a4"/>
            <w:rFonts w:ascii="Times New Roman" w:eastAsia="宋体" w:hAnsi="Times New Roman" w:cs="Times New Roman"/>
            <w:sz w:val="20"/>
            <w:szCs w:val="20"/>
          </w:rPr>
          <w:t>Table of Contents</w:t>
        </w:r>
      </w:hyperlink>
    </w:p>
    <w:p w14:paraId="59E4ACB0"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DELL TECHNOLOGIES INC.</w:t>
      </w:r>
    </w:p>
    <w:p w14:paraId="59E4ACB1"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NOTES TO THE CONDENSED CONSOLIDATED FINANCIAL STATEMENTS (Continued)</w:t>
      </w:r>
    </w:p>
    <w:p w14:paraId="59E4ACB2"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(unaudited)</w:t>
      </w:r>
    </w:p>
    <w:p w14:paraId="59E4ACB3"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ACB4"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 xml:space="preserve">NOTE 17 — SEGMENT INFORMATION </w:t>
      </w:r>
    </w:p>
    <w:p w14:paraId="59E4ACB5"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ACB6"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The Company has two reportable segments that are based on the following business units: Infrastructure Solutions Group (“ISG”) and Client Solutions Group (“CSG”).</w:t>
      </w:r>
    </w:p>
    <w:p w14:paraId="59E4ACB7"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ACB8"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ISG enables the digital transformation of the Company’s cu</w:t>
      </w:r>
      <w:r>
        <w:rPr>
          <w:rFonts w:ascii="Times New Roman" w:eastAsia="宋体" w:hAnsi="Times New Roman" w:cs="Times New Roman"/>
          <w:color w:val="000000"/>
          <w:kern w:val="0"/>
          <w:sz w:val="20"/>
          <w:szCs w:val="20"/>
          <w:lang w:bidi="ar"/>
        </w:rPr>
        <w:t>stomers through its trusted multi-cloud and big data solutions, which are built upon a modern data center infrastructure. The ISG comprehensive portfolio of advanced storage solutions includes traditional storage solutions as well as next-generation storag</w:t>
      </w:r>
      <w:r>
        <w:rPr>
          <w:rFonts w:ascii="Times New Roman" w:eastAsia="宋体" w:hAnsi="Times New Roman" w:cs="Times New Roman"/>
          <w:color w:val="000000"/>
          <w:kern w:val="0"/>
          <w:sz w:val="20"/>
          <w:szCs w:val="20"/>
          <w:lang w:bidi="ar"/>
        </w:rPr>
        <w:t>e solutions (such as all-flash arrays, scale-out file, object platforms, and software-defined solutions), while the Company’s server portfolio includes high-performance rack, blade, tower, and hyperscale servers. The ISG networking portfolio helps business</w:t>
      </w:r>
      <w:r>
        <w:rPr>
          <w:rFonts w:ascii="Times New Roman" w:eastAsia="宋体" w:hAnsi="Times New Roman" w:cs="Times New Roman"/>
          <w:color w:val="000000"/>
          <w:kern w:val="0"/>
          <w:sz w:val="20"/>
          <w:szCs w:val="20"/>
          <w:lang w:bidi="ar"/>
        </w:rPr>
        <w:t xml:space="preserve"> customers transform and modernize their infrastructure, mobilize and enrich end-user experiences, and accelerate business applications and processes. ISG also offers attached software, peripherals, and services, including support and deployment, configura</w:t>
      </w:r>
      <w:r>
        <w:rPr>
          <w:rFonts w:ascii="Times New Roman" w:eastAsia="宋体" w:hAnsi="Times New Roman" w:cs="Times New Roman"/>
          <w:color w:val="000000"/>
          <w:kern w:val="0"/>
          <w:sz w:val="20"/>
          <w:szCs w:val="20"/>
          <w:lang w:bidi="ar"/>
        </w:rPr>
        <w:t>tion, and extended warranty services.</w:t>
      </w:r>
    </w:p>
    <w:p w14:paraId="59E4ACB9"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ACBA"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CSG includes sales to commercial and consumer customers of branded hardware (such as desktops, workstations, and notebooks) and branded peripherals (such as displays, docking stations, and other electronics), as well</w:t>
      </w:r>
      <w:r>
        <w:rPr>
          <w:rFonts w:ascii="Times New Roman" w:eastAsia="宋体" w:hAnsi="Times New Roman" w:cs="Times New Roman"/>
          <w:color w:val="000000"/>
          <w:kern w:val="0"/>
          <w:sz w:val="20"/>
          <w:szCs w:val="20"/>
          <w:lang w:bidi="ar"/>
        </w:rPr>
        <w:t xml:space="preserve"> as services and third-party software and peripherals. CSG also offers attached software, peripherals, and services, including support and deployment, configuration, and extended warranty services.</w:t>
      </w:r>
    </w:p>
    <w:p w14:paraId="59E4ACBB"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ACBC"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The reportable segments disclosed herein are based on in</w:t>
      </w:r>
      <w:r>
        <w:rPr>
          <w:rFonts w:ascii="Times New Roman" w:eastAsia="宋体" w:hAnsi="Times New Roman" w:cs="Times New Roman"/>
          <w:color w:val="000000"/>
          <w:kern w:val="0"/>
          <w:sz w:val="20"/>
          <w:szCs w:val="20"/>
          <w:lang w:bidi="ar"/>
        </w:rPr>
        <w:t>formation reviewed by the Company’s management to evaluate the business segment results. The Company’s measure of segment revenue and segment operating income for management reporting purposes excludes operating results of other businesses, unallocated cor</w:t>
      </w:r>
      <w:r>
        <w:rPr>
          <w:rFonts w:ascii="Times New Roman" w:eastAsia="宋体" w:hAnsi="Times New Roman" w:cs="Times New Roman"/>
          <w:color w:val="000000"/>
          <w:kern w:val="0"/>
          <w:sz w:val="20"/>
          <w:szCs w:val="20"/>
          <w:lang w:bidi="ar"/>
        </w:rPr>
        <w:t>porate transactions, the impact of purchase accounting, amortization of intangible assets, transaction-related expenses, stock-based compensation expense, and other corporate expenses, as applicable. The Company does not allocate assets to the above report</w:t>
      </w:r>
      <w:r>
        <w:rPr>
          <w:rFonts w:ascii="Times New Roman" w:eastAsia="宋体" w:hAnsi="Times New Roman" w:cs="Times New Roman"/>
          <w:color w:val="000000"/>
          <w:kern w:val="0"/>
          <w:sz w:val="20"/>
          <w:szCs w:val="20"/>
          <w:lang w:bidi="ar"/>
        </w:rPr>
        <w:t>able segments for internal reporting purposes.</w:t>
      </w:r>
    </w:p>
    <w:p w14:paraId="59E4ACBD"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ACBE"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As described in Note 1 and Note 2 of the Notes to the Condensed Consolidated Financial Statements, the Company completed the VMware Spin-off on November 1, 2021. </w:t>
      </w:r>
    </w:p>
    <w:p w14:paraId="59E4ACBF"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ACC0"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Pursuant to the CFA described in such </w:t>
      </w:r>
      <w:r>
        <w:rPr>
          <w:rFonts w:ascii="Times New Roman" w:eastAsia="宋体" w:hAnsi="Times New Roman" w:cs="Times New Roman"/>
          <w:color w:val="000000"/>
          <w:kern w:val="0"/>
          <w:sz w:val="20"/>
          <w:szCs w:val="20"/>
          <w:lang w:bidi="ar"/>
        </w:rPr>
        <w:t>Notes, Dell Technologies continues to act as a distributor of VMware’s standalone products and services and purchase such products and services for resale to end-user customers (“VMware Resale”). Dell Technologies also continues to integrate VMware’s produ</w:t>
      </w:r>
      <w:r>
        <w:rPr>
          <w:rFonts w:ascii="Times New Roman" w:eastAsia="宋体" w:hAnsi="Times New Roman" w:cs="Times New Roman"/>
          <w:color w:val="000000"/>
          <w:kern w:val="0"/>
          <w:sz w:val="20"/>
          <w:szCs w:val="20"/>
          <w:lang w:bidi="ar"/>
        </w:rPr>
        <w:t xml:space="preserve">cts and services with Dell Technologies’ offerings and sell them to end users. The results of such operations are classified as continuing operations within the Company’s Condensed Consolidated Statements of Income. The results of standalone VMware Resale </w:t>
      </w:r>
      <w:r>
        <w:rPr>
          <w:rFonts w:ascii="Times New Roman" w:eastAsia="宋体" w:hAnsi="Times New Roman" w:cs="Times New Roman"/>
          <w:color w:val="000000"/>
          <w:kern w:val="0"/>
          <w:sz w:val="20"/>
          <w:szCs w:val="20"/>
          <w:lang w:bidi="ar"/>
        </w:rPr>
        <w:t>transactions are reflected in other businesses. The results of integrated offering transactions are reflected within CSG or ISG, depending upon the nature of the underlying offering sold. The Company's prior period segment results have been recast to refle</w:t>
      </w:r>
      <w:r>
        <w:rPr>
          <w:rFonts w:ascii="Times New Roman" w:eastAsia="宋体" w:hAnsi="Times New Roman" w:cs="Times New Roman"/>
          <w:color w:val="000000"/>
          <w:kern w:val="0"/>
          <w:sz w:val="20"/>
          <w:szCs w:val="20"/>
          <w:lang w:bidi="ar"/>
        </w:rPr>
        <w:t>ct this change.</w:t>
      </w:r>
    </w:p>
    <w:p w14:paraId="59E4ACC1"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ACC2"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In accordance with applicable accounting guidance, the results of VMware, excluding Dell's resale of VMware offerings, are presented as discontinued operations in the Condensed Consolidated Statements of Income and, as such, have been exc</w:t>
      </w:r>
      <w:r>
        <w:rPr>
          <w:rFonts w:ascii="Times New Roman" w:eastAsia="宋体" w:hAnsi="Times New Roman" w:cs="Times New Roman"/>
          <w:color w:val="000000"/>
          <w:kern w:val="0"/>
          <w:sz w:val="20"/>
          <w:szCs w:val="20"/>
          <w:lang w:bidi="ar"/>
        </w:rPr>
        <w:t xml:space="preserve">luded from both continuing operations and segment results for prior periods presented. </w:t>
      </w:r>
    </w:p>
    <w:p w14:paraId="59E4ACC3"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ACC4"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52</w:t>
      </w:r>
    </w:p>
    <w:p w14:paraId="59E4ACC5"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ACC6" w14:textId="77777777" w:rsidR="00D7560A" w:rsidRDefault="001E3CAB">
      <w:pPr>
        <w:widowControl/>
        <w:jc w:val="center"/>
      </w:pPr>
      <w:r>
        <w:rPr>
          <w:rFonts w:ascii="宋体" w:eastAsia="宋体" w:hAnsi="宋体" w:cs="宋体"/>
          <w:kern w:val="0"/>
          <w:sz w:val="24"/>
        </w:rPr>
        <w:pict w14:anchorId="59E4C7FF">
          <v:rect id="_x0000_i1076" style="width:6in;height:1.5pt" o:hralign="center" o:hrstd="t" o:hr="t" fillcolor="#a0a0a0" stroked="f"/>
        </w:pict>
      </w:r>
    </w:p>
    <w:p w14:paraId="59E4ACC7" w14:textId="77777777" w:rsidR="00D7560A" w:rsidRDefault="001E3CAB">
      <w:pPr>
        <w:widowControl/>
        <w:jc w:val="left"/>
        <w:rPr>
          <w:rFonts w:ascii="宋体" w:eastAsia="宋体" w:hAnsi="宋体" w:cs="宋体"/>
          <w:kern w:val="0"/>
          <w:sz w:val="24"/>
        </w:rPr>
      </w:pPr>
      <w:hyperlink w:anchor="if933dd1d5d004d2495dd7029e3ecad00_13" w:history="1">
        <w:r>
          <w:rPr>
            <w:rStyle w:val="a4"/>
            <w:rFonts w:ascii="Times New Roman" w:eastAsia="宋体" w:hAnsi="Times New Roman" w:cs="Times New Roman"/>
            <w:sz w:val="20"/>
            <w:szCs w:val="20"/>
          </w:rPr>
          <w:t>Table of Contents</w:t>
        </w:r>
      </w:hyperlink>
    </w:p>
    <w:p w14:paraId="59E4ACC8"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DELL TECHNOLOGIES INC.</w:t>
      </w:r>
    </w:p>
    <w:p w14:paraId="59E4ACC9"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 xml:space="preserve">NOTES TO THE CONDENSED CONSOLIDATED FINANCIAL </w:t>
      </w:r>
      <w:r>
        <w:rPr>
          <w:rFonts w:ascii="Times New Roman" w:eastAsia="宋体" w:hAnsi="Times New Roman" w:cs="Times New Roman"/>
          <w:b/>
          <w:bCs/>
          <w:color w:val="000000"/>
          <w:kern w:val="0"/>
          <w:sz w:val="20"/>
          <w:szCs w:val="20"/>
          <w:lang w:bidi="ar"/>
        </w:rPr>
        <w:t>STATEMENTS (Continued)</w:t>
      </w:r>
    </w:p>
    <w:p w14:paraId="59E4ACCA"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(unaudited)</w:t>
      </w:r>
    </w:p>
    <w:p w14:paraId="59E4ACCB"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ACCC" w14:textId="77777777" w:rsidR="00D7560A" w:rsidRDefault="001E3CAB">
      <w:pPr>
        <w:widowControl/>
        <w:spacing w:after="12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The following table presents a reconciliation of net revenue by the Company’s reportable segments to the Company’s consolidated net revenue as well as a reconciliation of segment operating income to the Company’s consol</w:t>
      </w:r>
      <w:r>
        <w:rPr>
          <w:rFonts w:ascii="Times New Roman" w:eastAsia="宋体" w:hAnsi="Times New Roman" w:cs="Times New Roman"/>
          <w:color w:val="000000"/>
          <w:kern w:val="0"/>
          <w:sz w:val="20"/>
          <w:szCs w:val="20"/>
          <w:lang w:bidi="ar"/>
        </w:rPr>
        <w:t>idated operating income for the periods indicated:</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40"/>
        <w:gridCol w:w="3850"/>
        <w:gridCol w:w="39"/>
        <w:gridCol w:w="120"/>
        <w:gridCol w:w="836"/>
        <w:gridCol w:w="36"/>
        <w:gridCol w:w="36"/>
        <w:gridCol w:w="36"/>
        <w:gridCol w:w="36"/>
        <w:gridCol w:w="120"/>
        <w:gridCol w:w="785"/>
        <w:gridCol w:w="36"/>
        <w:gridCol w:w="36"/>
        <w:gridCol w:w="36"/>
        <w:gridCol w:w="36"/>
        <w:gridCol w:w="120"/>
        <w:gridCol w:w="785"/>
        <w:gridCol w:w="36"/>
        <w:gridCol w:w="36"/>
        <w:gridCol w:w="36"/>
        <w:gridCol w:w="36"/>
        <w:gridCol w:w="120"/>
        <w:gridCol w:w="837"/>
        <w:gridCol w:w="36"/>
        <w:gridCol w:w="36"/>
        <w:gridCol w:w="36"/>
        <w:gridCol w:w="36"/>
        <w:gridCol w:w="36"/>
        <w:gridCol w:w="36"/>
        <w:gridCol w:w="36"/>
      </w:tblGrid>
      <w:tr w:rsidR="00D7560A" w14:paraId="59E4ACE7" w14:textId="77777777">
        <w:tc>
          <w:tcPr>
            <w:tcW w:w="50" w:type="pct"/>
            <w:tcBorders>
              <w:top w:val="nil"/>
              <w:left w:val="nil"/>
              <w:bottom w:val="nil"/>
              <w:right w:val="nil"/>
            </w:tcBorders>
            <w:shd w:val="clear" w:color="auto" w:fill="auto"/>
            <w:vAlign w:val="bottom"/>
          </w:tcPr>
          <w:p w14:paraId="59E4ACCD" w14:textId="77777777" w:rsidR="00D7560A" w:rsidRDefault="00D7560A">
            <w:pPr>
              <w:widowControl/>
              <w:jc w:val="left"/>
              <w:rPr>
                <w:rFonts w:ascii="Times New Roman" w:eastAsia="宋体" w:hAnsi="宋体" w:cs="宋体"/>
                <w:kern w:val="0"/>
                <w:sz w:val="24"/>
              </w:rPr>
            </w:pPr>
          </w:p>
        </w:tc>
        <w:tc>
          <w:tcPr>
            <w:tcW w:w="2415" w:type="pct"/>
            <w:tcBorders>
              <w:top w:val="nil"/>
              <w:left w:val="nil"/>
              <w:bottom w:val="nil"/>
              <w:right w:val="nil"/>
            </w:tcBorders>
            <w:shd w:val="clear" w:color="auto" w:fill="auto"/>
            <w:vAlign w:val="bottom"/>
          </w:tcPr>
          <w:p w14:paraId="59E4ACCE"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ACCF"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ACD0" w14:textId="77777777" w:rsidR="00D7560A" w:rsidRDefault="00D7560A">
            <w:pPr>
              <w:widowControl/>
              <w:jc w:val="left"/>
              <w:rPr>
                <w:rFonts w:ascii="Times New Roman" w:eastAsia="宋体" w:hAnsi="宋体" w:cs="宋体"/>
                <w:kern w:val="0"/>
                <w:sz w:val="24"/>
              </w:rPr>
            </w:pPr>
          </w:p>
        </w:tc>
        <w:tc>
          <w:tcPr>
            <w:tcW w:w="551" w:type="pct"/>
            <w:tcBorders>
              <w:top w:val="nil"/>
              <w:left w:val="nil"/>
              <w:bottom w:val="nil"/>
              <w:right w:val="nil"/>
            </w:tcBorders>
            <w:shd w:val="clear" w:color="auto" w:fill="auto"/>
            <w:vAlign w:val="bottom"/>
          </w:tcPr>
          <w:p w14:paraId="59E4ACD1"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ACD2"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ACD3" w14:textId="77777777" w:rsidR="00D7560A" w:rsidRDefault="00D7560A">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59E4ACD4"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ACD5"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ACD6" w14:textId="77777777" w:rsidR="00D7560A" w:rsidRDefault="00D7560A">
            <w:pPr>
              <w:widowControl/>
              <w:jc w:val="left"/>
              <w:rPr>
                <w:rFonts w:ascii="Times New Roman" w:eastAsia="宋体" w:hAnsi="宋体" w:cs="宋体"/>
                <w:kern w:val="0"/>
                <w:sz w:val="24"/>
              </w:rPr>
            </w:pPr>
          </w:p>
        </w:tc>
        <w:tc>
          <w:tcPr>
            <w:tcW w:w="551" w:type="pct"/>
            <w:tcBorders>
              <w:top w:val="nil"/>
              <w:left w:val="nil"/>
              <w:bottom w:val="nil"/>
              <w:right w:val="nil"/>
            </w:tcBorders>
            <w:shd w:val="clear" w:color="auto" w:fill="auto"/>
            <w:vAlign w:val="bottom"/>
          </w:tcPr>
          <w:p w14:paraId="59E4ACD7"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ACD8"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ACD9" w14:textId="77777777" w:rsidR="00D7560A" w:rsidRDefault="00D7560A">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59E4ACDA"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ACDB"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ACDC" w14:textId="77777777" w:rsidR="00D7560A" w:rsidRDefault="00D7560A">
            <w:pPr>
              <w:widowControl/>
              <w:jc w:val="left"/>
              <w:rPr>
                <w:rFonts w:ascii="Times New Roman" w:eastAsia="宋体" w:hAnsi="宋体" w:cs="宋体"/>
                <w:kern w:val="0"/>
                <w:sz w:val="24"/>
              </w:rPr>
            </w:pPr>
          </w:p>
        </w:tc>
        <w:tc>
          <w:tcPr>
            <w:tcW w:w="551" w:type="pct"/>
            <w:tcBorders>
              <w:top w:val="nil"/>
              <w:left w:val="nil"/>
              <w:bottom w:val="nil"/>
              <w:right w:val="nil"/>
            </w:tcBorders>
            <w:shd w:val="clear" w:color="auto" w:fill="auto"/>
            <w:vAlign w:val="bottom"/>
          </w:tcPr>
          <w:p w14:paraId="59E4ACDD"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ACDE"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ACDF" w14:textId="77777777" w:rsidR="00D7560A" w:rsidRDefault="00D7560A">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59E4ACE0"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ACE1"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ACE2" w14:textId="77777777" w:rsidR="00D7560A" w:rsidRDefault="00D7560A">
            <w:pPr>
              <w:widowControl/>
              <w:jc w:val="left"/>
              <w:rPr>
                <w:rFonts w:ascii="Times New Roman" w:eastAsia="宋体" w:hAnsi="宋体" w:cs="宋体"/>
                <w:kern w:val="0"/>
                <w:sz w:val="24"/>
              </w:rPr>
            </w:pPr>
          </w:p>
        </w:tc>
        <w:tc>
          <w:tcPr>
            <w:tcW w:w="551" w:type="pct"/>
            <w:tcBorders>
              <w:top w:val="nil"/>
              <w:left w:val="nil"/>
              <w:bottom w:val="nil"/>
              <w:right w:val="nil"/>
            </w:tcBorders>
            <w:shd w:val="clear" w:color="auto" w:fill="auto"/>
            <w:vAlign w:val="bottom"/>
          </w:tcPr>
          <w:p w14:paraId="59E4ACE3"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ACE4"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59E4ACE5"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CE6" w14:textId="77777777" w:rsidR="00D7560A" w:rsidRDefault="00D7560A">
            <w:pPr>
              <w:widowControl/>
              <w:jc w:val="left"/>
              <w:rPr>
                <w:rFonts w:ascii="Times New Roman" w:eastAsia="宋体" w:hAnsi="宋体" w:cs="宋体"/>
                <w:vanish/>
                <w:kern w:val="0"/>
                <w:sz w:val="24"/>
              </w:rPr>
            </w:pPr>
          </w:p>
        </w:tc>
      </w:tr>
      <w:tr w:rsidR="00D7560A" w14:paraId="59E4ACF2"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9E4ACE8"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59E4ACE9"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Three Months Ended</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ACEA" w14:textId="77777777" w:rsidR="00D7560A" w:rsidRDefault="00D7560A">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59E4ACEB"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Six Months Ended</w:t>
            </w:r>
          </w:p>
        </w:tc>
        <w:tc>
          <w:tcPr>
            <w:tcW w:w="0" w:type="auto"/>
            <w:tcBorders>
              <w:top w:val="nil"/>
              <w:left w:val="nil"/>
              <w:bottom w:val="nil"/>
              <w:right w:val="nil"/>
            </w:tcBorders>
            <w:shd w:val="clear" w:color="auto" w:fill="auto"/>
            <w:vAlign w:val="bottom"/>
          </w:tcPr>
          <w:p w14:paraId="59E4ACEC"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ACED"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ACEE"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ACEF"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ACF0"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ACF1" w14:textId="77777777" w:rsidR="00D7560A" w:rsidRDefault="00D7560A">
            <w:pPr>
              <w:widowControl/>
              <w:jc w:val="left"/>
              <w:rPr>
                <w:rFonts w:ascii="Times New Roman" w:eastAsia="宋体" w:hAnsi="宋体" w:cs="宋体"/>
                <w:kern w:val="0"/>
                <w:sz w:val="24"/>
              </w:rPr>
            </w:pPr>
          </w:p>
        </w:tc>
      </w:tr>
      <w:tr w:rsidR="00D7560A" w14:paraId="59E4ACFD"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9E4ACF3"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59E4ACF4"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29, 2022</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59E4ACF5"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59E4ACF6"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30, 2021</w:t>
            </w: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59E4ACF7"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59E4ACF8"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29, 2022</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59E4ACF9"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59E4ACFA"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30, 2021</w:t>
            </w:r>
          </w:p>
        </w:tc>
        <w:tc>
          <w:tcPr>
            <w:tcW w:w="0" w:type="auto"/>
            <w:gridSpan w:val="3"/>
            <w:tcBorders>
              <w:top w:val="nil"/>
              <w:left w:val="nil"/>
              <w:bottom w:val="nil"/>
              <w:right w:val="nil"/>
            </w:tcBorders>
            <w:shd w:val="clear" w:color="auto" w:fill="auto"/>
            <w:vAlign w:val="bottom"/>
          </w:tcPr>
          <w:p w14:paraId="59E4ACFB"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CFC" w14:textId="77777777" w:rsidR="00D7560A" w:rsidRDefault="00D7560A">
            <w:pPr>
              <w:widowControl/>
              <w:jc w:val="left"/>
              <w:rPr>
                <w:rFonts w:ascii="Times New Roman" w:eastAsia="宋体" w:hAnsi="宋体" w:cs="宋体"/>
                <w:vanish/>
                <w:kern w:val="0"/>
                <w:sz w:val="24"/>
              </w:rPr>
            </w:pPr>
          </w:p>
        </w:tc>
      </w:tr>
      <w:tr w:rsidR="00D7560A" w14:paraId="59E4AD06"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9E4ACFE"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gridSpan w:val="21"/>
            <w:tcBorders>
              <w:top w:val="single" w:sz="8" w:space="0" w:color="000000"/>
              <w:left w:val="nil"/>
              <w:bottom w:val="nil"/>
              <w:right w:val="nil"/>
            </w:tcBorders>
            <w:shd w:val="clear" w:color="auto" w:fill="auto"/>
            <w:tcMar>
              <w:top w:w="40" w:type="dxa"/>
              <w:left w:w="20" w:type="dxa"/>
              <w:bottom w:w="40" w:type="dxa"/>
              <w:right w:w="20" w:type="dxa"/>
            </w:tcMar>
            <w:vAlign w:val="bottom"/>
          </w:tcPr>
          <w:p w14:paraId="59E4ACFF"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(in millions)</w:t>
            </w:r>
          </w:p>
        </w:tc>
        <w:tc>
          <w:tcPr>
            <w:tcW w:w="0" w:type="auto"/>
            <w:tcBorders>
              <w:top w:val="nil"/>
              <w:left w:val="nil"/>
              <w:bottom w:val="nil"/>
              <w:right w:val="nil"/>
            </w:tcBorders>
            <w:shd w:val="clear" w:color="auto" w:fill="auto"/>
            <w:vAlign w:val="bottom"/>
          </w:tcPr>
          <w:p w14:paraId="59E4AD00"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AD01"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AD02"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AD03"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AD04"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AD05" w14:textId="77777777" w:rsidR="00D7560A" w:rsidRDefault="00D7560A">
            <w:pPr>
              <w:widowControl/>
              <w:jc w:val="left"/>
              <w:rPr>
                <w:rFonts w:ascii="Times New Roman" w:eastAsia="宋体" w:hAnsi="宋体" w:cs="宋体"/>
                <w:kern w:val="0"/>
                <w:sz w:val="24"/>
              </w:rPr>
            </w:pPr>
          </w:p>
        </w:tc>
      </w:tr>
      <w:tr w:rsidR="00D7560A" w14:paraId="59E4AD11"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9E4AD07"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i/>
                <w:iCs/>
                <w:color w:val="000000"/>
                <w:kern w:val="0"/>
                <w:sz w:val="20"/>
                <w:szCs w:val="20"/>
                <w:lang w:bidi="ar"/>
              </w:rPr>
              <w:t>Consolidated net revenue:</w:t>
            </w: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9E4AD08"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D09"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D0A"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D0B"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9E4AD0C"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D0D"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9E4AD0E"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gridSpan w:val="3"/>
            <w:tcBorders>
              <w:top w:val="nil"/>
              <w:left w:val="nil"/>
              <w:bottom w:val="nil"/>
              <w:right w:val="nil"/>
            </w:tcBorders>
            <w:shd w:val="clear" w:color="auto" w:fill="auto"/>
            <w:vAlign w:val="bottom"/>
          </w:tcPr>
          <w:p w14:paraId="59E4AD0F"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D10" w14:textId="77777777" w:rsidR="00D7560A" w:rsidRDefault="00D7560A">
            <w:pPr>
              <w:widowControl/>
              <w:jc w:val="left"/>
              <w:rPr>
                <w:rFonts w:ascii="Times New Roman" w:eastAsia="宋体" w:hAnsi="宋体" w:cs="宋体"/>
                <w:vanish/>
                <w:kern w:val="0"/>
                <w:sz w:val="24"/>
              </w:rPr>
            </w:pPr>
          </w:p>
        </w:tc>
      </w:tr>
      <w:tr w:rsidR="00D7560A" w14:paraId="59E4AD24"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59E4AD12"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Infrastructure Solutions Group</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9E4AD13"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9E4AD14"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9,536 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AD15"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D16"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9E4AD17"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9E4AD18"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8,550 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AD19"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D1A"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9E4AD1B"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9E4AD1C"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18,821 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AD1D"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D1E"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9E4AD1F"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9E4AD20"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16,583 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AD21"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59E4AD22"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D23" w14:textId="77777777" w:rsidR="00D7560A" w:rsidRDefault="00D7560A">
            <w:pPr>
              <w:widowControl/>
              <w:jc w:val="left"/>
              <w:rPr>
                <w:rFonts w:ascii="Times New Roman" w:eastAsia="宋体" w:hAnsi="宋体" w:cs="宋体"/>
                <w:vanish/>
                <w:kern w:val="0"/>
                <w:sz w:val="24"/>
              </w:rPr>
            </w:pPr>
          </w:p>
        </w:tc>
      </w:tr>
      <w:tr w:rsidR="00D7560A" w14:paraId="59E4AD33"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9E4AD25"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Client Solutions Group</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AD26"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15,490 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AD27"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D28"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AD29"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14,268 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AD2A"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D2B"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AD2C"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31,077 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AD2D"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D2E"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AD2F"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27,579 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AD30"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59E4AD31"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D32" w14:textId="77777777" w:rsidR="00D7560A" w:rsidRDefault="00D7560A">
            <w:pPr>
              <w:widowControl/>
              <w:jc w:val="left"/>
              <w:rPr>
                <w:rFonts w:ascii="Times New Roman" w:eastAsia="宋体" w:hAnsi="宋体" w:cs="宋体"/>
                <w:vanish/>
                <w:kern w:val="0"/>
                <w:sz w:val="24"/>
              </w:rPr>
            </w:pPr>
          </w:p>
        </w:tc>
      </w:tr>
      <w:tr w:rsidR="00D7560A" w14:paraId="59E4AD42" w14:textId="77777777">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59E4AD34"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Reportable segment net revenue</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59E4AD35"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25,026 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59E4AD36"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D37" w14:textId="77777777" w:rsidR="00D7560A" w:rsidRDefault="00D7560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59E4AD38"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22,818 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59E4AD39"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D3A" w14:textId="77777777" w:rsidR="00D7560A" w:rsidRDefault="00D7560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59E4AD3B"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49,898 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59E4AD3C"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D3D" w14:textId="77777777" w:rsidR="00D7560A" w:rsidRDefault="00D7560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59E4AD3E"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44,162 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59E4AD3F"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59E4AD40"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D41" w14:textId="77777777" w:rsidR="00D7560A" w:rsidRDefault="00D7560A">
            <w:pPr>
              <w:widowControl/>
              <w:jc w:val="left"/>
              <w:rPr>
                <w:rFonts w:ascii="Times New Roman" w:eastAsia="宋体" w:hAnsi="宋体" w:cs="宋体"/>
                <w:vanish/>
                <w:kern w:val="0"/>
                <w:sz w:val="24"/>
              </w:rPr>
            </w:pPr>
          </w:p>
        </w:tc>
      </w:tr>
      <w:tr w:rsidR="00D7560A" w14:paraId="59E4AD51" w14:textId="77777777">
        <w:tc>
          <w:tcPr>
            <w:tcW w:w="0" w:type="auto"/>
            <w:gridSpan w:val="3"/>
            <w:tcBorders>
              <w:top w:val="nil"/>
              <w:left w:val="nil"/>
              <w:bottom w:val="nil"/>
              <w:right w:val="nil"/>
            </w:tcBorders>
            <w:shd w:val="clear" w:color="auto" w:fill="CCEEFF"/>
            <w:tcMar>
              <w:top w:w="40" w:type="dxa"/>
              <w:left w:w="245" w:type="dxa"/>
              <w:bottom w:w="40" w:type="dxa"/>
              <w:right w:w="20" w:type="dxa"/>
            </w:tcMar>
            <w:vAlign w:val="bottom"/>
          </w:tcPr>
          <w:p w14:paraId="59E4AD43"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Other businesses (a)</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AD44"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1,399 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AD45"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D46"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AD47"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1,378 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AD48"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D49"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AD4A"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2,638 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AD4B"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D4C"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AD4D"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2,630 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AD4E"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59E4AD4F"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D50" w14:textId="77777777" w:rsidR="00D7560A" w:rsidRDefault="00D7560A">
            <w:pPr>
              <w:widowControl/>
              <w:jc w:val="left"/>
              <w:rPr>
                <w:rFonts w:ascii="Times New Roman" w:eastAsia="宋体" w:hAnsi="宋体" w:cs="宋体"/>
                <w:vanish/>
                <w:kern w:val="0"/>
                <w:sz w:val="24"/>
              </w:rPr>
            </w:pPr>
          </w:p>
        </w:tc>
      </w:tr>
      <w:tr w:rsidR="00D7560A" w14:paraId="59E4AD60" w14:textId="77777777">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59E4AD52"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Unallocated transactions (b)</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AD53"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AD54"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D55"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AD56"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AD57"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D58"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AD59"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AD5A"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D5B"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AD5C"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AD5D"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59E4AD5E"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D5F" w14:textId="77777777" w:rsidR="00D7560A" w:rsidRDefault="00D7560A">
            <w:pPr>
              <w:widowControl/>
              <w:jc w:val="left"/>
              <w:rPr>
                <w:rFonts w:ascii="Times New Roman" w:eastAsia="宋体" w:hAnsi="宋体" w:cs="宋体"/>
                <w:vanish/>
                <w:kern w:val="0"/>
                <w:sz w:val="24"/>
              </w:rPr>
            </w:pPr>
          </w:p>
        </w:tc>
      </w:tr>
      <w:tr w:rsidR="00D7560A" w14:paraId="59E4AD6F" w14:textId="77777777">
        <w:tc>
          <w:tcPr>
            <w:tcW w:w="0" w:type="auto"/>
            <w:gridSpan w:val="3"/>
            <w:tcBorders>
              <w:top w:val="nil"/>
              <w:left w:val="nil"/>
              <w:bottom w:val="nil"/>
              <w:right w:val="nil"/>
            </w:tcBorders>
            <w:shd w:val="clear" w:color="auto" w:fill="CCEEFF"/>
            <w:tcMar>
              <w:top w:w="40" w:type="dxa"/>
              <w:left w:w="245" w:type="dxa"/>
              <w:bottom w:w="40" w:type="dxa"/>
              <w:right w:w="20" w:type="dxa"/>
            </w:tcMar>
            <w:vAlign w:val="bottom"/>
          </w:tcPr>
          <w:p w14:paraId="59E4AD61"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Impact of purchase accounting (c)</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AD62"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AD63"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D64"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AD65"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(8)</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AD66"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D67"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AD68"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AD69"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D6A"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AD6B"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(16)</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AD6C"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59E4AD6D"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D6E" w14:textId="77777777" w:rsidR="00D7560A" w:rsidRDefault="00D7560A">
            <w:pPr>
              <w:widowControl/>
              <w:jc w:val="left"/>
              <w:rPr>
                <w:rFonts w:ascii="Times New Roman" w:eastAsia="宋体" w:hAnsi="宋体" w:cs="宋体"/>
                <w:vanish/>
                <w:kern w:val="0"/>
                <w:sz w:val="24"/>
              </w:rPr>
            </w:pPr>
          </w:p>
        </w:tc>
      </w:tr>
      <w:tr w:rsidR="00D7560A" w14:paraId="59E4AD82"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59E4AD70"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Total consolidated net revenue</w:t>
            </w: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59E4AD71"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59E4AD72"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26,425 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59E4AD73"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D74"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59E4AD75"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59E4AD76"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24,191 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59E4AD77"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D78"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59E4AD79"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59E4AD7A"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52,541 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59E4AD7B"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D7C"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59E4AD7D"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59E4AD7E"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46,781 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59E4AD7F"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59E4AD80"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D81" w14:textId="77777777" w:rsidR="00D7560A" w:rsidRDefault="00D7560A">
            <w:pPr>
              <w:widowControl/>
              <w:jc w:val="left"/>
              <w:rPr>
                <w:rFonts w:ascii="Times New Roman" w:eastAsia="宋体" w:hAnsi="宋体" w:cs="宋体"/>
                <w:vanish/>
                <w:kern w:val="0"/>
                <w:sz w:val="24"/>
              </w:rPr>
            </w:pPr>
          </w:p>
        </w:tc>
      </w:tr>
      <w:tr w:rsidR="00D7560A" w14:paraId="59E4AD8D" w14:textId="77777777">
        <w:trPr>
          <w:trHeight w:val="300"/>
        </w:trPr>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D83" w14:textId="77777777" w:rsidR="00D7560A" w:rsidRDefault="00D7560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59E4AD84"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D85" w14:textId="77777777" w:rsidR="00D7560A" w:rsidRDefault="00D7560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59E4AD86"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D87" w14:textId="77777777" w:rsidR="00D7560A" w:rsidRDefault="00D7560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59E4AD88"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D89" w14:textId="77777777" w:rsidR="00D7560A" w:rsidRDefault="00D7560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59E4AD8A"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59E4AD8B"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D8C" w14:textId="77777777" w:rsidR="00D7560A" w:rsidRDefault="00D7560A">
            <w:pPr>
              <w:widowControl/>
              <w:jc w:val="left"/>
              <w:rPr>
                <w:rFonts w:ascii="Times New Roman" w:eastAsia="宋体" w:hAnsi="宋体" w:cs="宋体"/>
                <w:vanish/>
                <w:kern w:val="0"/>
                <w:sz w:val="24"/>
              </w:rPr>
            </w:pPr>
          </w:p>
        </w:tc>
      </w:tr>
      <w:tr w:rsidR="00D7560A" w14:paraId="59E4AD98"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59E4AD8E"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i/>
                <w:iCs/>
                <w:color w:val="000000"/>
                <w:kern w:val="0"/>
                <w:sz w:val="20"/>
                <w:szCs w:val="20"/>
                <w:lang w:bidi="ar"/>
              </w:rPr>
              <w:t>Consolidated operating income:</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D8F"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D90"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D91"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D92"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D93"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D94"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D95"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59E4AD96"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D97" w14:textId="77777777" w:rsidR="00D7560A" w:rsidRDefault="00D7560A">
            <w:pPr>
              <w:widowControl/>
              <w:jc w:val="left"/>
              <w:rPr>
                <w:rFonts w:ascii="Times New Roman" w:eastAsia="宋体" w:hAnsi="宋体" w:cs="宋体"/>
                <w:vanish/>
                <w:kern w:val="0"/>
                <w:sz w:val="24"/>
              </w:rPr>
            </w:pPr>
          </w:p>
        </w:tc>
      </w:tr>
      <w:tr w:rsidR="00D7560A" w14:paraId="59E4ADAB"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9E4AD99"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Infrastructure Solutions Group</w:t>
            </w: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9E4AD9A"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9E4AD9B"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1,046 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AD9C"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D9D"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9E4AD9E"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9E4AD9F"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962 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ADA0"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DA1"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9E4ADA2"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9E4ADA3"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2,128 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ADA4"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DA5"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9E4ADA6"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9E4ADA7"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1,740 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ADA8"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59E4ADA9"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DAA" w14:textId="77777777" w:rsidR="00D7560A" w:rsidRDefault="00D7560A">
            <w:pPr>
              <w:widowControl/>
              <w:jc w:val="left"/>
              <w:rPr>
                <w:rFonts w:ascii="Times New Roman" w:eastAsia="宋体" w:hAnsi="宋体" w:cs="宋体"/>
                <w:vanish/>
                <w:kern w:val="0"/>
                <w:sz w:val="24"/>
              </w:rPr>
            </w:pPr>
          </w:p>
        </w:tc>
      </w:tr>
      <w:tr w:rsidR="00D7560A" w14:paraId="59E4ADBA"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59E4ADAC"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Client Solutions Group</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ADAD"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978 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ADAE"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DAF"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ADB0"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986 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ADB1"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DB2"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ADB3"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2,093 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ADB4"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DB5"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ADB6"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2,066 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ADB7"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59E4ADB8"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DB9" w14:textId="77777777" w:rsidR="00D7560A" w:rsidRDefault="00D7560A">
            <w:pPr>
              <w:widowControl/>
              <w:jc w:val="left"/>
              <w:rPr>
                <w:rFonts w:ascii="Times New Roman" w:eastAsia="宋体" w:hAnsi="宋体" w:cs="宋体"/>
                <w:vanish/>
                <w:kern w:val="0"/>
                <w:sz w:val="24"/>
              </w:rPr>
            </w:pPr>
          </w:p>
        </w:tc>
      </w:tr>
      <w:tr w:rsidR="00D7560A" w14:paraId="59E4ADC9" w14:textId="77777777">
        <w:tc>
          <w:tcPr>
            <w:tcW w:w="0" w:type="auto"/>
            <w:gridSpan w:val="3"/>
            <w:tcBorders>
              <w:top w:val="nil"/>
              <w:left w:val="nil"/>
              <w:bottom w:val="nil"/>
              <w:right w:val="nil"/>
            </w:tcBorders>
            <w:shd w:val="clear" w:color="auto" w:fill="CCEEFF"/>
            <w:tcMar>
              <w:top w:w="40" w:type="dxa"/>
              <w:left w:w="155" w:type="dxa"/>
              <w:bottom w:w="40" w:type="dxa"/>
              <w:right w:w="20" w:type="dxa"/>
            </w:tcMar>
            <w:vAlign w:val="bottom"/>
          </w:tcPr>
          <w:p w14:paraId="59E4ADBB"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Reportable segment operating income</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59E4ADBC"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2,024 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59E4ADBD"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DBE" w14:textId="77777777" w:rsidR="00D7560A" w:rsidRDefault="00D7560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59E4ADBF"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1,948 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59E4ADC0"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DC1" w14:textId="77777777" w:rsidR="00D7560A" w:rsidRDefault="00D7560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59E4ADC2"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4,221 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59E4ADC3"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DC4" w14:textId="77777777" w:rsidR="00D7560A" w:rsidRDefault="00D7560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59E4ADC5"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3,806 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59E4ADC6"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59E4ADC7"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DC8" w14:textId="77777777" w:rsidR="00D7560A" w:rsidRDefault="00D7560A">
            <w:pPr>
              <w:widowControl/>
              <w:jc w:val="left"/>
              <w:rPr>
                <w:rFonts w:ascii="Times New Roman" w:eastAsia="宋体" w:hAnsi="宋体" w:cs="宋体"/>
                <w:vanish/>
                <w:kern w:val="0"/>
                <w:sz w:val="24"/>
              </w:rPr>
            </w:pPr>
          </w:p>
        </w:tc>
      </w:tr>
      <w:tr w:rsidR="00D7560A" w14:paraId="59E4ADD8" w14:textId="77777777">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59E4ADCA"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Other businesses (a)</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ADCB"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ADCC"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DCD"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ADCE"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(77)</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ADCF"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DD0"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ADD1"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(135)</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ADD2"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DD3"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ADD4"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(167)</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ADD5"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59E4ADD6"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DD7" w14:textId="77777777" w:rsidR="00D7560A" w:rsidRDefault="00D7560A">
            <w:pPr>
              <w:widowControl/>
              <w:jc w:val="left"/>
              <w:rPr>
                <w:rFonts w:ascii="Times New Roman" w:eastAsia="宋体" w:hAnsi="宋体" w:cs="宋体"/>
                <w:vanish/>
                <w:kern w:val="0"/>
                <w:sz w:val="24"/>
              </w:rPr>
            </w:pPr>
          </w:p>
        </w:tc>
      </w:tr>
      <w:tr w:rsidR="00D7560A" w14:paraId="59E4ADE7" w14:textId="77777777">
        <w:tc>
          <w:tcPr>
            <w:tcW w:w="0" w:type="auto"/>
            <w:gridSpan w:val="3"/>
            <w:tcBorders>
              <w:top w:val="nil"/>
              <w:left w:val="nil"/>
              <w:bottom w:val="nil"/>
              <w:right w:val="nil"/>
            </w:tcBorders>
            <w:shd w:val="clear" w:color="auto" w:fill="CCEEFF"/>
            <w:tcMar>
              <w:top w:w="40" w:type="dxa"/>
              <w:left w:w="245" w:type="dxa"/>
              <w:bottom w:w="40" w:type="dxa"/>
              <w:right w:w="20" w:type="dxa"/>
            </w:tcMar>
            <w:vAlign w:val="bottom"/>
          </w:tcPr>
          <w:p w14:paraId="59E4ADD9"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Unallocated transactions (b)</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ADDA"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ADDB"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DDC"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ADDD"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ADDE"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DDF"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ADE0"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ADE1"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DE2"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ADE3"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ADE4"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59E4ADE5"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DE6" w14:textId="77777777" w:rsidR="00D7560A" w:rsidRDefault="00D7560A">
            <w:pPr>
              <w:widowControl/>
              <w:jc w:val="left"/>
              <w:rPr>
                <w:rFonts w:ascii="Times New Roman" w:eastAsia="宋体" w:hAnsi="宋体" w:cs="宋体"/>
                <w:vanish/>
                <w:kern w:val="0"/>
                <w:sz w:val="24"/>
              </w:rPr>
            </w:pPr>
          </w:p>
        </w:tc>
      </w:tr>
      <w:tr w:rsidR="00D7560A" w14:paraId="59E4ADF6" w14:textId="77777777">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59E4ADE8"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Impact of purchase accounting (c)</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ADE9"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ADEA"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DEB"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ADEC"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(15)</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ADED"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DEE"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ADEF"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ADF0"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DF1"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ADF2"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(35)</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ADF3"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59E4ADF4"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DF5" w14:textId="77777777" w:rsidR="00D7560A" w:rsidRDefault="00D7560A">
            <w:pPr>
              <w:widowControl/>
              <w:jc w:val="left"/>
              <w:rPr>
                <w:rFonts w:ascii="Times New Roman" w:eastAsia="宋体" w:hAnsi="宋体" w:cs="宋体"/>
                <w:vanish/>
                <w:kern w:val="0"/>
                <w:sz w:val="24"/>
              </w:rPr>
            </w:pPr>
          </w:p>
        </w:tc>
      </w:tr>
      <w:tr w:rsidR="00D7560A" w14:paraId="59E4AE05" w14:textId="77777777">
        <w:tc>
          <w:tcPr>
            <w:tcW w:w="0" w:type="auto"/>
            <w:gridSpan w:val="3"/>
            <w:tcBorders>
              <w:top w:val="nil"/>
              <w:left w:val="nil"/>
              <w:bottom w:val="nil"/>
              <w:right w:val="nil"/>
            </w:tcBorders>
            <w:shd w:val="clear" w:color="auto" w:fill="CCEEFF"/>
            <w:tcMar>
              <w:top w:w="40" w:type="dxa"/>
              <w:left w:w="245" w:type="dxa"/>
              <w:bottom w:w="40" w:type="dxa"/>
              <w:right w:w="20" w:type="dxa"/>
            </w:tcMar>
            <w:vAlign w:val="bottom"/>
          </w:tcPr>
          <w:p w14:paraId="59E4ADF7"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Amortization of intangibles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ADF8"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(244)</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ADF9"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DFA"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ADFB"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(442)</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ADFC"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DFD"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ADFE"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(487)</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ADFF"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E00"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AE01"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(887)</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AE02"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59E4AE03"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E04" w14:textId="77777777" w:rsidR="00D7560A" w:rsidRDefault="00D7560A">
            <w:pPr>
              <w:widowControl/>
              <w:jc w:val="left"/>
              <w:rPr>
                <w:rFonts w:ascii="Times New Roman" w:eastAsia="宋体" w:hAnsi="宋体" w:cs="宋体"/>
                <w:vanish/>
                <w:kern w:val="0"/>
                <w:sz w:val="24"/>
              </w:rPr>
            </w:pPr>
          </w:p>
        </w:tc>
      </w:tr>
      <w:tr w:rsidR="00D7560A" w14:paraId="59E4AE14" w14:textId="77777777">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59E4AE06"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Transaction-related expenses (d)</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AE07"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AE08"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E09"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AE0A"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(37)</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AE0B"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E0C"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AE0D"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(8)</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AE0E"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E0F"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AE10"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(66)</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AE11"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59E4AE12"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E13" w14:textId="77777777" w:rsidR="00D7560A" w:rsidRDefault="00D7560A">
            <w:pPr>
              <w:widowControl/>
              <w:jc w:val="left"/>
              <w:rPr>
                <w:rFonts w:ascii="Times New Roman" w:eastAsia="宋体" w:hAnsi="宋体" w:cs="宋体"/>
                <w:vanish/>
                <w:kern w:val="0"/>
                <w:sz w:val="24"/>
              </w:rPr>
            </w:pPr>
          </w:p>
        </w:tc>
      </w:tr>
      <w:tr w:rsidR="00D7560A" w14:paraId="59E4AE23" w14:textId="77777777">
        <w:tc>
          <w:tcPr>
            <w:tcW w:w="0" w:type="auto"/>
            <w:gridSpan w:val="3"/>
            <w:tcBorders>
              <w:top w:val="nil"/>
              <w:left w:val="nil"/>
              <w:bottom w:val="nil"/>
              <w:right w:val="nil"/>
            </w:tcBorders>
            <w:shd w:val="clear" w:color="auto" w:fill="CCEEFF"/>
            <w:tcMar>
              <w:top w:w="40" w:type="dxa"/>
              <w:left w:w="245" w:type="dxa"/>
              <w:bottom w:w="40" w:type="dxa"/>
              <w:right w:w="20" w:type="dxa"/>
            </w:tcMar>
            <w:vAlign w:val="bottom"/>
          </w:tcPr>
          <w:p w14:paraId="59E4AE15"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Stock-based compensation expense (e)</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AE16"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(236)</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AE17"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E18"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AE19"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(206)</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AE1A"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E1B"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AE1C"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(468)</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AE1D"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E1E"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AE1F"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(378)</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AE20"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59E4AE21"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E22" w14:textId="77777777" w:rsidR="00D7560A" w:rsidRDefault="00D7560A">
            <w:pPr>
              <w:widowControl/>
              <w:jc w:val="left"/>
              <w:rPr>
                <w:rFonts w:ascii="Times New Roman" w:eastAsia="宋体" w:hAnsi="宋体" w:cs="宋体"/>
                <w:vanish/>
                <w:kern w:val="0"/>
                <w:sz w:val="24"/>
              </w:rPr>
            </w:pPr>
          </w:p>
        </w:tc>
      </w:tr>
      <w:tr w:rsidR="00D7560A" w14:paraId="59E4AE32" w14:textId="77777777">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59E4AE24"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Other corporate expenses (f)</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AE25"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(196)</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AE26"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E27"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AE28"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(151)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AE29"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E2A"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AE2B"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(292)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AE2C"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E2D"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AE2E"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(268)</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AE2F"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59E4AE30"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E31" w14:textId="77777777" w:rsidR="00D7560A" w:rsidRDefault="00D7560A">
            <w:pPr>
              <w:widowControl/>
              <w:jc w:val="left"/>
              <w:rPr>
                <w:rFonts w:ascii="Times New Roman" w:eastAsia="宋体" w:hAnsi="宋体" w:cs="宋体"/>
                <w:vanish/>
                <w:kern w:val="0"/>
                <w:sz w:val="24"/>
              </w:rPr>
            </w:pPr>
          </w:p>
        </w:tc>
      </w:tr>
      <w:tr w:rsidR="00D7560A" w14:paraId="59E4AE45" w14:textId="77777777">
        <w:tc>
          <w:tcPr>
            <w:tcW w:w="0" w:type="auto"/>
            <w:gridSpan w:val="3"/>
            <w:tcBorders>
              <w:top w:val="nil"/>
              <w:left w:val="nil"/>
              <w:bottom w:val="nil"/>
              <w:right w:val="nil"/>
            </w:tcBorders>
            <w:shd w:val="clear" w:color="auto" w:fill="CCEEFF"/>
            <w:tcMar>
              <w:top w:w="40" w:type="dxa"/>
              <w:left w:w="380" w:type="dxa"/>
              <w:bottom w:w="40" w:type="dxa"/>
              <w:right w:w="20" w:type="dxa"/>
            </w:tcMar>
            <w:vAlign w:val="bottom"/>
          </w:tcPr>
          <w:p w14:paraId="59E4AE33"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Total consolidated operating income</w:t>
            </w: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59E4AE34"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59E4AE35"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1,270 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59E4AE36"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E37"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59E4AE38"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59E4AE39"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1,017 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59E4AE3A"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E3B"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59E4AE3C"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59E4AE3D"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2,820 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59E4AE3E"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E3F"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59E4AE40"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59E4AE41"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2,004 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59E4AE42"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59E4AE43"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E44" w14:textId="77777777" w:rsidR="00D7560A" w:rsidRDefault="00D7560A">
            <w:pPr>
              <w:widowControl/>
              <w:jc w:val="left"/>
              <w:rPr>
                <w:rFonts w:ascii="Times New Roman" w:eastAsia="宋体" w:hAnsi="宋体" w:cs="宋体"/>
                <w:vanish/>
                <w:kern w:val="0"/>
                <w:sz w:val="24"/>
              </w:rPr>
            </w:pPr>
          </w:p>
        </w:tc>
      </w:tr>
    </w:tbl>
    <w:p w14:paraId="59E4AE46"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____________________</w:t>
      </w:r>
    </w:p>
    <w:p w14:paraId="59E4AE47" w14:textId="77777777" w:rsidR="00D7560A" w:rsidRDefault="001E3CAB">
      <w:pPr>
        <w:widowControl/>
        <w:ind w:left="360" w:hanging="36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(a)Other businesses consists of (i) VMware Resale, (ii) Secureworks, and (iii) Virtustream, and do not meet the requirements for a reportable segment, either individually or collectively. </w:t>
      </w:r>
    </w:p>
    <w:p w14:paraId="59E4AE48" w14:textId="77777777" w:rsidR="00D7560A" w:rsidRDefault="001E3CAB">
      <w:pPr>
        <w:widowControl/>
        <w:ind w:left="360" w:hanging="36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(b)Unallocated transactions includes other </w:t>
      </w:r>
      <w:r>
        <w:rPr>
          <w:rFonts w:ascii="Times New Roman" w:eastAsia="宋体" w:hAnsi="Times New Roman" w:cs="Times New Roman"/>
          <w:color w:val="000000"/>
          <w:kern w:val="0"/>
          <w:sz w:val="20"/>
          <w:szCs w:val="20"/>
          <w:lang w:bidi="ar"/>
        </w:rPr>
        <w:t>corporate items that are not allocated to Dell Technologies’ reportable segments.</w:t>
      </w:r>
    </w:p>
    <w:p w14:paraId="59E4AE49" w14:textId="77777777" w:rsidR="00D7560A" w:rsidRDefault="001E3CAB">
      <w:pPr>
        <w:widowControl/>
        <w:ind w:left="360" w:hanging="36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(c)Impact of purchase accounting includes non-cash purchase accounting adjustments that are primarily related to the EMC merger transaction that was completed in September 20</w:t>
      </w:r>
      <w:r>
        <w:rPr>
          <w:rFonts w:ascii="Times New Roman" w:eastAsia="宋体" w:hAnsi="Times New Roman" w:cs="Times New Roman"/>
          <w:color w:val="000000"/>
          <w:kern w:val="0"/>
          <w:sz w:val="20"/>
          <w:szCs w:val="20"/>
          <w:lang w:bidi="ar"/>
        </w:rPr>
        <w:t>16.</w:t>
      </w:r>
    </w:p>
    <w:p w14:paraId="59E4AE4A" w14:textId="77777777" w:rsidR="00D7560A" w:rsidRDefault="001E3CAB">
      <w:pPr>
        <w:widowControl/>
        <w:ind w:left="360" w:hanging="36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(d)Transaction-related expenses includes acquisition, integration, and divestiture related costs, as well as the costs incurred in the VMware Spin-off described in Note 1 and Note 2 of the Notes to the Condensed Consolidated Financial Statements.</w:t>
      </w:r>
    </w:p>
    <w:p w14:paraId="59E4AE4B" w14:textId="77777777" w:rsidR="00D7560A" w:rsidRDefault="001E3CAB">
      <w:pPr>
        <w:widowControl/>
        <w:ind w:left="360" w:hanging="36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(e)St</w:t>
      </w:r>
      <w:r>
        <w:rPr>
          <w:rFonts w:ascii="Times New Roman" w:eastAsia="宋体" w:hAnsi="Times New Roman" w:cs="Times New Roman"/>
          <w:color w:val="000000"/>
          <w:kern w:val="0"/>
          <w:sz w:val="20"/>
          <w:szCs w:val="20"/>
          <w:lang w:bidi="ar"/>
        </w:rPr>
        <w:t>ock-based compensation expense consists of equity awards granted based on the estimated fair value of those awards at grant date.</w:t>
      </w:r>
    </w:p>
    <w:p w14:paraId="59E4AE4C" w14:textId="77777777" w:rsidR="00D7560A" w:rsidRDefault="001E3CAB">
      <w:pPr>
        <w:widowControl/>
        <w:ind w:left="360" w:hanging="36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(f)Other corporate expenses includes impairment charges, incentive charges related to equity investments, severance, facility </w:t>
      </w:r>
      <w:r>
        <w:rPr>
          <w:rFonts w:ascii="Times New Roman" w:eastAsia="宋体" w:hAnsi="Times New Roman" w:cs="Times New Roman"/>
          <w:color w:val="000000"/>
          <w:kern w:val="0"/>
          <w:sz w:val="20"/>
          <w:szCs w:val="20"/>
          <w:lang w:bidi="ar"/>
        </w:rPr>
        <w:t>action, payroll taxes associated with stock-based compensation, and other costs. During the three and six months ended Fiscal 2023, other corporate expenses includes impairment and other costs incurred in connection with exiting the Company’s business in R</w:t>
      </w:r>
      <w:r>
        <w:rPr>
          <w:rFonts w:ascii="Times New Roman" w:eastAsia="宋体" w:hAnsi="Times New Roman" w:cs="Times New Roman"/>
          <w:color w:val="000000"/>
          <w:kern w:val="0"/>
          <w:sz w:val="20"/>
          <w:szCs w:val="20"/>
          <w:lang w:bidi="ar"/>
        </w:rPr>
        <w:t xml:space="preserve">ussia. </w:t>
      </w:r>
    </w:p>
    <w:p w14:paraId="59E4AE4D"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AE4E"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AE4F"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53</w:t>
      </w:r>
    </w:p>
    <w:p w14:paraId="59E4AE50"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AE51" w14:textId="77777777" w:rsidR="00D7560A" w:rsidRDefault="001E3CAB">
      <w:pPr>
        <w:widowControl/>
        <w:jc w:val="center"/>
      </w:pPr>
      <w:r>
        <w:rPr>
          <w:rFonts w:ascii="宋体" w:eastAsia="宋体" w:hAnsi="宋体" w:cs="宋体"/>
          <w:kern w:val="0"/>
          <w:sz w:val="24"/>
        </w:rPr>
        <w:pict w14:anchorId="59E4C800">
          <v:rect id="_x0000_i1077" style="width:6in;height:1.5pt" o:hralign="center" o:hrstd="t" o:hr="t" fillcolor="#a0a0a0" stroked="f"/>
        </w:pict>
      </w:r>
    </w:p>
    <w:p w14:paraId="59E4AE52" w14:textId="77777777" w:rsidR="00D7560A" w:rsidRDefault="001E3CAB">
      <w:pPr>
        <w:widowControl/>
        <w:jc w:val="left"/>
        <w:rPr>
          <w:rFonts w:ascii="宋体" w:eastAsia="宋体" w:hAnsi="宋体" w:cs="宋体"/>
          <w:kern w:val="0"/>
          <w:sz w:val="24"/>
        </w:rPr>
      </w:pPr>
      <w:hyperlink w:anchor="if933dd1d5d004d2495dd7029e3ecad00_13" w:history="1">
        <w:r>
          <w:rPr>
            <w:rStyle w:val="a4"/>
            <w:rFonts w:ascii="Times New Roman" w:eastAsia="宋体" w:hAnsi="Times New Roman" w:cs="Times New Roman"/>
            <w:sz w:val="20"/>
            <w:szCs w:val="20"/>
          </w:rPr>
          <w:t>Table of Contents</w:t>
        </w:r>
      </w:hyperlink>
    </w:p>
    <w:p w14:paraId="59E4AE53"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DELL TECHNOLOGIES INC.</w:t>
      </w:r>
    </w:p>
    <w:p w14:paraId="59E4AE54"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NOTES TO THE CONDENSED CONSOLIDATED FINANCIAL STATEMENTS (Continued)</w:t>
      </w:r>
    </w:p>
    <w:p w14:paraId="59E4AE55"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(unaudited)</w:t>
      </w:r>
    </w:p>
    <w:p w14:paraId="59E4AE56"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AE57" w14:textId="77777777" w:rsidR="00D7560A" w:rsidRDefault="001E3CAB">
      <w:pPr>
        <w:widowControl/>
        <w:spacing w:before="120" w:after="12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The following table presents the </w:t>
      </w:r>
      <w:r>
        <w:rPr>
          <w:rFonts w:ascii="Times New Roman" w:eastAsia="宋体" w:hAnsi="Times New Roman" w:cs="Times New Roman"/>
          <w:color w:val="000000"/>
          <w:kern w:val="0"/>
          <w:sz w:val="20"/>
          <w:szCs w:val="20"/>
          <w:lang w:bidi="ar"/>
        </w:rPr>
        <w:t>disaggregation of net revenue by reportable segment, and by major product categories within the segments for the periods indicated: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3852"/>
        <w:gridCol w:w="37"/>
        <w:gridCol w:w="120"/>
        <w:gridCol w:w="837"/>
        <w:gridCol w:w="36"/>
        <w:gridCol w:w="36"/>
        <w:gridCol w:w="36"/>
        <w:gridCol w:w="36"/>
        <w:gridCol w:w="120"/>
        <w:gridCol w:w="785"/>
        <w:gridCol w:w="36"/>
        <w:gridCol w:w="36"/>
        <w:gridCol w:w="36"/>
        <w:gridCol w:w="36"/>
        <w:gridCol w:w="120"/>
        <w:gridCol w:w="785"/>
        <w:gridCol w:w="36"/>
        <w:gridCol w:w="36"/>
        <w:gridCol w:w="36"/>
        <w:gridCol w:w="36"/>
        <w:gridCol w:w="120"/>
        <w:gridCol w:w="837"/>
        <w:gridCol w:w="36"/>
        <w:gridCol w:w="36"/>
        <w:gridCol w:w="36"/>
        <w:gridCol w:w="36"/>
        <w:gridCol w:w="36"/>
        <w:gridCol w:w="36"/>
        <w:gridCol w:w="36"/>
      </w:tblGrid>
      <w:tr w:rsidR="00D7560A" w14:paraId="59E4AE72" w14:textId="77777777">
        <w:trPr>
          <w:jc w:val="center"/>
        </w:trPr>
        <w:tc>
          <w:tcPr>
            <w:tcW w:w="50" w:type="pct"/>
            <w:tcBorders>
              <w:top w:val="nil"/>
              <w:left w:val="nil"/>
              <w:bottom w:val="nil"/>
              <w:right w:val="nil"/>
            </w:tcBorders>
            <w:shd w:val="clear" w:color="auto" w:fill="auto"/>
            <w:vAlign w:val="bottom"/>
          </w:tcPr>
          <w:p w14:paraId="59E4AE58" w14:textId="77777777" w:rsidR="00D7560A" w:rsidRDefault="00D7560A">
            <w:pPr>
              <w:widowControl/>
              <w:jc w:val="left"/>
              <w:rPr>
                <w:rFonts w:ascii="Times New Roman" w:eastAsia="宋体" w:hAnsi="宋体" w:cs="宋体"/>
                <w:kern w:val="0"/>
                <w:sz w:val="24"/>
              </w:rPr>
            </w:pPr>
          </w:p>
        </w:tc>
        <w:tc>
          <w:tcPr>
            <w:tcW w:w="2415" w:type="pct"/>
            <w:tcBorders>
              <w:top w:val="nil"/>
              <w:left w:val="nil"/>
              <w:bottom w:val="nil"/>
              <w:right w:val="nil"/>
            </w:tcBorders>
            <w:shd w:val="clear" w:color="auto" w:fill="auto"/>
            <w:vAlign w:val="bottom"/>
          </w:tcPr>
          <w:p w14:paraId="59E4AE59"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AE5A"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AE5B" w14:textId="77777777" w:rsidR="00D7560A" w:rsidRDefault="00D7560A">
            <w:pPr>
              <w:widowControl/>
              <w:jc w:val="left"/>
              <w:rPr>
                <w:rFonts w:ascii="Times New Roman" w:eastAsia="宋体" w:hAnsi="宋体" w:cs="宋体"/>
                <w:kern w:val="0"/>
                <w:sz w:val="24"/>
              </w:rPr>
            </w:pPr>
          </w:p>
        </w:tc>
        <w:tc>
          <w:tcPr>
            <w:tcW w:w="551" w:type="pct"/>
            <w:tcBorders>
              <w:top w:val="nil"/>
              <w:left w:val="nil"/>
              <w:bottom w:val="nil"/>
              <w:right w:val="nil"/>
            </w:tcBorders>
            <w:shd w:val="clear" w:color="auto" w:fill="auto"/>
            <w:vAlign w:val="bottom"/>
          </w:tcPr>
          <w:p w14:paraId="59E4AE5C"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AE5D"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AE5E" w14:textId="77777777" w:rsidR="00D7560A" w:rsidRDefault="00D7560A">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59E4AE5F"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AE60"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AE61" w14:textId="77777777" w:rsidR="00D7560A" w:rsidRDefault="00D7560A">
            <w:pPr>
              <w:widowControl/>
              <w:jc w:val="left"/>
              <w:rPr>
                <w:rFonts w:ascii="Times New Roman" w:eastAsia="宋体" w:hAnsi="宋体" w:cs="宋体"/>
                <w:kern w:val="0"/>
                <w:sz w:val="24"/>
              </w:rPr>
            </w:pPr>
          </w:p>
        </w:tc>
        <w:tc>
          <w:tcPr>
            <w:tcW w:w="551" w:type="pct"/>
            <w:tcBorders>
              <w:top w:val="nil"/>
              <w:left w:val="nil"/>
              <w:bottom w:val="nil"/>
              <w:right w:val="nil"/>
            </w:tcBorders>
            <w:shd w:val="clear" w:color="auto" w:fill="auto"/>
            <w:vAlign w:val="bottom"/>
          </w:tcPr>
          <w:p w14:paraId="59E4AE62"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AE63"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AE64" w14:textId="77777777" w:rsidR="00D7560A" w:rsidRDefault="00D7560A">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59E4AE65"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AE66"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AE67" w14:textId="77777777" w:rsidR="00D7560A" w:rsidRDefault="00D7560A">
            <w:pPr>
              <w:widowControl/>
              <w:jc w:val="left"/>
              <w:rPr>
                <w:rFonts w:ascii="Times New Roman" w:eastAsia="宋体" w:hAnsi="宋体" w:cs="宋体"/>
                <w:kern w:val="0"/>
                <w:sz w:val="24"/>
              </w:rPr>
            </w:pPr>
          </w:p>
        </w:tc>
        <w:tc>
          <w:tcPr>
            <w:tcW w:w="551" w:type="pct"/>
            <w:tcBorders>
              <w:top w:val="nil"/>
              <w:left w:val="nil"/>
              <w:bottom w:val="nil"/>
              <w:right w:val="nil"/>
            </w:tcBorders>
            <w:shd w:val="clear" w:color="auto" w:fill="auto"/>
            <w:vAlign w:val="bottom"/>
          </w:tcPr>
          <w:p w14:paraId="59E4AE68"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AE69"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AE6A" w14:textId="77777777" w:rsidR="00D7560A" w:rsidRDefault="00D7560A">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59E4AE6B"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AE6C"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AE6D" w14:textId="77777777" w:rsidR="00D7560A" w:rsidRDefault="00D7560A">
            <w:pPr>
              <w:widowControl/>
              <w:jc w:val="left"/>
              <w:rPr>
                <w:rFonts w:ascii="Times New Roman" w:eastAsia="宋体" w:hAnsi="宋体" w:cs="宋体"/>
                <w:kern w:val="0"/>
                <w:sz w:val="24"/>
              </w:rPr>
            </w:pPr>
          </w:p>
        </w:tc>
        <w:tc>
          <w:tcPr>
            <w:tcW w:w="551" w:type="pct"/>
            <w:tcBorders>
              <w:top w:val="nil"/>
              <w:left w:val="nil"/>
              <w:bottom w:val="nil"/>
              <w:right w:val="nil"/>
            </w:tcBorders>
            <w:shd w:val="clear" w:color="auto" w:fill="auto"/>
            <w:vAlign w:val="bottom"/>
          </w:tcPr>
          <w:p w14:paraId="59E4AE6E"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AE6F"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59E4AE70"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E71" w14:textId="77777777" w:rsidR="00D7560A" w:rsidRDefault="00D7560A">
            <w:pPr>
              <w:widowControl/>
              <w:jc w:val="left"/>
              <w:rPr>
                <w:rFonts w:ascii="Times New Roman" w:eastAsia="宋体" w:hAnsi="宋体" w:cs="宋体"/>
                <w:vanish/>
                <w:kern w:val="0"/>
                <w:sz w:val="24"/>
              </w:rPr>
            </w:pPr>
          </w:p>
        </w:tc>
      </w:tr>
      <w:tr w:rsidR="00D7560A" w14:paraId="59E4AE7D"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9E4AE73"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59E4AE74"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Three Months Ended</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AE75" w14:textId="77777777" w:rsidR="00D7560A" w:rsidRDefault="00D7560A">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59E4AE76"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Six Months Ended</w:t>
            </w:r>
          </w:p>
        </w:tc>
        <w:tc>
          <w:tcPr>
            <w:tcW w:w="0" w:type="auto"/>
            <w:tcBorders>
              <w:top w:val="nil"/>
              <w:left w:val="nil"/>
              <w:bottom w:val="nil"/>
              <w:right w:val="nil"/>
            </w:tcBorders>
            <w:shd w:val="clear" w:color="auto" w:fill="auto"/>
            <w:vAlign w:val="bottom"/>
          </w:tcPr>
          <w:p w14:paraId="59E4AE77"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AE78"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AE79"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AE7A"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AE7B"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AE7C" w14:textId="77777777" w:rsidR="00D7560A" w:rsidRDefault="00D7560A">
            <w:pPr>
              <w:widowControl/>
              <w:jc w:val="left"/>
              <w:rPr>
                <w:rFonts w:ascii="Times New Roman" w:eastAsia="宋体" w:hAnsi="宋体" w:cs="宋体"/>
                <w:kern w:val="0"/>
                <w:sz w:val="24"/>
              </w:rPr>
            </w:pPr>
          </w:p>
        </w:tc>
      </w:tr>
      <w:tr w:rsidR="00D7560A" w14:paraId="59E4AE88"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9E4AE7E"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59E4AE7F"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29, 2022</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59E4AE80"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59E4AE81"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30, 2021</w:t>
            </w: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59E4AE82"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59E4AE83"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29, 2022</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59E4AE84"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59E4AE85"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30, 2021</w:t>
            </w:r>
          </w:p>
        </w:tc>
        <w:tc>
          <w:tcPr>
            <w:tcW w:w="0" w:type="auto"/>
            <w:gridSpan w:val="3"/>
            <w:tcBorders>
              <w:top w:val="nil"/>
              <w:left w:val="nil"/>
              <w:bottom w:val="nil"/>
              <w:right w:val="nil"/>
            </w:tcBorders>
            <w:shd w:val="clear" w:color="auto" w:fill="auto"/>
            <w:vAlign w:val="bottom"/>
          </w:tcPr>
          <w:p w14:paraId="59E4AE86"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E87" w14:textId="77777777" w:rsidR="00D7560A" w:rsidRDefault="00D7560A">
            <w:pPr>
              <w:widowControl/>
              <w:jc w:val="left"/>
              <w:rPr>
                <w:rFonts w:ascii="Times New Roman" w:eastAsia="宋体" w:hAnsi="宋体" w:cs="宋体"/>
                <w:vanish/>
                <w:kern w:val="0"/>
                <w:sz w:val="24"/>
              </w:rPr>
            </w:pPr>
          </w:p>
        </w:tc>
      </w:tr>
      <w:tr w:rsidR="00D7560A" w14:paraId="59E4AE91"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9E4AE89"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gridSpan w:val="21"/>
            <w:tcBorders>
              <w:top w:val="single" w:sz="8" w:space="0" w:color="000000"/>
              <w:left w:val="nil"/>
              <w:bottom w:val="nil"/>
              <w:right w:val="nil"/>
            </w:tcBorders>
            <w:shd w:val="clear" w:color="auto" w:fill="auto"/>
            <w:tcMar>
              <w:top w:w="40" w:type="dxa"/>
              <w:left w:w="20" w:type="dxa"/>
              <w:bottom w:w="40" w:type="dxa"/>
              <w:right w:w="20" w:type="dxa"/>
            </w:tcMar>
            <w:vAlign w:val="bottom"/>
          </w:tcPr>
          <w:p w14:paraId="59E4AE8A"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(in millions)</w:t>
            </w:r>
          </w:p>
        </w:tc>
        <w:tc>
          <w:tcPr>
            <w:tcW w:w="0" w:type="auto"/>
            <w:tcBorders>
              <w:top w:val="nil"/>
              <w:left w:val="nil"/>
              <w:bottom w:val="nil"/>
              <w:right w:val="nil"/>
            </w:tcBorders>
            <w:shd w:val="clear" w:color="auto" w:fill="auto"/>
            <w:vAlign w:val="bottom"/>
          </w:tcPr>
          <w:p w14:paraId="59E4AE8B"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AE8C"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AE8D"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AE8E"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AE8F"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AE90" w14:textId="77777777" w:rsidR="00D7560A" w:rsidRDefault="00D7560A">
            <w:pPr>
              <w:widowControl/>
              <w:jc w:val="left"/>
              <w:rPr>
                <w:rFonts w:ascii="Times New Roman" w:eastAsia="宋体" w:hAnsi="宋体" w:cs="宋体"/>
                <w:kern w:val="0"/>
                <w:sz w:val="24"/>
              </w:rPr>
            </w:pPr>
          </w:p>
        </w:tc>
      </w:tr>
      <w:tr w:rsidR="00D7560A" w14:paraId="59E4AE9C"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9E4AE92"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i/>
                <w:iCs/>
                <w:color w:val="000000"/>
                <w:kern w:val="0"/>
                <w:sz w:val="20"/>
                <w:szCs w:val="20"/>
                <w:lang w:bidi="ar"/>
              </w:rPr>
              <w:t>Net revenue:</w:t>
            </w: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9E4AE93"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E94"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9E4AE95"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E96"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9E4AE97"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E98"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E99"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59E4AE9A"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E9B" w14:textId="77777777" w:rsidR="00D7560A" w:rsidRDefault="00D7560A">
            <w:pPr>
              <w:widowControl/>
              <w:jc w:val="left"/>
              <w:rPr>
                <w:rFonts w:ascii="Times New Roman" w:eastAsia="宋体" w:hAnsi="宋体" w:cs="宋体"/>
                <w:vanish/>
                <w:kern w:val="0"/>
                <w:sz w:val="24"/>
              </w:rPr>
            </w:pPr>
          </w:p>
        </w:tc>
      </w:tr>
      <w:tr w:rsidR="00D7560A" w14:paraId="59E4AEA7" w14:textId="77777777">
        <w:trPr>
          <w:jc w:val="center"/>
        </w:trPr>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59E4AE9D"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i/>
                <w:iCs/>
                <w:color w:val="000000"/>
                <w:kern w:val="0"/>
                <w:sz w:val="20"/>
                <w:szCs w:val="20"/>
                <w:lang w:bidi="ar"/>
              </w:rPr>
              <w:t>Infrastructure Solutions Group:</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E9E"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E9F"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EA0"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EA1"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EA2"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EA3"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EA4"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59E4AEA5"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EA6" w14:textId="77777777" w:rsidR="00D7560A" w:rsidRDefault="00D7560A">
            <w:pPr>
              <w:widowControl/>
              <w:jc w:val="left"/>
              <w:rPr>
                <w:rFonts w:ascii="Times New Roman" w:eastAsia="宋体" w:hAnsi="宋体" w:cs="宋体"/>
                <w:vanish/>
                <w:kern w:val="0"/>
                <w:sz w:val="24"/>
              </w:rPr>
            </w:pPr>
          </w:p>
        </w:tc>
      </w:tr>
      <w:tr w:rsidR="00D7560A" w14:paraId="59E4AEBA" w14:textId="77777777">
        <w:trPr>
          <w:jc w:val="center"/>
        </w:trPr>
        <w:tc>
          <w:tcPr>
            <w:tcW w:w="0" w:type="auto"/>
            <w:gridSpan w:val="3"/>
            <w:tcBorders>
              <w:top w:val="nil"/>
              <w:left w:val="nil"/>
              <w:bottom w:val="nil"/>
              <w:right w:val="nil"/>
            </w:tcBorders>
            <w:shd w:val="clear" w:color="auto" w:fill="CCEEFF"/>
            <w:tcMar>
              <w:top w:w="40" w:type="dxa"/>
              <w:left w:w="380" w:type="dxa"/>
              <w:bottom w:w="40" w:type="dxa"/>
              <w:right w:w="20" w:type="dxa"/>
            </w:tcMar>
            <w:vAlign w:val="bottom"/>
          </w:tcPr>
          <w:p w14:paraId="59E4AEA8"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Servers and networking</w:t>
            </w: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9E4AEA9"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9E4AEAA"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5,209 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AEAB"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EAC"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9E4AEAD"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9E4AEAE"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4,480 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AEAF"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EB0"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9E4AEB1"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9E4AEB2"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10,257 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AEB3"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EB4"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9E4AEB5"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9E4AEB6"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8,620 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AEB7"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59E4AEB8"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EB9" w14:textId="77777777" w:rsidR="00D7560A" w:rsidRDefault="00D7560A">
            <w:pPr>
              <w:widowControl/>
              <w:jc w:val="left"/>
              <w:rPr>
                <w:rFonts w:ascii="Times New Roman" w:eastAsia="宋体" w:hAnsi="宋体" w:cs="宋体"/>
                <w:vanish/>
                <w:kern w:val="0"/>
                <w:sz w:val="24"/>
              </w:rPr>
            </w:pPr>
          </w:p>
        </w:tc>
      </w:tr>
      <w:tr w:rsidR="00D7560A" w14:paraId="59E4AEC9" w14:textId="77777777">
        <w:trPr>
          <w:jc w:val="center"/>
        </w:trPr>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59E4AEBB"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Storage</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AEBC"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4,327 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AEBD"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EBE"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AEBF"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4,070 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AEC0"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EC1"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AEC2"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8,564 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AEC3"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EC4"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AEC5"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7,963 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AEC6"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59E4AEC7"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EC8" w14:textId="77777777" w:rsidR="00D7560A" w:rsidRDefault="00D7560A">
            <w:pPr>
              <w:widowControl/>
              <w:jc w:val="left"/>
              <w:rPr>
                <w:rFonts w:ascii="Times New Roman" w:eastAsia="宋体" w:hAnsi="宋体" w:cs="宋体"/>
                <w:vanish/>
                <w:kern w:val="0"/>
                <w:sz w:val="24"/>
              </w:rPr>
            </w:pPr>
          </w:p>
        </w:tc>
      </w:tr>
      <w:tr w:rsidR="00D7560A" w14:paraId="59E4AEDC" w14:textId="77777777">
        <w:trPr>
          <w:jc w:val="center"/>
        </w:trPr>
        <w:tc>
          <w:tcPr>
            <w:tcW w:w="0" w:type="auto"/>
            <w:gridSpan w:val="3"/>
            <w:tcBorders>
              <w:top w:val="nil"/>
              <w:left w:val="nil"/>
              <w:bottom w:val="nil"/>
              <w:right w:val="nil"/>
            </w:tcBorders>
            <w:shd w:val="clear" w:color="auto" w:fill="CCEEFF"/>
            <w:tcMar>
              <w:top w:w="40" w:type="dxa"/>
              <w:left w:w="605" w:type="dxa"/>
              <w:bottom w:w="40" w:type="dxa"/>
              <w:right w:w="20" w:type="dxa"/>
            </w:tcMar>
            <w:vAlign w:val="bottom"/>
          </w:tcPr>
          <w:p w14:paraId="59E4AECA"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Total ISG net revenue</w:t>
            </w: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59E4AECB"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59E4AECC"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9,536 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59E4AECD"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ECE"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59E4AECF"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59E4AED0"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8,550 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59E4AED1"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ED2"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59E4AED3"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59E4AED4"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18,821 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59E4AED5"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ED6"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59E4AED7"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59E4AED8"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16,583 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59E4AED9"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59E4AEDA"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EDB" w14:textId="77777777" w:rsidR="00D7560A" w:rsidRDefault="00D7560A">
            <w:pPr>
              <w:widowControl/>
              <w:jc w:val="left"/>
              <w:rPr>
                <w:rFonts w:ascii="Times New Roman" w:eastAsia="宋体" w:hAnsi="宋体" w:cs="宋体"/>
                <w:vanish/>
                <w:kern w:val="0"/>
                <w:sz w:val="24"/>
              </w:rPr>
            </w:pPr>
          </w:p>
        </w:tc>
      </w:tr>
      <w:tr w:rsidR="00D7560A" w14:paraId="59E4AEE7" w14:textId="77777777">
        <w:trPr>
          <w:jc w:val="center"/>
        </w:trPr>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59E4AEDD"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i/>
                <w:iCs/>
                <w:color w:val="000000"/>
                <w:kern w:val="0"/>
                <w:sz w:val="20"/>
                <w:szCs w:val="20"/>
                <w:lang w:bidi="ar"/>
              </w:rPr>
              <w:t>Client Solutions Group:</w:t>
            </w: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59E4AEDE"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EDF" w14:textId="77777777" w:rsidR="00D7560A" w:rsidRDefault="00D7560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59E4AEE0"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EE1" w14:textId="77777777" w:rsidR="00D7560A" w:rsidRDefault="00D7560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59E4AEE2"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EE3" w14:textId="77777777" w:rsidR="00D7560A" w:rsidRDefault="00D7560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59E4AEE4"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59E4AEE5"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EE6" w14:textId="77777777" w:rsidR="00D7560A" w:rsidRDefault="00D7560A">
            <w:pPr>
              <w:widowControl/>
              <w:jc w:val="left"/>
              <w:rPr>
                <w:rFonts w:ascii="Times New Roman" w:eastAsia="宋体" w:hAnsi="宋体" w:cs="宋体"/>
                <w:vanish/>
                <w:kern w:val="0"/>
                <w:sz w:val="24"/>
              </w:rPr>
            </w:pPr>
          </w:p>
        </w:tc>
      </w:tr>
      <w:tr w:rsidR="00D7560A" w14:paraId="59E4AEFA" w14:textId="77777777">
        <w:trPr>
          <w:jc w:val="center"/>
        </w:trPr>
        <w:tc>
          <w:tcPr>
            <w:tcW w:w="0" w:type="auto"/>
            <w:gridSpan w:val="3"/>
            <w:tcBorders>
              <w:top w:val="nil"/>
              <w:left w:val="nil"/>
              <w:bottom w:val="nil"/>
              <w:right w:val="nil"/>
            </w:tcBorders>
            <w:shd w:val="clear" w:color="auto" w:fill="CCEEFF"/>
            <w:tcMar>
              <w:top w:w="40" w:type="dxa"/>
              <w:left w:w="380" w:type="dxa"/>
              <w:bottom w:w="40" w:type="dxa"/>
              <w:right w:w="20" w:type="dxa"/>
            </w:tcMar>
            <w:vAlign w:val="bottom"/>
          </w:tcPr>
          <w:p w14:paraId="59E4AEE8"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Commercial</w:t>
            </w: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9E4AEE9"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9E4AEEA"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12,141 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AEEB"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EEC"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9E4AEED"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9E4AEEE"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10,577 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AEEF"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EF0"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9E4AEF1"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9E4AEF2"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24,112 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AEF3"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EF4"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9E4AEF5"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9E4AEF6"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20,385 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AEF7"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59E4AEF8"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EF9" w14:textId="77777777" w:rsidR="00D7560A" w:rsidRDefault="00D7560A">
            <w:pPr>
              <w:widowControl/>
              <w:jc w:val="left"/>
              <w:rPr>
                <w:rFonts w:ascii="Times New Roman" w:eastAsia="宋体" w:hAnsi="宋体" w:cs="宋体"/>
                <w:vanish/>
                <w:kern w:val="0"/>
                <w:sz w:val="24"/>
              </w:rPr>
            </w:pPr>
          </w:p>
        </w:tc>
      </w:tr>
      <w:tr w:rsidR="00D7560A" w14:paraId="59E4AF09" w14:textId="77777777">
        <w:trPr>
          <w:jc w:val="center"/>
        </w:trPr>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59E4AEFB"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Consumer</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AEFC"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3,349 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AEFD"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EFE"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AEFF"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3,691 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AF00"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F01"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AF02"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6,965 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AF03"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F04"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AF05"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7,194 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AF06"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59E4AF07"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F08" w14:textId="77777777" w:rsidR="00D7560A" w:rsidRDefault="00D7560A">
            <w:pPr>
              <w:widowControl/>
              <w:jc w:val="left"/>
              <w:rPr>
                <w:rFonts w:ascii="Times New Roman" w:eastAsia="宋体" w:hAnsi="宋体" w:cs="宋体"/>
                <w:vanish/>
                <w:kern w:val="0"/>
                <w:sz w:val="24"/>
              </w:rPr>
            </w:pPr>
          </w:p>
        </w:tc>
      </w:tr>
      <w:tr w:rsidR="00D7560A" w14:paraId="59E4AF1C" w14:textId="77777777">
        <w:trPr>
          <w:jc w:val="center"/>
        </w:trPr>
        <w:tc>
          <w:tcPr>
            <w:tcW w:w="0" w:type="auto"/>
            <w:gridSpan w:val="3"/>
            <w:tcBorders>
              <w:top w:val="nil"/>
              <w:left w:val="nil"/>
              <w:bottom w:val="nil"/>
              <w:right w:val="nil"/>
            </w:tcBorders>
            <w:shd w:val="clear" w:color="auto" w:fill="CCEEFF"/>
            <w:tcMar>
              <w:top w:w="40" w:type="dxa"/>
              <w:left w:w="605" w:type="dxa"/>
              <w:bottom w:w="40" w:type="dxa"/>
              <w:right w:w="20" w:type="dxa"/>
            </w:tcMar>
            <w:vAlign w:val="bottom"/>
          </w:tcPr>
          <w:p w14:paraId="59E4AF0A"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Total CSG net revenue</w:t>
            </w: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59E4AF0B"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59E4AF0C"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15,490 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59E4AF0D"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F0E"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59E4AF0F"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59E4AF10"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14,268 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59E4AF11"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F12"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59E4AF13"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59E4AF14"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31,077 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59E4AF15"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F16"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59E4AF17"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59E4AF18"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27,579 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59E4AF19"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59E4AF1A"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F1B" w14:textId="77777777" w:rsidR="00D7560A" w:rsidRDefault="00D7560A">
            <w:pPr>
              <w:widowControl/>
              <w:jc w:val="left"/>
              <w:rPr>
                <w:rFonts w:ascii="Times New Roman" w:eastAsia="宋体" w:hAnsi="宋体" w:cs="宋体"/>
                <w:vanish/>
                <w:kern w:val="0"/>
                <w:sz w:val="24"/>
              </w:rPr>
            </w:pPr>
          </w:p>
        </w:tc>
      </w:tr>
    </w:tbl>
    <w:p w14:paraId="59E4AF1D" w14:textId="77777777" w:rsidR="00D7560A" w:rsidRDefault="001E3CAB">
      <w:pPr>
        <w:widowControl/>
        <w:spacing w:before="20"/>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AF1E" w14:textId="77777777" w:rsidR="00D7560A" w:rsidRDefault="001E3CAB">
      <w:pPr>
        <w:widowControl/>
        <w:spacing w:after="120"/>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AF1F"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AF20"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54</w:t>
      </w:r>
    </w:p>
    <w:p w14:paraId="59E4AF21"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AF22" w14:textId="77777777" w:rsidR="00D7560A" w:rsidRDefault="001E3CAB">
      <w:pPr>
        <w:widowControl/>
        <w:jc w:val="center"/>
      </w:pPr>
      <w:r>
        <w:rPr>
          <w:rFonts w:ascii="宋体" w:eastAsia="宋体" w:hAnsi="宋体" w:cs="宋体"/>
          <w:kern w:val="0"/>
          <w:sz w:val="24"/>
        </w:rPr>
        <w:pict w14:anchorId="59E4C801">
          <v:rect id="_x0000_i1078" style="width:6in;height:1.5pt" o:hralign="center" o:hrstd="t" o:hr="t" fillcolor="#a0a0a0" stroked="f"/>
        </w:pict>
      </w:r>
    </w:p>
    <w:p w14:paraId="59E4AF23" w14:textId="77777777" w:rsidR="00D7560A" w:rsidRDefault="001E3CAB">
      <w:pPr>
        <w:widowControl/>
        <w:jc w:val="left"/>
        <w:rPr>
          <w:rFonts w:ascii="宋体" w:eastAsia="宋体" w:hAnsi="宋体" w:cs="宋体"/>
          <w:kern w:val="0"/>
          <w:sz w:val="24"/>
        </w:rPr>
      </w:pPr>
      <w:hyperlink w:anchor="if933dd1d5d004d2495dd7029e3ecad00_13" w:history="1">
        <w:r>
          <w:rPr>
            <w:rStyle w:val="a4"/>
            <w:rFonts w:ascii="Times New Roman" w:eastAsia="宋体" w:hAnsi="Times New Roman" w:cs="Times New Roman"/>
            <w:sz w:val="20"/>
            <w:szCs w:val="20"/>
          </w:rPr>
          <w:t>Table of Contents</w:t>
        </w:r>
      </w:hyperlink>
    </w:p>
    <w:p w14:paraId="59E4AF24"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DELL TECHNOLOGIES INC.</w:t>
      </w:r>
    </w:p>
    <w:p w14:paraId="59E4AF25"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NOTES TO THE CONDENSED CONSOLIDATED FINANCIAL STATEMENTS (Continued)</w:t>
      </w:r>
    </w:p>
    <w:p w14:paraId="59E4AF26"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(unaudited)</w:t>
      </w:r>
    </w:p>
    <w:p w14:paraId="59E4AF27"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AF28"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 xml:space="preserve">NOTE 18 — SUPPLEMENTAL CONSOLIDATED FINANCIAL </w:t>
      </w:r>
      <w:r>
        <w:rPr>
          <w:rFonts w:ascii="Times New Roman" w:eastAsia="宋体" w:hAnsi="Times New Roman" w:cs="Times New Roman"/>
          <w:b/>
          <w:bCs/>
          <w:color w:val="000000"/>
          <w:kern w:val="0"/>
          <w:sz w:val="20"/>
          <w:szCs w:val="20"/>
          <w:lang w:bidi="ar"/>
        </w:rPr>
        <w:t>INFORMATION</w:t>
      </w:r>
    </w:p>
    <w:p w14:paraId="59E4AF29"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AF2A" w14:textId="77777777" w:rsidR="00D7560A" w:rsidRDefault="001E3CAB">
      <w:pPr>
        <w:widowControl/>
        <w:spacing w:after="12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The following table presents additional information on selected assets included in the Condensed Consolidated Statements of Financial Position as of the dates indicated:</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40"/>
        <w:gridCol w:w="5425"/>
        <w:gridCol w:w="39"/>
        <w:gridCol w:w="120"/>
        <w:gridCol w:w="1206"/>
        <w:gridCol w:w="36"/>
        <w:gridCol w:w="36"/>
        <w:gridCol w:w="36"/>
        <w:gridCol w:w="36"/>
        <w:gridCol w:w="120"/>
        <w:gridCol w:w="1206"/>
        <w:gridCol w:w="36"/>
      </w:tblGrid>
      <w:tr w:rsidR="00D7560A" w14:paraId="59E4AF37" w14:textId="77777777">
        <w:tc>
          <w:tcPr>
            <w:tcW w:w="50" w:type="pct"/>
            <w:tcBorders>
              <w:top w:val="nil"/>
              <w:left w:val="nil"/>
              <w:bottom w:val="nil"/>
              <w:right w:val="nil"/>
            </w:tcBorders>
            <w:shd w:val="clear" w:color="auto" w:fill="auto"/>
            <w:vAlign w:val="bottom"/>
          </w:tcPr>
          <w:p w14:paraId="59E4AF2B" w14:textId="77777777" w:rsidR="00D7560A" w:rsidRDefault="00D7560A">
            <w:pPr>
              <w:widowControl/>
              <w:jc w:val="left"/>
              <w:rPr>
                <w:rFonts w:ascii="Times New Roman" w:eastAsia="宋体" w:hAnsi="宋体" w:cs="宋体"/>
                <w:kern w:val="0"/>
                <w:sz w:val="24"/>
              </w:rPr>
            </w:pPr>
          </w:p>
        </w:tc>
        <w:tc>
          <w:tcPr>
            <w:tcW w:w="3292" w:type="pct"/>
            <w:tcBorders>
              <w:top w:val="nil"/>
              <w:left w:val="nil"/>
              <w:bottom w:val="nil"/>
              <w:right w:val="nil"/>
            </w:tcBorders>
            <w:shd w:val="clear" w:color="auto" w:fill="auto"/>
            <w:vAlign w:val="bottom"/>
          </w:tcPr>
          <w:p w14:paraId="59E4AF2C"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AF2D"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AF2E" w14:textId="77777777" w:rsidR="00D7560A" w:rsidRDefault="00D7560A">
            <w:pPr>
              <w:widowControl/>
              <w:jc w:val="left"/>
              <w:rPr>
                <w:rFonts w:ascii="Times New Roman" w:eastAsia="宋体" w:hAnsi="宋体" w:cs="宋体"/>
                <w:kern w:val="0"/>
                <w:sz w:val="24"/>
              </w:rPr>
            </w:pPr>
          </w:p>
        </w:tc>
        <w:tc>
          <w:tcPr>
            <w:tcW w:w="756" w:type="pct"/>
            <w:tcBorders>
              <w:top w:val="nil"/>
              <w:left w:val="nil"/>
              <w:bottom w:val="nil"/>
              <w:right w:val="nil"/>
            </w:tcBorders>
            <w:shd w:val="clear" w:color="auto" w:fill="auto"/>
            <w:vAlign w:val="bottom"/>
          </w:tcPr>
          <w:p w14:paraId="59E4AF2F"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AF30"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AF31" w14:textId="77777777" w:rsidR="00D7560A" w:rsidRDefault="00D7560A">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59E4AF32"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AF33"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AF34" w14:textId="77777777" w:rsidR="00D7560A" w:rsidRDefault="00D7560A">
            <w:pPr>
              <w:widowControl/>
              <w:jc w:val="left"/>
              <w:rPr>
                <w:rFonts w:ascii="Times New Roman" w:eastAsia="宋体" w:hAnsi="宋体" w:cs="宋体"/>
                <w:kern w:val="0"/>
                <w:sz w:val="24"/>
              </w:rPr>
            </w:pPr>
          </w:p>
        </w:tc>
        <w:tc>
          <w:tcPr>
            <w:tcW w:w="756" w:type="pct"/>
            <w:tcBorders>
              <w:top w:val="nil"/>
              <w:left w:val="nil"/>
              <w:bottom w:val="nil"/>
              <w:right w:val="nil"/>
            </w:tcBorders>
            <w:shd w:val="clear" w:color="auto" w:fill="auto"/>
            <w:vAlign w:val="bottom"/>
          </w:tcPr>
          <w:p w14:paraId="59E4AF35"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AF36" w14:textId="77777777" w:rsidR="00D7560A" w:rsidRDefault="00D7560A">
            <w:pPr>
              <w:widowControl/>
              <w:jc w:val="left"/>
              <w:rPr>
                <w:rFonts w:ascii="Times New Roman" w:eastAsia="宋体" w:hAnsi="宋体" w:cs="宋体"/>
                <w:kern w:val="0"/>
                <w:sz w:val="24"/>
              </w:rPr>
            </w:pPr>
          </w:p>
        </w:tc>
      </w:tr>
      <w:tr w:rsidR="00D7560A" w14:paraId="59E4AF3C"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9E4AF38"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9E4AF39"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29, 2022</w:t>
            </w: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59E4AF3A"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auto"/>
            <w:tcMar>
              <w:top w:w="40" w:type="dxa"/>
              <w:left w:w="20" w:type="dxa"/>
              <w:bottom w:w="40" w:type="dxa"/>
              <w:right w:w="20" w:type="dxa"/>
            </w:tcMar>
            <w:vAlign w:val="bottom"/>
          </w:tcPr>
          <w:p w14:paraId="59E4AF3B"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January 28, 2022</w:t>
            </w:r>
          </w:p>
        </w:tc>
      </w:tr>
      <w:tr w:rsidR="00D7560A" w14:paraId="59E4AF3F"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9E4AF3D"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gridSpan w:val="9"/>
            <w:tcBorders>
              <w:top w:val="single" w:sz="8" w:space="0" w:color="000000"/>
              <w:left w:val="nil"/>
              <w:bottom w:val="nil"/>
              <w:right w:val="nil"/>
            </w:tcBorders>
            <w:shd w:val="clear" w:color="auto" w:fill="auto"/>
            <w:tcMar>
              <w:top w:w="40" w:type="dxa"/>
              <w:left w:w="20" w:type="dxa"/>
              <w:bottom w:w="40" w:type="dxa"/>
              <w:right w:w="20" w:type="dxa"/>
            </w:tcMar>
            <w:vAlign w:val="bottom"/>
          </w:tcPr>
          <w:p w14:paraId="59E4AF3E"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(in millions)</w:t>
            </w:r>
          </w:p>
        </w:tc>
      </w:tr>
      <w:tr w:rsidR="00D7560A" w14:paraId="59E4AF44"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9E4AF40"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i/>
                <w:iCs/>
                <w:color w:val="000000"/>
                <w:kern w:val="0"/>
                <w:sz w:val="20"/>
                <w:szCs w:val="20"/>
                <w:lang w:bidi="ar"/>
              </w:rPr>
              <w:t>Cash, cash equivalents, and restricted cash:</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F41"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F42"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F43" w14:textId="77777777" w:rsidR="00D7560A" w:rsidRDefault="00D7560A">
            <w:pPr>
              <w:widowControl/>
              <w:jc w:val="left"/>
              <w:rPr>
                <w:rFonts w:ascii="Times New Roman" w:eastAsia="宋体" w:hAnsi="宋体" w:cs="宋体"/>
                <w:kern w:val="0"/>
                <w:sz w:val="24"/>
              </w:rPr>
            </w:pPr>
          </w:p>
        </w:tc>
      </w:tr>
      <w:tr w:rsidR="00D7560A" w14:paraId="59E4AF4D" w14:textId="77777777">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59E4AF45"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Cash and cash equivalents</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9E4AF46"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9E4AF47"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5,507 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AF48"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F49"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9E4AF4A"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9E4AF4B"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9,477 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AF4C" w14:textId="77777777" w:rsidR="00D7560A" w:rsidRDefault="00D7560A">
            <w:pPr>
              <w:widowControl/>
              <w:jc w:val="right"/>
              <w:rPr>
                <w:rFonts w:ascii="Times New Roman" w:eastAsia="宋体" w:hAnsi="宋体" w:cs="宋体"/>
                <w:kern w:val="0"/>
                <w:sz w:val="24"/>
              </w:rPr>
            </w:pPr>
          </w:p>
        </w:tc>
      </w:tr>
      <w:tr w:rsidR="00D7560A" w14:paraId="59E4AF54" w14:textId="77777777">
        <w:tc>
          <w:tcPr>
            <w:tcW w:w="0" w:type="auto"/>
            <w:gridSpan w:val="3"/>
            <w:tcBorders>
              <w:top w:val="nil"/>
              <w:left w:val="nil"/>
              <w:bottom w:val="nil"/>
              <w:right w:val="nil"/>
            </w:tcBorders>
            <w:shd w:val="clear" w:color="auto" w:fill="CCEEFF"/>
            <w:tcMar>
              <w:top w:w="40" w:type="dxa"/>
              <w:left w:w="155" w:type="dxa"/>
              <w:bottom w:w="40" w:type="dxa"/>
              <w:right w:w="20" w:type="dxa"/>
            </w:tcMar>
            <w:vAlign w:val="bottom"/>
          </w:tcPr>
          <w:p w14:paraId="59E4AF4E"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Restricted cash - other current assets (a)</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AF4F"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571 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AF50"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F51"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AF52"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534 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AF53" w14:textId="77777777" w:rsidR="00D7560A" w:rsidRDefault="00D7560A">
            <w:pPr>
              <w:widowControl/>
              <w:jc w:val="right"/>
              <w:rPr>
                <w:rFonts w:ascii="Times New Roman" w:eastAsia="宋体" w:hAnsi="宋体" w:cs="宋体"/>
                <w:kern w:val="0"/>
                <w:sz w:val="24"/>
              </w:rPr>
            </w:pPr>
          </w:p>
        </w:tc>
      </w:tr>
      <w:tr w:rsidR="00D7560A" w14:paraId="59E4AF5B" w14:textId="77777777">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59E4AF55"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Restricted cash - other non-current assets (a)</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AF56"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AF57"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F58"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AF59"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AF5A" w14:textId="77777777" w:rsidR="00D7560A" w:rsidRDefault="00D7560A">
            <w:pPr>
              <w:widowControl/>
              <w:jc w:val="right"/>
              <w:rPr>
                <w:rFonts w:ascii="Times New Roman" w:eastAsia="宋体" w:hAnsi="宋体" w:cs="宋体"/>
                <w:kern w:val="0"/>
                <w:sz w:val="24"/>
              </w:rPr>
            </w:pPr>
          </w:p>
        </w:tc>
      </w:tr>
      <w:tr w:rsidR="00D7560A" w14:paraId="59E4AF64" w14:textId="77777777">
        <w:tc>
          <w:tcPr>
            <w:tcW w:w="0" w:type="auto"/>
            <w:gridSpan w:val="3"/>
            <w:tcBorders>
              <w:top w:val="nil"/>
              <w:left w:val="nil"/>
              <w:bottom w:val="nil"/>
              <w:right w:val="nil"/>
            </w:tcBorders>
            <w:shd w:val="clear" w:color="auto" w:fill="CCEEFF"/>
            <w:tcMar>
              <w:top w:w="40" w:type="dxa"/>
              <w:left w:w="245" w:type="dxa"/>
              <w:bottom w:w="40" w:type="dxa"/>
              <w:right w:w="20" w:type="dxa"/>
            </w:tcMar>
            <w:vAlign w:val="bottom"/>
          </w:tcPr>
          <w:p w14:paraId="59E4AF5C"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Total cash, cash equivalents, and </w:t>
            </w:r>
            <w:r>
              <w:rPr>
                <w:rFonts w:ascii="Times New Roman" w:eastAsia="宋体" w:hAnsi="Times New Roman" w:cs="Times New Roman"/>
                <w:color w:val="000000"/>
                <w:kern w:val="0"/>
                <w:sz w:val="20"/>
                <w:szCs w:val="20"/>
                <w:lang w:bidi="ar"/>
              </w:rPr>
              <w:t>restricted cash</w:t>
            </w: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59E4AF5D"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59E4AF5E"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6,093 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59E4AF5F"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F60"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59E4AF61"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59E4AF62"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10,082 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59E4AF63" w14:textId="77777777" w:rsidR="00D7560A" w:rsidRDefault="00D7560A">
            <w:pPr>
              <w:widowControl/>
              <w:jc w:val="right"/>
              <w:rPr>
                <w:rFonts w:ascii="Times New Roman" w:eastAsia="宋体" w:hAnsi="宋体" w:cs="宋体"/>
                <w:kern w:val="0"/>
                <w:sz w:val="24"/>
              </w:rPr>
            </w:pPr>
          </w:p>
        </w:tc>
      </w:tr>
      <w:tr w:rsidR="00D7560A" w14:paraId="59E4AF69"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59E4AF65"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i/>
                <w:iCs/>
                <w:color w:val="000000"/>
                <w:kern w:val="0"/>
                <w:sz w:val="20"/>
                <w:szCs w:val="20"/>
                <w:lang w:bidi="ar"/>
              </w:rPr>
              <w:t>Inventories, net:</w:t>
            </w: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59E4AF66"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F67" w14:textId="77777777" w:rsidR="00D7560A" w:rsidRDefault="00D7560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59E4AF68" w14:textId="77777777" w:rsidR="00D7560A" w:rsidRDefault="00D7560A">
            <w:pPr>
              <w:widowControl/>
              <w:jc w:val="left"/>
              <w:rPr>
                <w:rFonts w:ascii="Times New Roman" w:eastAsia="宋体" w:hAnsi="宋体" w:cs="宋体"/>
                <w:kern w:val="0"/>
                <w:sz w:val="24"/>
              </w:rPr>
            </w:pPr>
          </w:p>
        </w:tc>
      </w:tr>
      <w:tr w:rsidR="00D7560A" w14:paraId="59E4AF72" w14:textId="77777777">
        <w:tc>
          <w:tcPr>
            <w:tcW w:w="0" w:type="auto"/>
            <w:gridSpan w:val="3"/>
            <w:tcBorders>
              <w:top w:val="nil"/>
              <w:left w:val="nil"/>
              <w:bottom w:val="nil"/>
              <w:right w:val="nil"/>
            </w:tcBorders>
            <w:shd w:val="clear" w:color="auto" w:fill="CCEEFF"/>
            <w:tcMar>
              <w:top w:w="40" w:type="dxa"/>
              <w:left w:w="155" w:type="dxa"/>
              <w:bottom w:w="40" w:type="dxa"/>
              <w:right w:w="20" w:type="dxa"/>
            </w:tcMar>
            <w:vAlign w:val="bottom"/>
          </w:tcPr>
          <w:p w14:paraId="59E4AF6A"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Production materials</w:t>
            </w: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9E4AF6B"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9E4AF6C"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3,604 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AF6D"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F6E"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9E4AF6F"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9E4AF70"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3,653 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AF71" w14:textId="77777777" w:rsidR="00D7560A" w:rsidRDefault="00D7560A">
            <w:pPr>
              <w:widowControl/>
              <w:jc w:val="right"/>
              <w:rPr>
                <w:rFonts w:ascii="Times New Roman" w:eastAsia="宋体" w:hAnsi="宋体" w:cs="宋体"/>
                <w:kern w:val="0"/>
                <w:sz w:val="24"/>
              </w:rPr>
            </w:pPr>
          </w:p>
        </w:tc>
      </w:tr>
      <w:tr w:rsidR="00D7560A" w14:paraId="59E4AF79" w14:textId="77777777">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59E4AF73"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Work-in-process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AF74"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892 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AF75"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F76"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AF77"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855 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AF78" w14:textId="77777777" w:rsidR="00D7560A" w:rsidRDefault="00D7560A">
            <w:pPr>
              <w:widowControl/>
              <w:jc w:val="right"/>
              <w:rPr>
                <w:rFonts w:ascii="Times New Roman" w:eastAsia="宋体" w:hAnsi="宋体" w:cs="宋体"/>
                <w:kern w:val="0"/>
                <w:sz w:val="24"/>
              </w:rPr>
            </w:pPr>
          </w:p>
        </w:tc>
      </w:tr>
      <w:tr w:rsidR="00D7560A" w14:paraId="59E4AF80" w14:textId="77777777">
        <w:tc>
          <w:tcPr>
            <w:tcW w:w="0" w:type="auto"/>
            <w:gridSpan w:val="3"/>
            <w:tcBorders>
              <w:top w:val="nil"/>
              <w:left w:val="nil"/>
              <w:bottom w:val="nil"/>
              <w:right w:val="nil"/>
            </w:tcBorders>
            <w:shd w:val="clear" w:color="auto" w:fill="CCEEFF"/>
            <w:tcMar>
              <w:top w:w="40" w:type="dxa"/>
              <w:left w:w="155" w:type="dxa"/>
              <w:bottom w:w="40" w:type="dxa"/>
              <w:right w:w="20" w:type="dxa"/>
            </w:tcMar>
            <w:vAlign w:val="bottom"/>
          </w:tcPr>
          <w:p w14:paraId="59E4AF7A"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Finished goods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AF7B"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1,387 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AF7C"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F7D"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AF7E"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1,390 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AF7F" w14:textId="77777777" w:rsidR="00D7560A" w:rsidRDefault="00D7560A">
            <w:pPr>
              <w:widowControl/>
              <w:jc w:val="right"/>
              <w:rPr>
                <w:rFonts w:ascii="Times New Roman" w:eastAsia="宋体" w:hAnsi="宋体" w:cs="宋体"/>
                <w:kern w:val="0"/>
                <w:sz w:val="24"/>
              </w:rPr>
            </w:pPr>
          </w:p>
        </w:tc>
      </w:tr>
      <w:tr w:rsidR="00D7560A" w14:paraId="59E4AF89" w14:textId="77777777">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59E4AF81"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Total inventories, net</w:t>
            </w: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59E4AF82"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FFFFFF"/>
            <w:tcMar>
              <w:top w:w="40" w:type="dxa"/>
              <w:left w:w="0" w:type="dxa"/>
              <w:bottom w:w="40" w:type="dxa"/>
              <w:right w:w="0" w:type="dxa"/>
            </w:tcMar>
            <w:vAlign w:val="bottom"/>
          </w:tcPr>
          <w:p w14:paraId="59E4AF83"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5,883 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59E4AF84"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F85"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59E4AF86"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FFFFFF"/>
            <w:tcMar>
              <w:top w:w="40" w:type="dxa"/>
              <w:left w:w="0" w:type="dxa"/>
              <w:bottom w:w="40" w:type="dxa"/>
              <w:right w:w="0" w:type="dxa"/>
            </w:tcMar>
            <w:vAlign w:val="bottom"/>
          </w:tcPr>
          <w:p w14:paraId="59E4AF87"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5,898 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59E4AF88" w14:textId="77777777" w:rsidR="00D7560A" w:rsidRDefault="00D7560A">
            <w:pPr>
              <w:widowControl/>
              <w:jc w:val="right"/>
              <w:rPr>
                <w:rFonts w:ascii="Times New Roman" w:eastAsia="宋体" w:hAnsi="宋体" w:cs="宋体"/>
                <w:kern w:val="0"/>
                <w:sz w:val="24"/>
              </w:rPr>
            </w:pPr>
          </w:p>
        </w:tc>
      </w:tr>
      <w:tr w:rsidR="00D7560A" w14:paraId="59E4AF8E" w14:textId="77777777">
        <w:trPr>
          <w:hidden/>
        </w:trPr>
        <w:tc>
          <w:tcPr>
            <w:tcW w:w="0" w:type="auto"/>
            <w:gridSpan w:val="3"/>
            <w:tcBorders>
              <w:top w:val="nil"/>
              <w:left w:val="nil"/>
              <w:bottom w:val="nil"/>
              <w:right w:val="nil"/>
            </w:tcBorders>
            <w:shd w:val="clear" w:color="auto" w:fill="auto"/>
            <w:vAlign w:val="bottom"/>
          </w:tcPr>
          <w:p w14:paraId="59E4AF8A"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F8B"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F8C"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F8D" w14:textId="77777777" w:rsidR="00D7560A" w:rsidRDefault="00D7560A">
            <w:pPr>
              <w:widowControl/>
              <w:jc w:val="left"/>
              <w:rPr>
                <w:rFonts w:ascii="Times New Roman" w:eastAsia="宋体" w:hAnsi="宋体" w:cs="宋体"/>
                <w:vanish/>
                <w:kern w:val="0"/>
                <w:sz w:val="24"/>
              </w:rPr>
            </w:pPr>
          </w:p>
        </w:tc>
      </w:tr>
      <w:tr w:rsidR="00D7560A" w14:paraId="59E4AF93" w14:textId="77777777">
        <w:trPr>
          <w:hidden/>
        </w:trPr>
        <w:tc>
          <w:tcPr>
            <w:tcW w:w="0" w:type="auto"/>
            <w:gridSpan w:val="3"/>
            <w:tcBorders>
              <w:top w:val="nil"/>
              <w:left w:val="nil"/>
              <w:bottom w:val="nil"/>
              <w:right w:val="nil"/>
            </w:tcBorders>
            <w:shd w:val="clear" w:color="auto" w:fill="auto"/>
            <w:vAlign w:val="bottom"/>
          </w:tcPr>
          <w:p w14:paraId="59E4AF8F"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F90"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F91"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F92" w14:textId="77777777" w:rsidR="00D7560A" w:rsidRDefault="00D7560A">
            <w:pPr>
              <w:widowControl/>
              <w:jc w:val="left"/>
              <w:rPr>
                <w:rFonts w:ascii="Times New Roman" w:eastAsia="宋体" w:hAnsi="宋体" w:cs="宋体"/>
                <w:vanish/>
                <w:kern w:val="0"/>
                <w:sz w:val="24"/>
              </w:rPr>
            </w:pPr>
          </w:p>
        </w:tc>
      </w:tr>
      <w:tr w:rsidR="00D7560A" w14:paraId="59E4AF98"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9E4AF94"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i/>
                <w:iCs/>
                <w:color w:val="000000"/>
                <w:kern w:val="0"/>
                <w:sz w:val="20"/>
                <w:szCs w:val="20"/>
                <w:lang w:bidi="ar"/>
              </w:rPr>
              <w:t>Deferred Costs:</w:t>
            </w: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59E4AF95"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F96" w14:textId="77777777" w:rsidR="00D7560A" w:rsidRDefault="00D7560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59E4AF97" w14:textId="77777777" w:rsidR="00D7560A" w:rsidRDefault="00D7560A">
            <w:pPr>
              <w:widowControl/>
              <w:jc w:val="left"/>
              <w:rPr>
                <w:rFonts w:ascii="Times New Roman" w:eastAsia="宋体" w:hAnsi="宋体" w:cs="宋体"/>
                <w:kern w:val="0"/>
                <w:sz w:val="24"/>
              </w:rPr>
            </w:pPr>
          </w:p>
        </w:tc>
      </w:tr>
      <w:tr w:rsidR="00D7560A" w14:paraId="59E4AFA1" w14:textId="77777777">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59E4AF99"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Total deferred costs, current (b)</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9E4AF9A"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9E4AF9B"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5,516 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AF9C"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F9D"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9E4AF9E"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9E4AF9F"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4,996 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AFA0" w14:textId="77777777" w:rsidR="00D7560A" w:rsidRDefault="00D7560A">
            <w:pPr>
              <w:widowControl/>
              <w:jc w:val="right"/>
              <w:rPr>
                <w:rFonts w:ascii="Times New Roman" w:eastAsia="宋体" w:hAnsi="宋体" w:cs="宋体"/>
                <w:kern w:val="0"/>
                <w:sz w:val="24"/>
              </w:rPr>
            </w:pPr>
          </w:p>
        </w:tc>
      </w:tr>
      <w:tr w:rsidR="00D7560A" w14:paraId="59E4AFA6"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9E4AFA2"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i/>
                <w:iCs/>
                <w:color w:val="000000"/>
                <w:kern w:val="0"/>
                <w:sz w:val="20"/>
                <w:szCs w:val="20"/>
                <w:lang w:bidi="ar"/>
              </w:rPr>
              <w:t>Property, plant, and equipment, net: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FA3"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FA4"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FA5" w14:textId="77777777" w:rsidR="00D7560A" w:rsidRDefault="00D7560A">
            <w:pPr>
              <w:widowControl/>
              <w:jc w:val="left"/>
              <w:rPr>
                <w:rFonts w:ascii="Times New Roman" w:eastAsia="宋体" w:hAnsi="宋体" w:cs="宋体"/>
                <w:kern w:val="0"/>
                <w:sz w:val="24"/>
              </w:rPr>
            </w:pPr>
          </w:p>
        </w:tc>
      </w:tr>
      <w:tr w:rsidR="00D7560A" w14:paraId="59E4AFAF" w14:textId="77777777">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59E4AFA7"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Computer equipment</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9E4AFA8"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9E4AFA9"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7,240 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AFAA"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FAB"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9E4AFAC"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9E4AFAD"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6,497 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AFAE" w14:textId="77777777" w:rsidR="00D7560A" w:rsidRDefault="00D7560A">
            <w:pPr>
              <w:widowControl/>
              <w:jc w:val="right"/>
              <w:rPr>
                <w:rFonts w:ascii="Times New Roman" w:eastAsia="宋体" w:hAnsi="宋体" w:cs="宋体"/>
                <w:kern w:val="0"/>
                <w:sz w:val="24"/>
              </w:rPr>
            </w:pPr>
          </w:p>
        </w:tc>
      </w:tr>
      <w:tr w:rsidR="00D7560A" w14:paraId="59E4AFB6" w14:textId="77777777">
        <w:tc>
          <w:tcPr>
            <w:tcW w:w="0" w:type="auto"/>
            <w:gridSpan w:val="3"/>
            <w:tcBorders>
              <w:top w:val="nil"/>
              <w:left w:val="nil"/>
              <w:bottom w:val="nil"/>
              <w:right w:val="nil"/>
            </w:tcBorders>
            <w:shd w:val="clear" w:color="auto" w:fill="CCEEFF"/>
            <w:tcMar>
              <w:top w:w="40" w:type="dxa"/>
              <w:left w:w="155" w:type="dxa"/>
              <w:bottom w:w="40" w:type="dxa"/>
              <w:right w:w="20" w:type="dxa"/>
            </w:tcMar>
            <w:vAlign w:val="bottom"/>
          </w:tcPr>
          <w:p w14:paraId="59E4AFB0"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Land and buildings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AFB1"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3,008 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AFB2"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FB3"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AFB4"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3,095 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AFB5" w14:textId="77777777" w:rsidR="00D7560A" w:rsidRDefault="00D7560A">
            <w:pPr>
              <w:widowControl/>
              <w:jc w:val="right"/>
              <w:rPr>
                <w:rFonts w:ascii="Times New Roman" w:eastAsia="宋体" w:hAnsi="宋体" w:cs="宋体"/>
                <w:kern w:val="0"/>
                <w:sz w:val="24"/>
              </w:rPr>
            </w:pPr>
          </w:p>
        </w:tc>
      </w:tr>
      <w:tr w:rsidR="00D7560A" w14:paraId="59E4AFBD" w14:textId="77777777">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59E4AFB7"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Machinery and other equipment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AFB8"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2,991 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AFB9"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FBA"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AFBB"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2,714 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AFBC" w14:textId="77777777" w:rsidR="00D7560A" w:rsidRDefault="00D7560A">
            <w:pPr>
              <w:widowControl/>
              <w:jc w:val="right"/>
              <w:rPr>
                <w:rFonts w:ascii="Times New Roman" w:eastAsia="宋体" w:hAnsi="宋体" w:cs="宋体"/>
                <w:kern w:val="0"/>
                <w:sz w:val="24"/>
              </w:rPr>
            </w:pPr>
          </w:p>
        </w:tc>
      </w:tr>
      <w:tr w:rsidR="00D7560A" w14:paraId="59E4AFC4" w14:textId="77777777">
        <w:tc>
          <w:tcPr>
            <w:tcW w:w="0" w:type="auto"/>
            <w:gridSpan w:val="3"/>
            <w:tcBorders>
              <w:top w:val="nil"/>
              <w:left w:val="nil"/>
              <w:bottom w:val="nil"/>
              <w:right w:val="nil"/>
            </w:tcBorders>
            <w:shd w:val="clear" w:color="auto" w:fill="CCEEFF"/>
            <w:tcMar>
              <w:top w:w="40" w:type="dxa"/>
              <w:left w:w="245" w:type="dxa"/>
              <w:bottom w:w="40" w:type="dxa"/>
              <w:right w:w="20" w:type="dxa"/>
            </w:tcMar>
            <w:vAlign w:val="bottom"/>
          </w:tcPr>
          <w:p w14:paraId="59E4AFBE"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Total property, plant, and equipment</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59E4AFBF"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13,239 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59E4AFC0"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FC1" w14:textId="77777777" w:rsidR="00D7560A" w:rsidRDefault="00D7560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59E4AFC2"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12,306 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59E4AFC3" w14:textId="77777777" w:rsidR="00D7560A" w:rsidRDefault="00D7560A">
            <w:pPr>
              <w:widowControl/>
              <w:jc w:val="right"/>
              <w:rPr>
                <w:rFonts w:ascii="Times New Roman" w:eastAsia="宋体" w:hAnsi="宋体" w:cs="宋体"/>
                <w:kern w:val="0"/>
                <w:sz w:val="24"/>
              </w:rPr>
            </w:pPr>
          </w:p>
        </w:tc>
      </w:tr>
      <w:tr w:rsidR="00D7560A" w14:paraId="59E4AFCB" w14:textId="77777777">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59E4AFC5"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Accumulated depreciation and amortization</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AFC6"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(7,467)</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AFC7"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AFC8"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AFC9"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(6,891)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AFCA" w14:textId="77777777" w:rsidR="00D7560A" w:rsidRDefault="00D7560A">
            <w:pPr>
              <w:widowControl/>
              <w:jc w:val="right"/>
              <w:rPr>
                <w:rFonts w:ascii="Times New Roman" w:eastAsia="宋体" w:hAnsi="宋体" w:cs="宋体"/>
                <w:kern w:val="0"/>
                <w:sz w:val="24"/>
              </w:rPr>
            </w:pPr>
          </w:p>
        </w:tc>
      </w:tr>
      <w:tr w:rsidR="00D7560A" w14:paraId="59E4AFD4" w14:textId="77777777">
        <w:tc>
          <w:tcPr>
            <w:tcW w:w="0" w:type="auto"/>
            <w:gridSpan w:val="3"/>
            <w:tcBorders>
              <w:top w:val="nil"/>
              <w:left w:val="nil"/>
              <w:bottom w:val="nil"/>
              <w:right w:val="nil"/>
            </w:tcBorders>
            <w:shd w:val="clear" w:color="auto" w:fill="CCEEFF"/>
            <w:tcMar>
              <w:top w:w="40" w:type="dxa"/>
              <w:left w:w="245" w:type="dxa"/>
              <w:bottom w:w="40" w:type="dxa"/>
              <w:right w:w="20" w:type="dxa"/>
            </w:tcMar>
            <w:vAlign w:val="bottom"/>
          </w:tcPr>
          <w:p w14:paraId="59E4AFCC"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Total property, plant, and equipment, net</w:t>
            </w: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59E4AFCD"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59E4AFCE"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5,772 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59E4AFCF"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AFD0"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59E4AFD1"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59E4AFD2"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5,415 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59E4AFD3" w14:textId="77777777" w:rsidR="00D7560A" w:rsidRDefault="00D7560A">
            <w:pPr>
              <w:widowControl/>
              <w:jc w:val="right"/>
              <w:rPr>
                <w:rFonts w:ascii="Times New Roman" w:eastAsia="宋体" w:hAnsi="宋体" w:cs="宋体"/>
                <w:kern w:val="0"/>
                <w:sz w:val="24"/>
              </w:rPr>
            </w:pPr>
          </w:p>
        </w:tc>
      </w:tr>
      <w:tr w:rsidR="00D7560A" w14:paraId="59E4AFD9" w14:textId="77777777">
        <w:trPr>
          <w:hidden/>
        </w:trPr>
        <w:tc>
          <w:tcPr>
            <w:tcW w:w="0" w:type="auto"/>
            <w:gridSpan w:val="3"/>
            <w:tcBorders>
              <w:top w:val="nil"/>
              <w:left w:val="nil"/>
              <w:bottom w:val="nil"/>
              <w:right w:val="nil"/>
            </w:tcBorders>
            <w:shd w:val="clear" w:color="auto" w:fill="auto"/>
            <w:vAlign w:val="bottom"/>
          </w:tcPr>
          <w:p w14:paraId="59E4AFD5"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FD6"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FD7"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FD8" w14:textId="77777777" w:rsidR="00D7560A" w:rsidRDefault="00D7560A">
            <w:pPr>
              <w:widowControl/>
              <w:jc w:val="left"/>
              <w:rPr>
                <w:rFonts w:ascii="Times New Roman" w:eastAsia="宋体" w:hAnsi="宋体" w:cs="宋体"/>
                <w:vanish/>
                <w:kern w:val="0"/>
                <w:sz w:val="24"/>
              </w:rPr>
            </w:pPr>
          </w:p>
        </w:tc>
      </w:tr>
      <w:tr w:rsidR="00D7560A" w14:paraId="59E4AFDE" w14:textId="77777777">
        <w:trPr>
          <w:hidden/>
        </w:trPr>
        <w:tc>
          <w:tcPr>
            <w:tcW w:w="0" w:type="auto"/>
            <w:gridSpan w:val="3"/>
            <w:tcBorders>
              <w:top w:val="nil"/>
              <w:left w:val="nil"/>
              <w:bottom w:val="nil"/>
              <w:right w:val="nil"/>
            </w:tcBorders>
            <w:shd w:val="clear" w:color="auto" w:fill="auto"/>
            <w:vAlign w:val="bottom"/>
          </w:tcPr>
          <w:p w14:paraId="59E4AFDA"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FDB"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FDC"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FDD" w14:textId="77777777" w:rsidR="00D7560A" w:rsidRDefault="00D7560A">
            <w:pPr>
              <w:widowControl/>
              <w:jc w:val="left"/>
              <w:rPr>
                <w:rFonts w:ascii="Times New Roman" w:eastAsia="宋体" w:hAnsi="宋体" w:cs="宋体"/>
                <w:vanish/>
                <w:kern w:val="0"/>
                <w:sz w:val="24"/>
              </w:rPr>
            </w:pPr>
          </w:p>
        </w:tc>
      </w:tr>
      <w:tr w:rsidR="00D7560A" w14:paraId="59E4AFE3" w14:textId="77777777">
        <w:trPr>
          <w:hidden/>
        </w:trPr>
        <w:tc>
          <w:tcPr>
            <w:tcW w:w="0" w:type="auto"/>
            <w:gridSpan w:val="3"/>
            <w:tcBorders>
              <w:top w:val="nil"/>
              <w:left w:val="nil"/>
              <w:bottom w:val="nil"/>
              <w:right w:val="nil"/>
            </w:tcBorders>
            <w:shd w:val="clear" w:color="auto" w:fill="auto"/>
            <w:vAlign w:val="bottom"/>
          </w:tcPr>
          <w:p w14:paraId="59E4AFDF"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FE0"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FE1"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FE2" w14:textId="77777777" w:rsidR="00D7560A" w:rsidRDefault="00D7560A">
            <w:pPr>
              <w:widowControl/>
              <w:jc w:val="left"/>
              <w:rPr>
                <w:rFonts w:ascii="Times New Roman" w:eastAsia="宋体" w:hAnsi="宋体" w:cs="宋体"/>
                <w:vanish/>
                <w:kern w:val="0"/>
                <w:sz w:val="24"/>
              </w:rPr>
            </w:pPr>
          </w:p>
        </w:tc>
      </w:tr>
      <w:tr w:rsidR="00D7560A" w14:paraId="59E4AFE8" w14:textId="77777777">
        <w:trPr>
          <w:hidden/>
        </w:trPr>
        <w:tc>
          <w:tcPr>
            <w:tcW w:w="0" w:type="auto"/>
            <w:gridSpan w:val="3"/>
            <w:tcBorders>
              <w:top w:val="nil"/>
              <w:left w:val="nil"/>
              <w:bottom w:val="nil"/>
              <w:right w:val="nil"/>
            </w:tcBorders>
            <w:shd w:val="clear" w:color="auto" w:fill="auto"/>
            <w:vAlign w:val="bottom"/>
          </w:tcPr>
          <w:p w14:paraId="59E4AFE4"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FE5"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FE6"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FE7" w14:textId="77777777" w:rsidR="00D7560A" w:rsidRDefault="00D7560A">
            <w:pPr>
              <w:widowControl/>
              <w:jc w:val="left"/>
              <w:rPr>
                <w:rFonts w:ascii="Times New Roman" w:eastAsia="宋体" w:hAnsi="宋体" w:cs="宋体"/>
                <w:vanish/>
                <w:kern w:val="0"/>
                <w:sz w:val="24"/>
              </w:rPr>
            </w:pPr>
          </w:p>
        </w:tc>
      </w:tr>
      <w:tr w:rsidR="00D7560A" w14:paraId="59E4AFED" w14:textId="77777777">
        <w:trPr>
          <w:hidden/>
        </w:trPr>
        <w:tc>
          <w:tcPr>
            <w:tcW w:w="0" w:type="auto"/>
            <w:gridSpan w:val="3"/>
            <w:tcBorders>
              <w:top w:val="nil"/>
              <w:left w:val="nil"/>
              <w:bottom w:val="nil"/>
              <w:right w:val="nil"/>
            </w:tcBorders>
            <w:shd w:val="clear" w:color="auto" w:fill="auto"/>
            <w:vAlign w:val="bottom"/>
          </w:tcPr>
          <w:p w14:paraId="59E4AFE9"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FEA"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FEB"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FEC" w14:textId="77777777" w:rsidR="00D7560A" w:rsidRDefault="00D7560A">
            <w:pPr>
              <w:widowControl/>
              <w:jc w:val="left"/>
              <w:rPr>
                <w:rFonts w:ascii="Times New Roman" w:eastAsia="宋体" w:hAnsi="宋体" w:cs="宋体"/>
                <w:vanish/>
                <w:kern w:val="0"/>
                <w:sz w:val="24"/>
              </w:rPr>
            </w:pPr>
          </w:p>
        </w:tc>
      </w:tr>
      <w:tr w:rsidR="00D7560A" w14:paraId="59E4AFF2" w14:textId="77777777">
        <w:trPr>
          <w:hidden/>
        </w:trPr>
        <w:tc>
          <w:tcPr>
            <w:tcW w:w="0" w:type="auto"/>
            <w:gridSpan w:val="3"/>
            <w:tcBorders>
              <w:top w:val="nil"/>
              <w:left w:val="nil"/>
              <w:bottom w:val="nil"/>
              <w:right w:val="nil"/>
            </w:tcBorders>
            <w:shd w:val="clear" w:color="auto" w:fill="auto"/>
            <w:vAlign w:val="bottom"/>
          </w:tcPr>
          <w:p w14:paraId="59E4AFEE"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FEF"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FF0"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AFF1" w14:textId="77777777" w:rsidR="00D7560A" w:rsidRDefault="00D7560A">
            <w:pPr>
              <w:widowControl/>
              <w:jc w:val="left"/>
              <w:rPr>
                <w:rFonts w:ascii="Times New Roman" w:eastAsia="宋体" w:hAnsi="宋体" w:cs="宋体"/>
                <w:vanish/>
                <w:kern w:val="0"/>
                <w:sz w:val="24"/>
              </w:rPr>
            </w:pPr>
          </w:p>
        </w:tc>
      </w:tr>
    </w:tbl>
    <w:p w14:paraId="59E4AFF3"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____________________</w:t>
      </w:r>
    </w:p>
    <w:p w14:paraId="59E4AFF4" w14:textId="77777777" w:rsidR="00D7560A" w:rsidRDefault="001E3CAB">
      <w:pPr>
        <w:widowControl/>
        <w:ind w:left="360" w:hanging="36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(a)    Restricted cash includes cash required to be held in escrow pursuant to DFS securitization arrangements.</w:t>
      </w:r>
    </w:p>
    <w:p w14:paraId="59E4AFF5" w14:textId="77777777" w:rsidR="00D7560A" w:rsidRDefault="001E3CAB">
      <w:pPr>
        <w:widowControl/>
        <w:ind w:left="360" w:hanging="36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(b)    Deferred costs are included in other current assets in the Condensed </w:t>
      </w:r>
      <w:r>
        <w:rPr>
          <w:rFonts w:ascii="Times New Roman" w:eastAsia="宋体" w:hAnsi="Times New Roman" w:cs="Times New Roman"/>
          <w:color w:val="000000"/>
          <w:kern w:val="0"/>
          <w:sz w:val="20"/>
          <w:szCs w:val="20"/>
          <w:lang w:bidi="ar"/>
        </w:rPr>
        <w:t>Consolidated Statements of Financial Position.</w:t>
      </w:r>
    </w:p>
    <w:p w14:paraId="59E4AFF6" w14:textId="77777777" w:rsidR="00D7560A" w:rsidRDefault="001E3CAB">
      <w:pPr>
        <w:widowControl/>
        <w:ind w:left="360" w:hanging="360"/>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AFF7" w14:textId="77777777" w:rsidR="00D7560A" w:rsidRDefault="001E3CAB">
      <w:pPr>
        <w:widowControl/>
        <w:ind w:left="360" w:hanging="360"/>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Warranty Liability</w:t>
      </w:r>
    </w:p>
    <w:p w14:paraId="59E4AFF8"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AFF9" w14:textId="77777777" w:rsidR="00D7560A" w:rsidRDefault="001E3CAB">
      <w:pPr>
        <w:widowControl/>
        <w:spacing w:after="12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The following table presents changes in the Company’s liability for standard limited warranties for the periods indicated:</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8"/>
        <w:gridCol w:w="3474"/>
        <w:gridCol w:w="37"/>
        <w:gridCol w:w="120"/>
        <w:gridCol w:w="983"/>
        <w:gridCol w:w="36"/>
        <w:gridCol w:w="36"/>
        <w:gridCol w:w="36"/>
        <w:gridCol w:w="36"/>
        <w:gridCol w:w="120"/>
        <w:gridCol w:w="933"/>
        <w:gridCol w:w="36"/>
        <w:gridCol w:w="36"/>
        <w:gridCol w:w="36"/>
        <w:gridCol w:w="36"/>
        <w:gridCol w:w="120"/>
        <w:gridCol w:w="935"/>
        <w:gridCol w:w="36"/>
        <w:gridCol w:w="36"/>
        <w:gridCol w:w="36"/>
        <w:gridCol w:w="36"/>
        <w:gridCol w:w="120"/>
        <w:gridCol w:w="988"/>
        <w:gridCol w:w="36"/>
      </w:tblGrid>
      <w:tr w:rsidR="00D7560A" w14:paraId="59E4B012" w14:textId="77777777">
        <w:tc>
          <w:tcPr>
            <w:tcW w:w="50" w:type="pct"/>
            <w:tcBorders>
              <w:top w:val="nil"/>
              <w:left w:val="nil"/>
              <w:bottom w:val="nil"/>
              <w:right w:val="nil"/>
            </w:tcBorders>
            <w:shd w:val="clear" w:color="auto" w:fill="auto"/>
            <w:vAlign w:val="bottom"/>
          </w:tcPr>
          <w:p w14:paraId="59E4AFFA" w14:textId="77777777" w:rsidR="00D7560A" w:rsidRDefault="00D7560A">
            <w:pPr>
              <w:widowControl/>
              <w:jc w:val="left"/>
              <w:rPr>
                <w:rFonts w:ascii="Times New Roman" w:eastAsia="宋体" w:hAnsi="宋体" w:cs="宋体"/>
                <w:kern w:val="0"/>
                <w:sz w:val="24"/>
              </w:rPr>
            </w:pPr>
          </w:p>
        </w:tc>
        <w:tc>
          <w:tcPr>
            <w:tcW w:w="2123" w:type="pct"/>
            <w:tcBorders>
              <w:top w:val="nil"/>
              <w:left w:val="nil"/>
              <w:bottom w:val="nil"/>
              <w:right w:val="nil"/>
            </w:tcBorders>
            <w:shd w:val="clear" w:color="auto" w:fill="auto"/>
            <w:vAlign w:val="bottom"/>
          </w:tcPr>
          <w:p w14:paraId="59E4AFFB"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AFFC"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AFFD" w14:textId="77777777" w:rsidR="00D7560A" w:rsidRDefault="00D7560A">
            <w:pPr>
              <w:widowControl/>
              <w:jc w:val="left"/>
              <w:rPr>
                <w:rFonts w:ascii="Times New Roman" w:eastAsia="宋体" w:hAnsi="宋体" w:cs="宋体"/>
                <w:kern w:val="0"/>
                <w:sz w:val="24"/>
              </w:rPr>
            </w:pPr>
          </w:p>
        </w:tc>
        <w:tc>
          <w:tcPr>
            <w:tcW w:w="624" w:type="pct"/>
            <w:tcBorders>
              <w:top w:val="nil"/>
              <w:left w:val="nil"/>
              <w:bottom w:val="nil"/>
              <w:right w:val="nil"/>
            </w:tcBorders>
            <w:shd w:val="clear" w:color="auto" w:fill="auto"/>
            <w:vAlign w:val="bottom"/>
          </w:tcPr>
          <w:p w14:paraId="59E4AFFE"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AFFF"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B000" w14:textId="77777777" w:rsidR="00D7560A" w:rsidRDefault="00D7560A">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59E4B001"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B002"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B003" w14:textId="77777777" w:rsidR="00D7560A" w:rsidRDefault="00D7560A">
            <w:pPr>
              <w:widowControl/>
              <w:jc w:val="left"/>
              <w:rPr>
                <w:rFonts w:ascii="Times New Roman" w:eastAsia="宋体" w:hAnsi="宋体" w:cs="宋体"/>
                <w:kern w:val="0"/>
                <w:sz w:val="24"/>
              </w:rPr>
            </w:pPr>
          </w:p>
        </w:tc>
        <w:tc>
          <w:tcPr>
            <w:tcW w:w="624" w:type="pct"/>
            <w:tcBorders>
              <w:top w:val="nil"/>
              <w:left w:val="nil"/>
              <w:bottom w:val="nil"/>
              <w:right w:val="nil"/>
            </w:tcBorders>
            <w:shd w:val="clear" w:color="auto" w:fill="auto"/>
            <w:vAlign w:val="bottom"/>
          </w:tcPr>
          <w:p w14:paraId="59E4B004"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B005"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B006" w14:textId="77777777" w:rsidR="00D7560A" w:rsidRDefault="00D7560A">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59E4B007"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B008"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B009" w14:textId="77777777" w:rsidR="00D7560A" w:rsidRDefault="00D7560A">
            <w:pPr>
              <w:widowControl/>
              <w:jc w:val="left"/>
              <w:rPr>
                <w:rFonts w:ascii="Times New Roman" w:eastAsia="宋体" w:hAnsi="宋体" w:cs="宋体"/>
                <w:kern w:val="0"/>
                <w:sz w:val="24"/>
              </w:rPr>
            </w:pPr>
          </w:p>
        </w:tc>
        <w:tc>
          <w:tcPr>
            <w:tcW w:w="624" w:type="pct"/>
            <w:tcBorders>
              <w:top w:val="nil"/>
              <w:left w:val="nil"/>
              <w:bottom w:val="nil"/>
              <w:right w:val="nil"/>
            </w:tcBorders>
            <w:shd w:val="clear" w:color="auto" w:fill="auto"/>
            <w:vAlign w:val="bottom"/>
          </w:tcPr>
          <w:p w14:paraId="59E4B00A"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B00B"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B00C" w14:textId="77777777" w:rsidR="00D7560A" w:rsidRDefault="00D7560A">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59E4B00D"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B00E"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B00F" w14:textId="77777777" w:rsidR="00D7560A" w:rsidRDefault="00D7560A">
            <w:pPr>
              <w:widowControl/>
              <w:jc w:val="left"/>
              <w:rPr>
                <w:rFonts w:ascii="Times New Roman" w:eastAsia="宋体" w:hAnsi="宋体" w:cs="宋体"/>
                <w:kern w:val="0"/>
                <w:sz w:val="24"/>
              </w:rPr>
            </w:pPr>
          </w:p>
        </w:tc>
        <w:tc>
          <w:tcPr>
            <w:tcW w:w="625" w:type="pct"/>
            <w:tcBorders>
              <w:top w:val="nil"/>
              <w:left w:val="nil"/>
              <w:bottom w:val="nil"/>
              <w:right w:val="nil"/>
            </w:tcBorders>
            <w:shd w:val="clear" w:color="auto" w:fill="auto"/>
            <w:vAlign w:val="bottom"/>
          </w:tcPr>
          <w:p w14:paraId="59E4B010"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B011" w14:textId="77777777" w:rsidR="00D7560A" w:rsidRDefault="00D7560A">
            <w:pPr>
              <w:widowControl/>
              <w:jc w:val="left"/>
              <w:rPr>
                <w:rFonts w:ascii="Times New Roman" w:eastAsia="宋体" w:hAnsi="宋体" w:cs="宋体"/>
                <w:kern w:val="0"/>
                <w:sz w:val="24"/>
              </w:rPr>
            </w:pPr>
          </w:p>
        </w:tc>
      </w:tr>
      <w:tr w:rsidR="00D7560A" w14:paraId="59E4B017"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B013" w14:textId="77777777" w:rsidR="00D7560A" w:rsidRDefault="00D7560A">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59E4B014"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Three Months Ended</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B015" w14:textId="77777777" w:rsidR="00D7560A" w:rsidRDefault="00D7560A">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59E4B016"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Six Months Ended</w:t>
            </w:r>
          </w:p>
        </w:tc>
      </w:tr>
      <w:tr w:rsidR="00D7560A" w14:paraId="59E4B020"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B018"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59E4B019"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29, 2022</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59E4B01A"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59E4B01B"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30, 2021</w:t>
            </w: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59E4B01C"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59E4B01D"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29, 2022</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59E4B01E"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59E4B01F"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30, 2021</w:t>
            </w:r>
          </w:p>
        </w:tc>
      </w:tr>
      <w:tr w:rsidR="00D7560A" w14:paraId="59E4B023"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B021" w14:textId="77777777" w:rsidR="00D7560A" w:rsidRDefault="00D7560A">
            <w:pPr>
              <w:widowControl/>
              <w:jc w:val="left"/>
              <w:rPr>
                <w:rFonts w:ascii="Times New Roman" w:eastAsia="宋体" w:hAnsi="宋体" w:cs="宋体"/>
                <w:kern w:val="0"/>
                <w:sz w:val="24"/>
              </w:rPr>
            </w:pPr>
          </w:p>
        </w:tc>
        <w:tc>
          <w:tcPr>
            <w:tcW w:w="0" w:type="auto"/>
            <w:gridSpan w:val="21"/>
            <w:tcBorders>
              <w:top w:val="single" w:sz="8" w:space="0" w:color="000000"/>
              <w:left w:val="nil"/>
              <w:bottom w:val="nil"/>
              <w:right w:val="nil"/>
            </w:tcBorders>
            <w:shd w:val="clear" w:color="auto" w:fill="auto"/>
            <w:tcMar>
              <w:top w:w="40" w:type="dxa"/>
              <w:left w:w="20" w:type="dxa"/>
              <w:bottom w:w="40" w:type="dxa"/>
              <w:right w:w="20" w:type="dxa"/>
            </w:tcMar>
            <w:vAlign w:val="bottom"/>
          </w:tcPr>
          <w:p w14:paraId="59E4B022"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(in </w:t>
            </w:r>
            <w:r>
              <w:rPr>
                <w:rFonts w:ascii="Times New Roman" w:eastAsia="宋体" w:hAnsi="Times New Roman" w:cs="Times New Roman"/>
                <w:color w:val="000000"/>
                <w:kern w:val="0"/>
                <w:sz w:val="20"/>
                <w:szCs w:val="20"/>
                <w:lang w:bidi="ar"/>
              </w:rPr>
              <w:t>millions)</w:t>
            </w:r>
          </w:p>
        </w:tc>
      </w:tr>
      <w:tr w:rsidR="00D7560A" w14:paraId="59E4B02C"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9E4B024"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i/>
                <w:iCs/>
                <w:color w:val="000000"/>
                <w:kern w:val="0"/>
                <w:sz w:val="20"/>
                <w:szCs w:val="20"/>
                <w:lang w:bidi="ar"/>
              </w:rPr>
              <w:t>Warranty liability:</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025"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026"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027"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028"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029"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02A"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02B" w14:textId="77777777" w:rsidR="00D7560A" w:rsidRDefault="00D7560A">
            <w:pPr>
              <w:widowControl/>
              <w:jc w:val="left"/>
              <w:rPr>
                <w:rFonts w:ascii="Times New Roman" w:eastAsia="宋体" w:hAnsi="宋体" w:cs="宋体"/>
                <w:kern w:val="0"/>
                <w:sz w:val="24"/>
              </w:rPr>
            </w:pPr>
          </w:p>
        </w:tc>
      </w:tr>
      <w:tr w:rsidR="00D7560A" w14:paraId="59E4B03D"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59E4B02D"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Warranty liability at beginning of period</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9E4B02E"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9E4B02F"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468 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B030"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031"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9E4B032"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9E4B033"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458 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B034"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035"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9E4B036"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9E4B037"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480 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B038"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039"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9E4B03A"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9E4B03B"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473 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B03C" w14:textId="77777777" w:rsidR="00D7560A" w:rsidRDefault="00D7560A">
            <w:pPr>
              <w:widowControl/>
              <w:jc w:val="right"/>
              <w:rPr>
                <w:rFonts w:ascii="Times New Roman" w:eastAsia="宋体" w:hAnsi="宋体" w:cs="宋体"/>
                <w:kern w:val="0"/>
                <w:sz w:val="24"/>
              </w:rPr>
            </w:pPr>
          </w:p>
        </w:tc>
      </w:tr>
      <w:tr w:rsidR="00D7560A" w14:paraId="59E4B04A" w14:textId="77777777">
        <w:tc>
          <w:tcPr>
            <w:tcW w:w="0" w:type="auto"/>
            <w:gridSpan w:val="3"/>
            <w:tcBorders>
              <w:top w:val="nil"/>
              <w:left w:val="nil"/>
              <w:bottom w:val="nil"/>
              <w:right w:val="nil"/>
            </w:tcBorders>
            <w:shd w:val="clear" w:color="auto" w:fill="CCEEFF"/>
            <w:tcMar>
              <w:top w:w="40" w:type="dxa"/>
              <w:left w:w="155" w:type="dxa"/>
              <w:bottom w:w="40" w:type="dxa"/>
              <w:right w:w="20" w:type="dxa"/>
            </w:tcMar>
            <w:vAlign w:val="bottom"/>
          </w:tcPr>
          <w:p w14:paraId="59E4B03E"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Costs accrued for new warranty contracts and changes in estimates for pre-existing warranties (a)</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B03F"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244 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040"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041"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B042"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241 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043"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044"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B045"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467 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046"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047"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B048"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443 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049" w14:textId="77777777" w:rsidR="00D7560A" w:rsidRDefault="00D7560A">
            <w:pPr>
              <w:widowControl/>
              <w:jc w:val="right"/>
              <w:rPr>
                <w:rFonts w:ascii="Times New Roman" w:eastAsia="宋体" w:hAnsi="宋体" w:cs="宋体"/>
                <w:kern w:val="0"/>
                <w:sz w:val="24"/>
              </w:rPr>
            </w:pPr>
          </w:p>
        </w:tc>
      </w:tr>
      <w:tr w:rsidR="00D7560A" w14:paraId="59E4B057" w14:textId="77777777">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59E4B04B"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Service obligations honored</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B04C"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(249)</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B04D"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04E"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B04F"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(228)</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B050"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051"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B052"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(484)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B053"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054"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B055"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(445)</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B056" w14:textId="77777777" w:rsidR="00D7560A" w:rsidRDefault="00D7560A">
            <w:pPr>
              <w:widowControl/>
              <w:jc w:val="right"/>
              <w:rPr>
                <w:rFonts w:ascii="Times New Roman" w:eastAsia="宋体" w:hAnsi="宋体" w:cs="宋体"/>
                <w:kern w:val="0"/>
                <w:sz w:val="24"/>
              </w:rPr>
            </w:pPr>
          </w:p>
        </w:tc>
      </w:tr>
      <w:tr w:rsidR="00D7560A" w14:paraId="59E4B068"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9E4B058"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Warranty liability at end of period</w:t>
            </w: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59E4B059"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59E4B05A"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463 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59E4B05B"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05C"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59E4B05D"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59E4B05E"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471 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59E4B05F"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060"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59E4B061"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59E4B062"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463 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59E4B063"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064"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59E4B065"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59E4B066"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471 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59E4B067" w14:textId="77777777" w:rsidR="00D7560A" w:rsidRDefault="00D7560A">
            <w:pPr>
              <w:widowControl/>
              <w:jc w:val="right"/>
              <w:rPr>
                <w:rFonts w:ascii="Times New Roman" w:eastAsia="宋体" w:hAnsi="宋体" w:cs="宋体"/>
                <w:kern w:val="0"/>
                <w:sz w:val="24"/>
              </w:rPr>
            </w:pPr>
          </w:p>
        </w:tc>
      </w:tr>
      <w:tr w:rsidR="00D7560A" w14:paraId="59E4B071" w14:textId="77777777">
        <w:trPr>
          <w:hidden/>
        </w:trPr>
        <w:tc>
          <w:tcPr>
            <w:tcW w:w="0" w:type="auto"/>
            <w:gridSpan w:val="3"/>
            <w:tcBorders>
              <w:top w:val="nil"/>
              <w:left w:val="nil"/>
              <w:bottom w:val="nil"/>
              <w:right w:val="nil"/>
            </w:tcBorders>
            <w:shd w:val="clear" w:color="auto" w:fill="auto"/>
            <w:vAlign w:val="bottom"/>
          </w:tcPr>
          <w:p w14:paraId="59E4B069"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06A"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06B"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06C"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06D"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06E"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06F"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070" w14:textId="77777777" w:rsidR="00D7560A" w:rsidRDefault="00D7560A">
            <w:pPr>
              <w:widowControl/>
              <w:jc w:val="left"/>
              <w:rPr>
                <w:rFonts w:ascii="Times New Roman" w:eastAsia="宋体" w:hAnsi="宋体" w:cs="宋体"/>
                <w:vanish/>
                <w:kern w:val="0"/>
                <w:sz w:val="24"/>
              </w:rPr>
            </w:pPr>
          </w:p>
        </w:tc>
      </w:tr>
      <w:tr w:rsidR="00D7560A" w14:paraId="59E4B07A" w14:textId="77777777">
        <w:trPr>
          <w:hidden/>
        </w:trPr>
        <w:tc>
          <w:tcPr>
            <w:tcW w:w="0" w:type="auto"/>
            <w:gridSpan w:val="3"/>
            <w:tcBorders>
              <w:top w:val="nil"/>
              <w:left w:val="nil"/>
              <w:bottom w:val="nil"/>
              <w:right w:val="nil"/>
            </w:tcBorders>
            <w:shd w:val="clear" w:color="auto" w:fill="auto"/>
            <w:vAlign w:val="bottom"/>
          </w:tcPr>
          <w:p w14:paraId="59E4B072"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073"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074"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075"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076"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077"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078"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079" w14:textId="77777777" w:rsidR="00D7560A" w:rsidRDefault="00D7560A">
            <w:pPr>
              <w:widowControl/>
              <w:jc w:val="left"/>
              <w:rPr>
                <w:rFonts w:ascii="Times New Roman" w:eastAsia="宋体" w:hAnsi="宋体" w:cs="宋体"/>
                <w:vanish/>
                <w:kern w:val="0"/>
                <w:sz w:val="24"/>
              </w:rPr>
            </w:pPr>
          </w:p>
        </w:tc>
      </w:tr>
    </w:tbl>
    <w:p w14:paraId="59E4B07B" w14:textId="77777777" w:rsidR="00D7560A" w:rsidRDefault="001E3CAB">
      <w:pPr>
        <w:widowControl/>
        <w:ind w:left="360" w:hanging="36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____________________</w:t>
      </w:r>
    </w:p>
    <w:p w14:paraId="59E4B07C" w14:textId="77777777" w:rsidR="00D7560A" w:rsidRDefault="001E3CAB">
      <w:pPr>
        <w:widowControl/>
        <w:ind w:left="360" w:hanging="36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(a)Changes in cost estimates related to pre-existing warranties are aggregated with accruals for new standard warranty contracts. The Company’s warranty liability process does not differentiate between estimates made for pre-existing w</w:t>
      </w:r>
      <w:r>
        <w:rPr>
          <w:rFonts w:ascii="Times New Roman" w:eastAsia="宋体" w:hAnsi="Times New Roman" w:cs="Times New Roman"/>
          <w:color w:val="000000"/>
          <w:kern w:val="0"/>
          <w:sz w:val="20"/>
          <w:szCs w:val="20"/>
          <w:lang w:bidi="ar"/>
        </w:rPr>
        <w:t xml:space="preserve">arranties and those made for new warranty obligations. </w:t>
      </w:r>
    </w:p>
    <w:p w14:paraId="59E4B07D"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B07E"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B07F"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55</w:t>
      </w:r>
    </w:p>
    <w:p w14:paraId="59E4B080"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B081" w14:textId="77777777" w:rsidR="00D7560A" w:rsidRDefault="001E3CAB">
      <w:pPr>
        <w:widowControl/>
        <w:jc w:val="center"/>
      </w:pPr>
      <w:r>
        <w:rPr>
          <w:rFonts w:ascii="宋体" w:eastAsia="宋体" w:hAnsi="宋体" w:cs="宋体"/>
          <w:kern w:val="0"/>
          <w:sz w:val="24"/>
        </w:rPr>
        <w:pict w14:anchorId="59E4C802">
          <v:rect id="_x0000_i1079" style="width:6in;height:1.5pt" o:hralign="center" o:hrstd="t" o:hr="t" fillcolor="#a0a0a0" stroked="f"/>
        </w:pict>
      </w:r>
    </w:p>
    <w:p w14:paraId="59E4B082" w14:textId="77777777" w:rsidR="00D7560A" w:rsidRDefault="001E3CAB">
      <w:pPr>
        <w:widowControl/>
        <w:jc w:val="left"/>
        <w:rPr>
          <w:rFonts w:ascii="宋体" w:eastAsia="宋体" w:hAnsi="宋体" w:cs="宋体"/>
          <w:kern w:val="0"/>
          <w:sz w:val="24"/>
        </w:rPr>
      </w:pPr>
      <w:hyperlink w:anchor="if933dd1d5d004d2495dd7029e3ecad00_13" w:history="1">
        <w:r>
          <w:rPr>
            <w:rStyle w:val="a4"/>
            <w:rFonts w:ascii="Times New Roman" w:eastAsia="宋体" w:hAnsi="Times New Roman" w:cs="Times New Roman"/>
            <w:sz w:val="20"/>
            <w:szCs w:val="20"/>
          </w:rPr>
          <w:t>Table of Contents</w:t>
        </w:r>
      </w:hyperlink>
    </w:p>
    <w:p w14:paraId="59E4B083"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DELL TECHNOLOGIES INC.</w:t>
      </w:r>
    </w:p>
    <w:p w14:paraId="59E4B084"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NOTES TO THE CONDENSED CONSOLIDATED FINANCIAL STATEMENTS (Continued)</w:t>
      </w:r>
    </w:p>
    <w:p w14:paraId="59E4B085"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(unaudited)</w:t>
      </w:r>
    </w:p>
    <w:p w14:paraId="59E4B086"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B087"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Interest and other, net</w:t>
      </w:r>
    </w:p>
    <w:p w14:paraId="59E4B088"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B089" w14:textId="77777777" w:rsidR="00D7560A" w:rsidRDefault="001E3CAB">
      <w:pPr>
        <w:widowControl/>
        <w:spacing w:after="12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The following table presents information regarding interest and other, net for the periods indicated: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2578"/>
        <w:gridCol w:w="38"/>
        <w:gridCol w:w="120"/>
        <w:gridCol w:w="1183"/>
        <w:gridCol w:w="36"/>
        <w:gridCol w:w="36"/>
        <w:gridCol w:w="36"/>
        <w:gridCol w:w="36"/>
        <w:gridCol w:w="120"/>
        <w:gridCol w:w="1183"/>
        <w:gridCol w:w="36"/>
        <w:gridCol w:w="36"/>
        <w:gridCol w:w="36"/>
        <w:gridCol w:w="36"/>
        <w:gridCol w:w="120"/>
        <w:gridCol w:w="1183"/>
        <w:gridCol w:w="36"/>
        <w:gridCol w:w="36"/>
        <w:gridCol w:w="36"/>
        <w:gridCol w:w="36"/>
        <w:gridCol w:w="120"/>
        <w:gridCol w:w="1184"/>
        <w:gridCol w:w="36"/>
      </w:tblGrid>
      <w:tr w:rsidR="00D7560A" w14:paraId="59E4B0A2" w14:textId="77777777">
        <w:trPr>
          <w:jc w:val="center"/>
        </w:trPr>
        <w:tc>
          <w:tcPr>
            <w:tcW w:w="50" w:type="pct"/>
            <w:tcBorders>
              <w:top w:val="nil"/>
              <w:left w:val="nil"/>
              <w:bottom w:val="nil"/>
              <w:right w:val="nil"/>
            </w:tcBorders>
            <w:shd w:val="clear" w:color="auto" w:fill="auto"/>
            <w:vAlign w:val="bottom"/>
          </w:tcPr>
          <w:p w14:paraId="59E4B08A" w14:textId="77777777" w:rsidR="00D7560A" w:rsidRDefault="00D7560A">
            <w:pPr>
              <w:widowControl/>
              <w:jc w:val="left"/>
              <w:rPr>
                <w:rFonts w:ascii="Times New Roman" w:eastAsia="宋体" w:hAnsi="宋体" w:cs="宋体"/>
                <w:kern w:val="0"/>
                <w:sz w:val="24"/>
              </w:rPr>
            </w:pPr>
          </w:p>
        </w:tc>
        <w:tc>
          <w:tcPr>
            <w:tcW w:w="1611" w:type="pct"/>
            <w:tcBorders>
              <w:top w:val="nil"/>
              <w:left w:val="nil"/>
              <w:bottom w:val="nil"/>
              <w:right w:val="nil"/>
            </w:tcBorders>
            <w:shd w:val="clear" w:color="auto" w:fill="auto"/>
            <w:vAlign w:val="bottom"/>
          </w:tcPr>
          <w:p w14:paraId="59E4B08B"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B08C"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B08D" w14:textId="77777777" w:rsidR="00D7560A" w:rsidRDefault="00D7560A">
            <w:pPr>
              <w:widowControl/>
              <w:jc w:val="left"/>
              <w:rPr>
                <w:rFonts w:ascii="Times New Roman" w:eastAsia="宋体" w:hAnsi="宋体" w:cs="宋体"/>
                <w:kern w:val="0"/>
                <w:sz w:val="24"/>
              </w:rPr>
            </w:pPr>
          </w:p>
        </w:tc>
        <w:tc>
          <w:tcPr>
            <w:tcW w:w="756" w:type="pct"/>
            <w:tcBorders>
              <w:top w:val="nil"/>
              <w:left w:val="nil"/>
              <w:bottom w:val="nil"/>
              <w:right w:val="nil"/>
            </w:tcBorders>
            <w:shd w:val="clear" w:color="auto" w:fill="auto"/>
            <w:vAlign w:val="bottom"/>
          </w:tcPr>
          <w:p w14:paraId="59E4B08E"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B08F"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B090" w14:textId="77777777" w:rsidR="00D7560A" w:rsidRDefault="00D7560A">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59E4B091"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B092"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B093" w14:textId="77777777" w:rsidR="00D7560A" w:rsidRDefault="00D7560A">
            <w:pPr>
              <w:widowControl/>
              <w:jc w:val="left"/>
              <w:rPr>
                <w:rFonts w:ascii="Times New Roman" w:eastAsia="宋体" w:hAnsi="宋体" w:cs="宋体"/>
                <w:kern w:val="0"/>
                <w:sz w:val="24"/>
              </w:rPr>
            </w:pPr>
          </w:p>
        </w:tc>
        <w:tc>
          <w:tcPr>
            <w:tcW w:w="756" w:type="pct"/>
            <w:tcBorders>
              <w:top w:val="nil"/>
              <w:left w:val="nil"/>
              <w:bottom w:val="nil"/>
              <w:right w:val="nil"/>
            </w:tcBorders>
            <w:shd w:val="clear" w:color="auto" w:fill="auto"/>
            <w:vAlign w:val="bottom"/>
          </w:tcPr>
          <w:p w14:paraId="59E4B094"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B095"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B096" w14:textId="77777777" w:rsidR="00D7560A" w:rsidRDefault="00D7560A">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59E4B097"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B098"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B099" w14:textId="77777777" w:rsidR="00D7560A" w:rsidRDefault="00D7560A">
            <w:pPr>
              <w:widowControl/>
              <w:jc w:val="left"/>
              <w:rPr>
                <w:rFonts w:ascii="Times New Roman" w:eastAsia="宋体" w:hAnsi="宋体" w:cs="宋体"/>
                <w:kern w:val="0"/>
                <w:sz w:val="24"/>
              </w:rPr>
            </w:pPr>
          </w:p>
        </w:tc>
        <w:tc>
          <w:tcPr>
            <w:tcW w:w="756" w:type="pct"/>
            <w:tcBorders>
              <w:top w:val="nil"/>
              <w:left w:val="nil"/>
              <w:bottom w:val="nil"/>
              <w:right w:val="nil"/>
            </w:tcBorders>
            <w:shd w:val="clear" w:color="auto" w:fill="auto"/>
            <w:vAlign w:val="bottom"/>
          </w:tcPr>
          <w:p w14:paraId="59E4B09A"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B09B"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B09C" w14:textId="77777777" w:rsidR="00D7560A" w:rsidRDefault="00D7560A">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59E4B09D"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B09E"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B09F" w14:textId="77777777" w:rsidR="00D7560A" w:rsidRDefault="00D7560A">
            <w:pPr>
              <w:widowControl/>
              <w:jc w:val="left"/>
              <w:rPr>
                <w:rFonts w:ascii="Times New Roman" w:eastAsia="宋体" w:hAnsi="宋体" w:cs="宋体"/>
                <w:kern w:val="0"/>
                <w:sz w:val="24"/>
              </w:rPr>
            </w:pPr>
          </w:p>
        </w:tc>
        <w:tc>
          <w:tcPr>
            <w:tcW w:w="756" w:type="pct"/>
            <w:tcBorders>
              <w:top w:val="nil"/>
              <w:left w:val="nil"/>
              <w:bottom w:val="nil"/>
              <w:right w:val="nil"/>
            </w:tcBorders>
            <w:shd w:val="clear" w:color="auto" w:fill="auto"/>
            <w:vAlign w:val="bottom"/>
          </w:tcPr>
          <w:p w14:paraId="59E4B0A0"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B0A1" w14:textId="77777777" w:rsidR="00D7560A" w:rsidRDefault="00D7560A">
            <w:pPr>
              <w:widowControl/>
              <w:jc w:val="left"/>
              <w:rPr>
                <w:rFonts w:ascii="Times New Roman" w:eastAsia="宋体" w:hAnsi="宋体" w:cs="宋体"/>
                <w:kern w:val="0"/>
                <w:sz w:val="24"/>
              </w:rPr>
            </w:pPr>
          </w:p>
        </w:tc>
      </w:tr>
      <w:tr w:rsidR="00D7560A" w14:paraId="59E4B0A7"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B0A3" w14:textId="77777777" w:rsidR="00D7560A" w:rsidRDefault="00D7560A">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59E4B0A4"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Three Months Ended</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B0A5" w14:textId="77777777" w:rsidR="00D7560A" w:rsidRDefault="00D7560A">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59E4B0A6"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Six Months Ended</w:t>
            </w:r>
          </w:p>
        </w:tc>
      </w:tr>
      <w:tr w:rsidR="00D7560A" w14:paraId="59E4B0B0"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B0A8"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59E4B0A9"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29, 2022</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59E4B0AA"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59E4B0AB"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30, 2021</w:t>
            </w: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59E4B0AC"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59E4B0AD"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29, 2022</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59E4B0AE"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59E4B0AF"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30, 2021</w:t>
            </w:r>
          </w:p>
        </w:tc>
      </w:tr>
      <w:tr w:rsidR="00D7560A" w14:paraId="59E4B0B3"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B0B1" w14:textId="77777777" w:rsidR="00D7560A" w:rsidRDefault="00D7560A">
            <w:pPr>
              <w:widowControl/>
              <w:jc w:val="left"/>
              <w:rPr>
                <w:rFonts w:ascii="Times New Roman" w:eastAsia="宋体" w:hAnsi="宋体" w:cs="宋体"/>
                <w:kern w:val="0"/>
                <w:sz w:val="24"/>
              </w:rPr>
            </w:pPr>
          </w:p>
        </w:tc>
        <w:tc>
          <w:tcPr>
            <w:tcW w:w="0" w:type="auto"/>
            <w:gridSpan w:val="21"/>
            <w:tcBorders>
              <w:top w:val="single" w:sz="8" w:space="0" w:color="000000"/>
              <w:left w:val="nil"/>
              <w:bottom w:val="nil"/>
              <w:right w:val="nil"/>
            </w:tcBorders>
            <w:shd w:val="clear" w:color="auto" w:fill="auto"/>
            <w:tcMar>
              <w:top w:w="40" w:type="dxa"/>
              <w:left w:w="20" w:type="dxa"/>
              <w:bottom w:w="40" w:type="dxa"/>
              <w:right w:w="20" w:type="dxa"/>
            </w:tcMar>
            <w:vAlign w:val="bottom"/>
          </w:tcPr>
          <w:p w14:paraId="59E4B0B2"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(in </w:t>
            </w:r>
            <w:r>
              <w:rPr>
                <w:rFonts w:ascii="Times New Roman" w:eastAsia="宋体" w:hAnsi="Times New Roman" w:cs="Times New Roman"/>
                <w:color w:val="000000"/>
                <w:kern w:val="0"/>
                <w:sz w:val="20"/>
                <w:szCs w:val="20"/>
                <w:lang w:bidi="ar"/>
              </w:rPr>
              <w:t>millions)</w:t>
            </w:r>
          </w:p>
        </w:tc>
      </w:tr>
      <w:tr w:rsidR="00D7560A" w14:paraId="59E4B0BC"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9E4B0B4"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i/>
                <w:iCs/>
                <w:color w:val="000000"/>
                <w:kern w:val="0"/>
                <w:sz w:val="20"/>
                <w:szCs w:val="20"/>
                <w:lang w:bidi="ar"/>
              </w:rPr>
              <w:t>Interest and other, net: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0B5"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0B6"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0B7"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0B8"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0B9"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0BA"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0BB" w14:textId="77777777" w:rsidR="00D7560A" w:rsidRDefault="00D7560A">
            <w:pPr>
              <w:widowControl/>
              <w:jc w:val="left"/>
              <w:rPr>
                <w:rFonts w:ascii="Times New Roman" w:eastAsia="宋体" w:hAnsi="宋体" w:cs="宋体"/>
                <w:kern w:val="0"/>
                <w:sz w:val="24"/>
              </w:rPr>
            </w:pPr>
          </w:p>
        </w:tc>
      </w:tr>
      <w:tr w:rsidR="00D7560A" w14:paraId="59E4B0CD" w14:textId="77777777">
        <w:trPr>
          <w:jc w:val="center"/>
        </w:trPr>
        <w:tc>
          <w:tcPr>
            <w:tcW w:w="0" w:type="auto"/>
            <w:gridSpan w:val="3"/>
            <w:tcBorders>
              <w:top w:val="nil"/>
              <w:left w:val="nil"/>
              <w:bottom w:val="nil"/>
              <w:right w:val="nil"/>
            </w:tcBorders>
            <w:shd w:val="clear" w:color="auto" w:fill="FFFFFF"/>
            <w:tcMar>
              <w:top w:w="40" w:type="dxa"/>
              <w:left w:w="125" w:type="dxa"/>
              <w:bottom w:w="40" w:type="dxa"/>
              <w:right w:w="20" w:type="dxa"/>
            </w:tcMar>
            <w:vAlign w:val="bottom"/>
          </w:tcPr>
          <w:p w14:paraId="59E4B0BD"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Investment income, primarily interest</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9E4B0BE"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9E4B0BF"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B0C0"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0C1"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9E4B0C2"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9E4B0C3"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B0C4"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0C5"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9E4B0C6"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9E4B0C7"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B0C8"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0C9"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9E4B0CA"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9E4B0CB"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B0CC" w14:textId="77777777" w:rsidR="00D7560A" w:rsidRDefault="00D7560A">
            <w:pPr>
              <w:widowControl/>
              <w:jc w:val="right"/>
              <w:rPr>
                <w:rFonts w:ascii="Times New Roman" w:eastAsia="宋体" w:hAnsi="宋体" w:cs="宋体"/>
                <w:kern w:val="0"/>
                <w:sz w:val="24"/>
              </w:rPr>
            </w:pPr>
          </w:p>
        </w:tc>
      </w:tr>
      <w:tr w:rsidR="00D7560A" w14:paraId="59E4B0DA" w14:textId="77777777">
        <w:trPr>
          <w:jc w:val="center"/>
        </w:trPr>
        <w:tc>
          <w:tcPr>
            <w:tcW w:w="0" w:type="auto"/>
            <w:gridSpan w:val="3"/>
            <w:tcBorders>
              <w:top w:val="nil"/>
              <w:left w:val="nil"/>
              <w:bottom w:val="nil"/>
              <w:right w:val="nil"/>
            </w:tcBorders>
            <w:shd w:val="clear" w:color="auto" w:fill="CCEEFF"/>
            <w:tcMar>
              <w:top w:w="40" w:type="dxa"/>
              <w:left w:w="125" w:type="dxa"/>
              <w:bottom w:w="40" w:type="dxa"/>
              <w:right w:w="20" w:type="dxa"/>
            </w:tcMar>
            <w:vAlign w:val="bottom"/>
          </w:tcPr>
          <w:p w14:paraId="59E4B0CE"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Gain (loss) on investments, net</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B0CF"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(255)</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0D0"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0D1"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B0D2"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166 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0D3"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0D4"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B0D5"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(241)</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0D6"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0D7"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B0D8"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359 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0D9" w14:textId="77777777" w:rsidR="00D7560A" w:rsidRDefault="00D7560A">
            <w:pPr>
              <w:widowControl/>
              <w:jc w:val="right"/>
              <w:rPr>
                <w:rFonts w:ascii="Times New Roman" w:eastAsia="宋体" w:hAnsi="宋体" w:cs="宋体"/>
                <w:kern w:val="0"/>
                <w:sz w:val="24"/>
              </w:rPr>
            </w:pPr>
          </w:p>
        </w:tc>
      </w:tr>
      <w:tr w:rsidR="00D7560A" w14:paraId="59E4B0E7" w14:textId="77777777">
        <w:trPr>
          <w:jc w:val="center"/>
        </w:trPr>
        <w:tc>
          <w:tcPr>
            <w:tcW w:w="0" w:type="auto"/>
            <w:gridSpan w:val="3"/>
            <w:tcBorders>
              <w:top w:val="nil"/>
              <w:left w:val="nil"/>
              <w:bottom w:val="nil"/>
              <w:right w:val="nil"/>
            </w:tcBorders>
            <w:shd w:val="clear" w:color="auto" w:fill="FFFFFF"/>
            <w:tcMar>
              <w:top w:w="40" w:type="dxa"/>
              <w:left w:w="125" w:type="dxa"/>
              <w:bottom w:w="40" w:type="dxa"/>
              <w:right w:w="20" w:type="dxa"/>
            </w:tcMar>
            <w:vAlign w:val="bottom"/>
          </w:tcPr>
          <w:p w14:paraId="59E4B0DB"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Interest expense</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B0DC"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(298)</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B0DD"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0DE"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B0DF"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(416)</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B0E0"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0E1"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B0E2"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(563)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B0E3"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0E4"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B0E5"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(849)</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B0E6" w14:textId="77777777" w:rsidR="00D7560A" w:rsidRDefault="00D7560A">
            <w:pPr>
              <w:widowControl/>
              <w:jc w:val="right"/>
              <w:rPr>
                <w:rFonts w:ascii="Times New Roman" w:eastAsia="宋体" w:hAnsi="宋体" w:cs="宋体"/>
                <w:kern w:val="0"/>
                <w:sz w:val="24"/>
              </w:rPr>
            </w:pPr>
          </w:p>
        </w:tc>
      </w:tr>
      <w:tr w:rsidR="00D7560A" w14:paraId="59E4B0F4" w14:textId="77777777">
        <w:trPr>
          <w:jc w:val="center"/>
        </w:trPr>
        <w:tc>
          <w:tcPr>
            <w:tcW w:w="0" w:type="auto"/>
            <w:gridSpan w:val="3"/>
            <w:tcBorders>
              <w:top w:val="nil"/>
              <w:left w:val="nil"/>
              <w:bottom w:val="nil"/>
              <w:right w:val="nil"/>
            </w:tcBorders>
            <w:shd w:val="clear" w:color="auto" w:fill="CCEEFF"/>
            <w:tcMar>
              <w:top w:w="40" w:type="dxa"/>
              <w:left w:w="125" w:type="dxa"/>
              <w:bottom w:w="40" w:type="dxa"/>
              <w:right w:w="20" w:type="dxa"/>
            </w:tcMar>
            <w:vAlign w:val="bottom"/>
          </w:tcPr>
          <w:p w14:paraId="59E4B0E8"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Foreign exchange</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B0E9"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(66)</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0EA"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0EB"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B0EC"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(67)</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0ED"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0EE"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B0EF"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(155)</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0F0"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0F1"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B0F2"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(119)</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0F3" w14:textId="77777777" w:rsidR="00D7560A" w:rsidRDefault="00D7560A">
            <w:pPr>
              <w:widowControl/>
              <w:jc w:val="right"/>
              <w:rPr>
                <w:rFonts w:ascii="Times New Roman" w:eastAsia="宋体" w:hAnsi="宋体" w:cs="宋体"/>
                <w:kern w:val="0"/>
                <w:sz w:val="24"/>
              </w:rPr>
            </w:pPr>
          </w:p>
        </w:tc>
      </w:tr>
      <w:tr w:rsidR="00D7560A" w14:paraId="59E4B0FD" w14:textId="77777777">
        <w:trPr>
          <w:jc w:val="center"/>
          <w:hidden/>
        </w:trPr>
        <w:tc>
          <w:tcPr>
            <w:tcW w:w="0" w:type="auto"/>
            <w:gridSpan w:val="3"/>
            <w:tcBorders>
              <w:top w:val="nil"/>
              <w:left w:val="nil"/>
              <w:bottom w:val="nil"/>
              <w:right w:val="nil"/>
            </w:tcBorders>
            <w:shd w:val="clear" w:color="auto" w:fill="auto"/>
            <w:vAlign w:val="bottom"/>
          </w:tcPr>
          <w:p w14:paraId="59E4B0F5"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0F6"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0F7"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0F8"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0F9"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0FA"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0FB"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0FC" w14:textId="77777777" w:rsidR="00D7560A" w:rsidRDefault="00D7560A">
            <w:pPr>
              <w:widowControl/>
              <w:jc w:val="left"/>
              <w:rPr>
                <w:rFonts w:ascii="Times New Roman" w:eastAsia="宋体" w:hAnsi="宋体" w:cs="宋体"/>
                <w:vanish/>
                <w:kern w:val="0"/>
                <w:sz w:val="24"/>
              </w:rPr>
            </w:pPr>
          </w:p>
        </w:tc>
      </w:tr>
      <w:tr w:rsidR="00D7560A" w14:paraId="59E4B106" w14:textId="77777777">
        <w:trPr>
          <w:jc w:val="center"/>
          <w:hidden/>
        </w:trPr>
        <w:tc>
          <w:tcPr>
            <w:tcW w:w="0" w:type="auto"/>
            <w:gridSpan w:val="3"/>
            <w:tcBorders>
              <w:top w:val="nil"/>
              <w:left w:val="nil"/>
              <w:bottom w:val="nil"/>
              <w:right w:val="nil"/>
            </w:tcBorders>
            <w:shd w:val="clear" w:color="auto" w:fill="auto"/>
            <w:vAlign w:val="bottom"/>
          </w:tcPr>
          <w:p w14:paraId="59E4B0FE"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0FF"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100"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101"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102"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103"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104"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105" w14:textId="77777777" w:rsidR="00D7560A" w:rsidRDefault="00D7560A">
            <w:pPr>
              <w:widowControl/>
              <w:jc w:val="left"/>
              <w:rPr>
                <w:rFonts w:ascii="Times New Roman" w:eastAsia="宋体" w:hAnsi="宋体" w:cs="宋体"/>
                <w:vanish/>
                <w:kern w:val="0"/>
                <w:sz w:val="24"/>
              </w:rPr>
            </w:pPr>
          </w:p>
        </w:tc>
      </w:tr>
      <w:tr w:rsidR="00D7560A" w14:paraId="59E4B113" w14:textId="77777777">
        <w:trPr>
          <w:jc w:val="center"/>
        </w:trPr>
        <w:tc>
          <w:tcPr>
            <w:tcW w:w="0" w:type="auto"/>
            <w:gridSpan w:val="3"/>
            <w:tcBorders>
              <w:top w:val="nil"/>
              <w:left w:val="nil"/>
              <w:bottom w:val="nil"/>
              <w:right w:val="nil"/>
            </w:tcBorders>
            <w:shd w:val="clear" w:color="auto" w:fill="FFFFFF"/>
            <w:tcMar>
              <w:top w:w="40" w:type="dxa"/>
              <w:left w:w="125" w:type="dxa"/>
              <w:bottom w:w="40" w:type="dxa"/>
              <w:right w:w="20" w:type="dxa"/>
            </w:tcMar>
            <w:vAlign w:val="bottom"/>
          </w:tcPr>
          <w:p w14:paraId="59E4B107"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Other</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B108"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B109"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10A"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B10B"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B10C"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10D"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B10E"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B10F"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110"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B111"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B112" w14:textId="77777777" w:rsidR="00D7560A" w:rsidRDefault="00D7560A">
            <w:pPr>
              <w:widowControl/>
              <w:jc w:val="right"/>
              <w:rPr>
                <w:rFonts w:ascii="Times New Roman" w:eastAsia="宋体" w:hAnsi="宋体" w:cs="宋体"/>
                <w:kern w:val="0"/>
                <w:sz w:val="24"/>
              </w:rPr>
            </w:pPr>
          </w:p>
        </w:tc>
      </w:tr>
      <w:tr w:rsidR="00D7560A" w14:paraId="59E4B124" w14:textId="77777777">
        <w:trPr>
          <w:jc w:val="center"/>
        </w:trPr>
        <w:tc>
          <w:tcPr>
            <w:tcW w:w="0" w:type="auto"/>
            <w:gridSpan w:val="3"/>
            <w:tcBorders>
              <w:top w:val="nil"/>
              <w:left w:val="nil"/>
              <w:bottom w:val="nil"/>
              <w:right w:val="nil"/>
            </w:tcBorders>
            <w:shd w:val="clear" w:color="auto" w:fill="CCEEFF"/>
            <w:tcMar>
              <w:top w:w="40" w:type="dxa"/>
              <w:left w:w="275" w:type="dxa"/>
              <w:bottom w:w="40" w:type="dxa"/>
              <w:right w:w="20" w:type="dxa"/>
            </w:tcMar>
            <w:vAlign w:val="bottom"/>
          </w:tcPr>
          <w:p w14:paraId="59E4B114"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Total interest and other, net</w:t>
            </w: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59E4B115"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59E4B116"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(635)</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59E4B117"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118"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59E4B119"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59E4B11A"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(292)</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59E4B11B"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11C"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59E4B11D"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59E4B11E"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(972)</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59E4B11F"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120"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59E4B121"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59E4B122"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(580)</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59E4B123" w14:textId="77777777" w:rsidR="00D7560A" w:rsidRDefault="00D7560A">
            <w:pPr>
              <w:widowControl/>
              <w:jc w:val="right"/>
              <w:rPr>
                <w:rFonts w:ascii="Times New Roman" w:eastAsia="宋体" w:hAnsi="宋体" w:cs="宋体"/>
                <w:kern w:val="0"/>
                <w:sz w:val="24"/>
              </w:rPr>
            </w:pPr>
          </w:p>
        </w:tc>
      </w:tr>
    </w:tbl>
    <w:p w14:paraId="59E4B125" w14:textId="77777777" w:rsidR="00D7560A" w:rsidRDefault="001E3CAB">
      <w:pPr>
        <w:widowControl/>
        <w:spacing w:before="100"/>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B126" w14:textId="77777777" w:rsidR="00D7560A" w:rsidRDefault="001E3CAB">
      <w:pPr>
        <w:widowControl/>
        <w:spacing w:before="100"/>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B127" w14:textId="77777777" w:rsidR="00D7560A" w:rsidRDefault="001E3CAB">
      <w:pPr>
        <w:widowControl/>
        <w:spacing w:before="100"/>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B128" w14:textId="77777777" w:rsidR="00D7560A" w:rsidRDefault="001E3CAB">
      <w:pPr>
        <w:widowControl/>
        <w:spacing w:before="100"/>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B129" w14:textId="77777777" w:rsidR="00D7560A" w:rsidRDefault="001E3CAB">
      <w:pPr>
        <w:widowControl/>
        <w:spacing w:before="100"/>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B12A" w14:textId="77777777" w:rsidR="00D7560A" w:rsidRDefault="001E3CAB">
      <w:pPr>
        <w:widowControl/>
        <w:spacing w:before="100"/>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B12B" w14:textId="77777777" w:rsidR="00D7560A" w:rsidRDefault="001E3CAB">
      <w:pPr>
        <w:widowControl/>
        <w:spacing w:before="100"/>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B12C" w14:textId="77777777" w:rsidR="00D7560A" w:rsidRDefault="001E3CAB">
      <w:pPr>
        <w:widowControl/>
        <w:spacing w:before="100"/>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B12D" w14:textId="77777777" w:rsidR="00D7560A" w:rsidRDefault="001E3CAB">
      <w:pPr>
        <w:widowControl/>
        <w:spacing w:before="100"/>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B12E" w14:textId="77777777" w:rsidR="00D7560A" w:rsidRDefault="001E3CAB">
      <w:pPr>
        <w:widowControl/>
        <w:spacing w:before="100"/>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B12F"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B130"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56</w:t>
      </w:r>
    </w:p>
    <w:p w14:paraId="59E4B131"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B132" w14:textId="77777777" w:rsidR="00D7560A" w:rsidRDefault="001E3CAB">
      <w:pPr>
        <w:widowControl/>
        <w:jc w:val="center"/>
      </w:pPr>
      <w:r>
        <w:rPr>
          <w:rFonts w:ascii="宋体" w:eastAsia="宋体" w:hAnsi="宋体" w:cs="宋体"/>
          <w:kern w:val="0"/>
          <w:sz w:val="24"/>
        </w:rPr>
        <w:pict w14:anchorId="59E4C803">
          <v:rect id="_x0000_i1080" style="width:6in;height:1.5pt" o:hralign="center" o:hrstd="t" o:hr="t" fillcolor="#a0a0a0" stroked="f"/>
        </w:pict>
      </w:r>
    </w:p>
    <w:p w14:paraId="59E4B133" w14:textId="77777777" w:rsidR="00D7560A" w:rsidRDefault="001E3CAB">
      <w:pPr>
        <w:widowControl/>
        <w:jc w:val="left"/>
        <w:rPr>
          <w:rFonts w:ascii="宋体" w:eastAsia="宋体" w:hAnsi="宋体" w:cs="宋体"/>
          <w:kern w:val="0"/>
          <w:sz w:val="24"/>
        </w:rPr>
      </w:pPr>
      <w:hyperlink w:anchor="if933dd1d5d004d2495dd7029e3ecad00_13" w:history="1">
        <w:r>
          <w:rPr>
            <w:rStyle w:val="a4"/>
            <w:rFonts w:ascii="Times New Roman" w:eastAsia="宋体" w:hAnsi="Times New Roman" w:cs="Times New Roman"/>
            <w:sz w:val="20"/>
            <w:szCs w:val="20"/>
          </w:rPr>
          <w:t>Table of Contents</w:t>
        </w:r>
      </w:hyperlink>
    </w:p>
    <w:p w14:paraId="59E4B134"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DELL TECHNOLOGIES INC.</w:t>
      </w:r>
    </w:p>
    <w:p w14:paraId="59E4B135"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NOTES TO THE CONDENSED CONSOLIDATED FINANCIAL STATEMENTS (Continued)</w:t>
      </w:r>
    </w:p>
    <w:p w14:paraId="59E4B136"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(unaudited)</w:t>
      </w:r>
    </w:p>
    <w:p w14:paraId="59E4B137"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B138"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B139"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 xml:space="preserve">NOTE 19 — SUBSEQUENT EVENTS </w:t>
      </w:r>
    </w:p>
    <w:p w14:paraId="59E4B13A"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B13B"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There were no known events </w:t>
      </w:r>
      <w:r>
        <w:rPr>
          <w:rFonts w:ascii="Times New Roman" w:eastAsia="宋体" w:hAnsi="Times New Roman" w:cs="Times New Roman"/>
          <w:color w:val="000000"/>
          <w:kern w:val="0"/>
          <w:sz w:val="20"/>
          <w:szCs w:val="20"/>
          <w:lang w:bidi="ar"/>
        </w:rPr>
        <w:t>occurring after July 29, 2022 and up until the date of issuance of this report that would materially affect the information presented herein.</w:t>
      </w:r>
    </w:p>
    <w:p w14:paraId="59E4B13C"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B13D"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B13E"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57</w:t>
      </w:r>
    </w:p>
    <w:p w14:paraId="59E4B13F"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B140" w14:textId="77777777" w:rsidR="00D7560A" w:rsidRDefault="001E3CAB">
      <w:pPr>
        <w:widowControl/>
        <w:jc w:val="center"/>
      </w:pPr>
      <w:r>
        <w:rPr>
          <w:rFonts w:ascii="宋体" w:eastAsia="宋体" w:hAnsi="宋体" w:cs="宋体"/>
          <w:kern w:val="0"/>
          <w:sz w:val="24"/>
        </w:rPr>
        <w:pict w14:anchorId="59E4C804">
          <v:rect id="_x0000_i1081" style="width:6in;height:1.5pt" o:hralign="center" o:hrstd="t" o:hr="t" fillcolor="#a0a0a0" stroked="f"/>
        </w:pict>
      </w:r>
    </w:p>
    <w:p w14:paraId="59E4B141" w14:textId="77777777" w:rsidR="00D7560A" w:rsidRDefault="001E3CAB">
      <w:pPr>
        <w:widowControl/>
        <w:jc w:val="left"/>
        <w:rPr>
          <w:rFonts w:ascii="宋体" w:eastAsia="宋体" w:hAnsi="宋体" w:cs="宋体"/>
          <w:kern w:val="0"/>
          <w:sz w:val="24"/>
        </w:rPr>
      </w:pPr>
      <w:hyperlink w:anchor="if933dd1d5d004d2495dd7029e3ecad00_13" w:history="1">
        <w:r>
          <w:rPr>
            <w:rStyle w:val="a4"/>
            <w:rFonts w:ascii="Times New Roman" w:eastAsia="宋体" w:hAnsi="Times New Roman" w:cs="Times New Roman"/>
            <w:sz w:val="20"/>
            <w:szCs w:val="20"/>
          </w:rPr>
          <w:t>Table of Contents</w:t>
        </w:r>
      </w:hyperlink>
    </w:p>
    <w:p w14:paraId="59E4B142"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 xml:space="preserve">ITEM 2 </w:t>
      </w:r>
      <w:r>
        <w:rPr>
          <w:rFonts w:ascii="Times New Roman" w:eastAsia="宋体" w:hAnsi="Times New Roman" w:cs="Times New Roman"/>
          <w:b/>
          <w:bCs/>
          <w:i/>
          <w:iCs/>
          <w:color w:val="000000"/>
          <w:kern w:val="0"/>
          <w:sz w:val="20"/>
          <w:szCs w:val="20"/>
          <w:lang w:bidi="ar"/>
        </w:rPr>
        <w:t xml:space="preserve">— </w:t>
      </w:r>
      <w:r>
        <w:rPr>
          <w:rFonts w:ascii="Times New Roman" w:eastAsia="宋体" w:hAnsi="Times New Roman" w:cs="Times New Roman"/>
          <w:b/>
          <w:bCs/>
          <w:color w:val="000000"/>
          <w:kern w:val="0"/>
          <w:sz w:val="20"/>
          <w:szCs w:val="20"/>
          <w:lang w:bidi="ar"/>
        </w:rPr>
        <w:t xml:space="preserve">MANAGEMENT’S </w:t>
      </w:r>
      <w:r>
        <w:rPr>
          <w:rFonts w:ascii="Times New Roman" w:eastAsia="宋体" w:hAnsi="Times New Roman" w:cs="Times New Roman"/>
          <w:b/>
          <w:bCs/>
          <w:color w:val="000000"/>
          <w:kern w:val="0"/>
          <w:sz w:val="20"/>
          <w:szCs w:val="20"/>
          <w:lang w:bidi="ar"/>
        </w:rPr>
        <w:t>DISCUSSION AND ANALYSIS OF FINANCIAL CONDITION AND RESULTS OF OPERATIONS</w:t>
      </w:r>
    </w:p>
    <w:p w14:paraId="59E4B143"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B144"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b/>
          <w:bCs/>
          <w:i/>
          <w:iCs/>
          <w:color w:val="000000"/>
          <w:kern w:val="0"/>
          <w:sz w:val="20"/>
          <w:szCs w:val="20"/>
          <w:lang w:bidi="ar"/>
        </w:rPr>
        <w:t>This management’s discussion and analysis should be read in conjunction with the audited Consolidated Financial Statements and accompanying Notes included in the Company’s annual re</w:t>
      </w:r>
      <w:r>
        <w:rPr>
          <w:rFonts w:ascii="Times New Roman" w:eastAsia="宋体" w:hAnsi="Times New Roman" w:cs="Times New Roman"/>
          <w:b/>
          <w:bCs/>
          <w:i/>
          <w:iCs/>
          <w:color w:val="000000"/>
          <w:kern w:val="0"/>
          <w:sz w:val="20"/>
          <w:szCs w:val="20"/>
          <w:lang w:bidi="ar"/>
        </w:rPr>
        <w:t>port on Form 10-K for the fiscal year ended January 28, 2022 and the unaudited Condensed Consolidated Financial Statements included in this report. In addition to historical financial information, the following discussion contains forward-looking statement</w:t>
      </w:r>
      <w:r>
        <w:rPr>
          <w:rFonts w:ascii="Times New Roman" w:eastAsia="宋体" w:hAnsi="Times New Roman" w:cs="Times New Roman"/>
          <w:b/>
          <w:bCs/>
          <w:i/>
          <w:iCs/>
          <w:color w:val="000000"/>
          <w:kern w:val="0"/>
          <w:sz w:val="20"/>
          <w:szCs w:val="20"/>
          <w:lang w:bidi="ar"/>
        </w:rPr>
        <w:t>s that reflect our plans, estimates, and beliefs, and that are subject to numerous risks and uncertainties. Our actual results may differ materially from those expressed or implied in any forward-looking statements.</w:t>
      </w:r>
    </w:p>
    <w:p w14:paraId="59E4B145"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B146"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b/>
          <w:bCs/>
          <w:i/>
          <w:iCs/>
          <w:color w:val="000000"/>
          <w:kern w:val="0"/>
          <w:sz w:val="20"/>
          <w:szCs w:val="20"/>
          <w:lang w:bidi="ar"/>
        </w:rPr>
        <w:t>Unless otherwise indicated, all result</w:t>
      </w:r>
      <w:r>
        <w:rPr>
          <w:rFonts w:ascii="Times New Roman" w:eastAsia="宋体" w:hAnsi="Times New Roman" w:cs="Times New Roman"/>
          <w:b/>
          <w:bCs/>
          <w:i/>
          <w:iCs/>
          <w:color w:val="000000"/>
          <w:kern w:val="0"/>
          <w:sz w:val="20"/>
          <w:szCs w:val="20"/>
          <w:lang w:bidi="ar"/>
        </w:rPr>
        <w:t>s presented are prepared in a manner that complies, in all material respects, with generally accepted accounting principles in the United States of America (“GAAP”). Unless otherwise indicated, all changes identified for the current-period results represen</w:t>
      </w:r>
      <w:r>
        <w:rPr>
          <w:rFonts w:ascii="Times New Roman" w:eastAsia="宋体" w:hAnsi="Times New Roman" w:cs="Times New Roman"/>
          <w:b/>
          <w:bCs/>
          <w:i/>
          <w:iCs/>
          <w:color w:val="000000"/>
          <w:kern w:val="0"/>
          <w:sz w:val="20"/>
          <w:szCs w:val="20"/>
          <w:lang w:bidi="ar"/>
        </w:rPr>
        <w:t>t comparisons to results for the prior corresponding fiscal period.</w:t>
      </w:r>
    </w:p>
    <w:p w14:paraId="59E4B147"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B148"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b/>
          <w:bCs/>
          <w:i/>
          <w:iCs/>
          <w:color w:val="000000"/>
          <w:kern w:val="0"/>
          <w:sz w:val="20"/>
          <w:szCs w:val="20"/>
          <w:lang w:bidi="ar"/>
        </w:rPr>
        <w:t>Unless the context indicates otherwise, references in this report to “we,” “us,” “our,” the “Company,” and “Dell Technologies” mean Dell Technologies Inc. and its consolidated subsidiari</w:t>
      </w:r>
      <w:r>
        <w:rPr>
          <w:rFonts w:ascii="Times New Roman" w:eastAsia="宋体" w:hAnsi="Times New Roman" w:cs="Times New Roman"/>
          <w:b/>
          <w:bCs/>
          <w:i/>
          <w:iCs/>
          <w:color w:val="000000"/>
          <w:kern w:val="0"/>
          <w:sz w:val="20"/>
          <w:szCs w:val="20"/>
          <w:lang w:bidi="ar"/>
        </w:rPr>
        <w:t>es, references to “Dell” mean Dell Inc. and Dell Inc.’s consolidated subsidiaries, and references to “EMC” mean EMC Corporation and EMC Corporation’s consolidated subsidiaries.</w:t>
      </w:r>
    </w:p>
    <w:p w14:paraId="59E4B149"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B14A"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b/>
          <w:bCs/>
          <w:i/>
          <w:iCs/>
          <w:color w:val="000000"/>
          <w:kern w:val="0"/>
          <w:sz w:val="20"/>
          <w:szCs w:val="20"/>
          <w:lang w:bidi="ar"/>
        </w:rPr>
        <w:t>On November 1, 2021, the Company completed its spin-off of VMware, Inc. (“VMw</w:t>
      </w:r>
      <w:r>
        <w:rPr>
          <w:rFonts w:ascii="Times New Roman" w:eastAsia="宋体" w:hAnsi="Times New Roman" w:cs="Times New Roman"/>
          <w:b/>
          <w:bCs/>
          <w:i/>
          <w:iCs/>
          <w:color w:val="000000"/>
          <w:kern w:val="0"/>
          <w:sz w:val="20"/>
          <w:szCs w:val="20"/>
          <w:lang w:bidi="ar"/>
        </w:rPr>
        <w:t xml:space="preserve">are”). In accordance with applicable accounting guidance, the results of VMware, excluding Dell's resale of VMware offerings, are presented as discontinued operations in the Condensed Consolidated Statements of Income and, as such, have been excluded from </w:t>
      </w:r>
      <w:r>
        <w:rPr>
          <w:rFonts w:ascii="Times New Roman" w:eastAsia="宋体" w:hAnsi="Times New Roman" w:cs="Times New Roman"/>
          <w:b/>
          <w:bCs/>
          <w:i/>
          <w:iCs/>
          <w:color w:val="000000"/>
          <w:kern w:val="0"/>
          <w:sz w:val="20"/>
          <w:szCs w:val="20"/>
          <w:lang w:bidi="ar"/>
        </w:rPr>
        <w:t>both continuing operations and segment results for the three and six months ended July 30, 2021. The Condensed Consolidated Statements of Cash Flows are presented on a consolidated basis for both continuing operations and discontinued operations.</w:t>
      </w:r>
    </w:p>
    <w:p w14:paraId="59E4B14B"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B14C"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b/>
          <w:bCs/>
          <w:i/>
          <w:iCs/>
          <w:color w:val="000000"/>
          <w:kern w:val="0"/>
          <w:sz w:val="20"/>
          <w:szCs w:val="20"/>
          <w:lang w:bidi="ar"/>
        </w:rPr>
        <w:t xml:space="preserve">Our </w:t>
      </w:r>
      <w:r>
        <w:rPr>
          <w:rFonts w:ascii="Times New Roman" w:eastAsia="宋体" w:hAnsi="Times New Roman" w:cs="Times New Roman"/>
          <w:b/>
          <w:bCs/>
          <w:i/>
          <w:iCs/>
          <w:color w:val="000000"/>
          <w:kern w:val="0"/>
          <w:sz w:val="20"/>
          <w:szCs w:val="20"/>
          <w:lang w:bidi="ar"/>
        </w:rPr>
        <w:t>fiscal year is the 52- or 53-week period ending on the Friday nearest January 31. We refer to our fiscal year ending February 3, 2023 as “Fiscal 2023” and our fiscal year ended January 28, 2022 as “Fiscal 2022.” Fiscal 2023 will include 53 weeks and Fiscal</w:t>
      </w:r>
      <w:r>
        <w:rPr>
          <w:rFonts w:ascii="Times New Roman" w:eastAsia="宋体" w:hAnsi="Times New Roman" w:cs="Times New Roman"/>
          <w:b/>
          <w:bCs/>
          <w:i/>
          <w:iCs/>
          <w:color w:val="000000"/>
          <w:kern w:val="0"/>
          <w:sz w:val="20"/>
          <w:szCs w:val="20"/>
          <w:lang w:bidi="ar"/>
        </w:rPr>
        <w:t xml:space="preserve"> 2022 included 52 weeks.</w:t>
      </w:r>
    </w:p>
    <w:p w14:paraId="59E4B14D"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B14E"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INTRODUCTION</w:t>
      </w:r>
    </w:p>
    <w:p w14:paraId="59E4B14F"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B150"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Company Overview</w:t>
      </w:r>
    </w:p>
    <w:p w14:paraId="59E4B151"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B152"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Dell Technologies helps organizations build their digital futures and individuals transform how they work, live and play. We provide customers with one of the industry’s broadest and most innovat</w:t>
      </w:r>
      <w:r>
        <w:rPr>
          <w:rFonts w:ascii="Times New Roman" w:eastAsia="宋体" w:hAnsi="Times New Roman" w:cs="Times New Roman"/>
          <w:color w:val="000000"/>
          <w:kern w:val="0"/>
          <w:sz w:val="20"/>
          <w:szCs w:val="20"/>
          <w:lang w:bidi="ar"/>
        </w:rPr>
        <w:t xml:space="preserve">ive solutions portfolio for the data era, including traditional infrastructure and extending to multi-cloud environments. We continue to seamlessly deliver differentiated and holistic IT solutions to our customers which has helped drive consistent revenue </w:t>
      </w:r>
      <w:r>
        <w:rPr>
          <w:rFonts w:ascii="Times New Roman" w:eastAsia="宋体" w:hAnsi="Times New Roman" w:cs="Times New Roman"/>
          <w:color w:val="000000"/>
          <w:kern w:val="0"/>
          <w:sz w:val="20"/>
          <w:szCs w:val="20"/>
          <w:lang w:bidi="ar"/>
        </w:rPr>
        <w:t>growth.</w:t>
      </w:r>
    </w:p>
    <w:p w14:paraId="59E4B153"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B154"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Dell Technologies’ integrated solutions help customers modernize their IT infrastructure, manage and operate in a multi-cloud world, address workforce transformation, and provide critical solutions that keep people and organizations connected, wh</w:t>
      </w:r>
      <w:r>
        <w:rPr>
          <w:rFonts w:ascii="Times New Roman" w:eastAsia="宋体" w:hAnsi="Times New Roman" w:cs="Times New Roman"/>
          <w:color w:val="000000"/>
          <w:kern w:val="0"/>
          <w:sz w:val="20"/>
          <w:szCs w:val="20"/>
          <w:lang w:bidi="ar"/>
        </w:rPr>
        <w:t>ich has proven even more important through the COVID-19 pandemic. We are helping customers accelerate their digital transformations to improve and strengthen business and workforce productivity. With our extensive portfolio and our commitment to innovation</w:t>
      </w:r>
      <w:r>
        <w:rPr>
          <w:rFonts w:ascii="Times New Roman" w:eastAsia="宋体" w:hAnsi="Times New Roman" w:cs="Times New Roman"/>
          <w:color w:val="000000"/>
          <w:kern w:val="0"/>
          <w:sz w:val="20"/>
          <w:szCs w:val="20"/>
          <w:lang w:bidi="ar"/>
        </w:rPr>
        <w:t>, we offer secure, integrated solutions that extend from the edge to the core to the cloud, and we are at the forefront of the software-defined and cloud native infrastructure era. As further evidence of our commitment to innovation, we are evolving and ex</w:t>
      </w:r>
      <w:r>
        <w:rPr>
          <w:rFonts w:ascii="Times New Roman" w:eastAsia="宋体" w:hAnsi="Times New Roman" w:cs="Times New Roman"/>
          <w:color w:val="000000"/>
          <w:kern w:val="0"/>
          <w:sz w:val="20"/>
          <w:szCs w:val="20"/>
          <w:lang w:bidi="ar"/>
        </w:rPr>
        <w:t>panding our IT as-a-Service and cloud offerings including APEX-branded solutions which provide our customers with greater flexibility to scale IT to meet their evolving business needs and budgets.</w:t>
      </w:r>
    </w:p>
    <w:p w14:paraId="59E4B155"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B156"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Dell Technologies’ end-to-end portfolio is supported by a</w:t>
      </w:r>
      <w:r>
        <w:rPr>
          <w:rFonts w:ascii="Times New Roman" w:eastAsia="宋体" w:hAnsi="Times New Roman" w:cs="Times New Roman"/>
          <w:color w:val="000000"/>
          <w:kern w:val="0"/>
          <w:sz w:val="20"/>
          <w:szCs w:val="20"/>
          <w:lang w:bidi="ar"/>
        </w:rPr>
        <w:t xml:space="preserve"> world-class organization that operates globally in approximately 180 countries across key functional areas, including technology and product development, marketing, sales, financial services, and services. Our go-to-market engine includes a 32,000-person </w:t>
      </w:r>
      <w:r>
        <w:rPr>
          <w:rFonts w:ascii="Times New Roman" w:eastAsia="宋体" w:hAnsi="Times New Roman" w:cs="Times New Roman"/>
          <w:color w:val="000000"/>
          <w:kern w:val="0"/>
          <w:sz w:val="20"/>
          <w:szCs w:val="20"/>
          <w:lang w:bidi="ar"/>
        </w:rPr>
        <w:t>sales force and a global network of over 200,000 channel partners. Dell Financial Services and its affiliates (“DFS”) offer customers payment flexibility and enable synergies across the business. We employ approximately 35,000 full-time service and support</w:t>
      </w:r>
      <w:r>
        <w:rPr>
          <w:rFonts w:ascii="Times New Roman" w:eastAsia="宋体" w:hAnsi="Times New Roman" w:cs="Times New Roman"/>
          <w:color w:val="000000"/>
          <w:kern w:val="0"/>
          <w:sz w:val="20"/>
          <w:szCs w:val="20"/>
          <w:lang w:bidi="ar"/>
        </w:rPr>
        <w:t xml:space="preserve"> professionals and maintain more than 2,400 vendor-managed service centers. We manage a world-class supply chain that drives long-term growth and operating efficiencies, with approximately $75 billion in annual procurement expenditures and over 750 parts d</w:t>
      </w:r>
      <w:r>
        <w:rPr>
          <w:rFonts w:ascii="Times New Roman" w:eastAsia="宋体" w:hAnsi="Times New Roman" w:cs="Times New Roman"/>
          <w:color w:val="000000"/>
          <w:kern w:val="0"/>
          <w:sz w:val="20"/>
          <w:szCs w:val="20"/>
          <w:lang w:bidi="ar"/>
        </w:rPr>
        <w:t>istribution centers. Together, these durable competitive advantages provide a critical foundation for our success.</w:t>
      </w:r>
    </w:p>
    <w:p w14:paraId="59E4B157"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B158"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B159"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B15A"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58</w:t>
      </w:r>
    </w:p>
    <w:p w14:paraId="59E4B15B"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B15C" w14:textId="77777777" w:rsidR="00D7560A" w:rsidRDefault="001E3CAB">
      <w:pPr>
        <w:widowControl/>
        <w:jc w:val="center"/>
      </w:pPr>
      <w:r>
        <w:rPr>
          <w:rFonts w:ascii="宋体" w:eastAsia="宋体" w:hAnsi="宋体" w:cs="宋体"/>
          <w:kern w:val="0"/>
          <w:sz w:val="24"/>
        </w:rPr>
        <w:pict w14:anchorId="59E4C805">
          <v:rect id="_x0000_i1082" style="width:6in;height:1.5pt" o:hralign="center" o:hrstd="t" o:hr="t" fillcolor="#a0a0a0" stroked="f"/>
        </w:pict>
      </w:r>
    </w:p>
    <w:p w14:paraId="59E4B15D" w14:textId="77777777" w:rsidR="00D7560A" w:rsidRDefault="001E3CAB">
      <w:pPr>
        <w:widowControl/>
        <w:jc w:val="left"/>
        <w:rPr>
          <w:rFonts w:ascii="宋体" w:eastAsia="宋体" w:hAnsi="宋体" w:cs="宋体"/>
          <w:kern w:val="0"/>
          <w:sz w:val="24"/>
        </w:rPr>
      </w:pPr>
      <w:hyperlink w:anchor="if933dd1d5d004d2495dd7029e3ecad00_13" w:history="1">
        <w:r>
          <w:rPr>
            <w:rStyle w:val="a4"/>
            <w:rFonts w:ascii="Times New Roman" w:eastAsia="宋体" w:hAnsi="Times New Roman" w:cs="Times New Roman"/>
            <w:sz w:val="20"/>
            <w:szCs w:val="20"/>
          </w:rPr>
          <w:t>Table of Contents</w:t>
        </w:r>
      </w:hyperlink>
    </w:p>
    <w:p w14:paraId="59E4B15E"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Our Vision and Strategy</w:t>
      </w:r>
    </w:p>
    <w:p w14:paraId="59E4B15F"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B160"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Our vision is to become the most essential technology company for the data era. We seek to address our customers’ evolving needs and their broader digital transformation objectives as they embrace today’s hybrid multi-cloud environment. We intend to execut</w:t>
      </w:r>
      <w:r>
        <w:rPr>
          <w:rFonts w:ascii="Times New Roman" w:eastAsia="宋体" w:hAnsi="Times New Roman" w:cs="Times New Roman"/>
          <w:color w:val="000000"/>
          <w:kern w:val="0"/>
          <w:sz w:val="20"/>
          <w:szCs w:val="20"/>
          <w:lang w:bidi="ar"/>
        </w:rPr>
        <w:t xml:space="preserve">e on our vision by focusing on two overarching strategic priorities: </w:t>
      </w:r>
    </w:p>
    <w:p w14:paraId="59E4B161"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B162" w14:textId="77777777" w:rsidR="00D7560A" w:rsidRDefault="001E3CAB">
      <w:pPr>
        <w:widowControl/>
        <w:ind w:left="360" w:hanging="36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•Grow and modernize our core offerings in the markets in which we predominantly compete</w:t>
      </w:r>
    </w:p>
    <w:p w14:paraId="59E4B163"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B164" w14:textId="77777777" w:rsidR="00D7560A" w:rsidRDefault="001E3CAB">
      <w:pPr>
        <w:widowControl/>
        <w:ind w:left="360" w:hanging="36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•Pursue attractive new growth opportunities such as Edge, Telecom, data management, and as-a-S</w:t>
      </w:r>
      <w:r>
        <w:rPr>
          <w:rFonts w:ascii="Times New Roman" w:eastAsia="宋体" w:hAnsi="Times New Roman" w:cs="Times New Roman"/>
          <w:color w:val="000000"/>
          <w:kern w:val="0"/>
          <w:sz w:val="20"/>
          <w:szCs w:val="20"/>
          <w:lang w:bidi="ar"/>
        </w:rPr>
        <w:t>ervice consumption models</w:t>
      </w:r>
    </w:p>
    <w:p w14:paraId="59E4B165"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B166"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We believe that we are uniquely positioned in the data and multi-cloud era and that our results will benefit from our durable competitive advantages. We intend to continue to execute our business model to position our company for long-term success while ba</w:t>
      </w:r>
      <w:r>
        <w:rPr>
          <w:rFonts w:ascii="Times New Roman" w:eastAsia="宋体" w:hAnsi="Times New Roman" w:cs="Times New Roman"/>
          <w:color w:val="000000"/>
          <w:kern w:val="0"/>
          <w:sz w:val="20"/>
          <w:szCs w:val="20"/>
          <w:lang w:bidi="ar"/>
        </w:rPr>
        <w:t xml:space="preserve">lancing liquidity, profitability, and growth. </w:t>
      </w:r>
    </w:p>
    <w:p w14:paraId="59E4B167"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B168"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We are seeing an accelerated rate of change in the IT industry and increased demand for simpler, more agile IT as companies leverage multiple clouds in their IT environments. COVID-19 has accelerated the introduction and adoption of new technologies to ens</w:t>
      </w:r>
      <w:r>
        <w:rPr>
          <w:rFonts w:ascii="Times New Roman" w:eastAsia="宋体" w:hAnsi="Times New Roman" w:cs="Times New Roman"/>
          <w:color w:val="000000"/>
          <w:kern w:val="0"/>
          <w:sz w:val="20"/>
          <w:szCs w:val="20"/>
          <w:lang w:bidi="ar"/>
        </w:rPr>
        <w:t>ure productivity and collaboration from anywhere. To meet our customer needs, we continue to invest in research and development, sales, and other key areas of our business to deliver superior products and solutions capabilities and to drive long-term susta</w:t>
      </w:r>
      <w:r>
        <w:rPr>
          <w:rFonts w:ascii="Times New Roman" w:eastAsia="宋体" w:hAnsi="Times New Roman" w:cs="Times New Roman"/>
          <w:color w:val="000000"/>
          <w:kern w:val="0"/>
          <w:sz w:val="20"/>
          <w:szCs w:val="20"/>
          <w:lang w:bidi="ar"/>
        </w:rPr>
        <w:t xml:space="preserve">inable growth. </w:t>
      </w:r>
    </w:p>
    <w:p w14:paraId="59E4B169"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B16A"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Products and Services</w:t>
      </w:r>
    </w:p>
    <w:p w14:paraId="59E4B16B"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B16C"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We design, develop, manufacture, market, sell, and support a wide range of comprehensive and integrated solutions, products, and services. We are organized into two business units, referred to as Infrastructure Sol</w:t>
      </w:r>
      <w:r>
        <w:rPr>
          <w:rFonts w:ascii="Times New Roman" w:eastAsia="宋体" w:hAnsi="Times New Roman" w:cs="Times New Roman"/>
          <w:color w:val="000000"/>
          <w:kern w:val="0"/>
          <w:sz w:val="20"/>
          <w:szCs w:val="20"/>
          <w:lang w:bidi="ar"/>
        </w:rPr>
        <w:t>utions Group and Client Solutions Group, which are our reportable segments.</w:t>
      </w:r>
    </w:p>
    <w:p w14:paraId="59E4B16D" w14:textId="77777777" w:rsidR="00D7560A" w:rsidRDefault="001E3CAB">
      <w:pPr>
        <w:widowControl/>
        <w:ind w:left="360" w:hanging="360"/>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B16E" w14:textId="77777777" w:rsidR="00D7560A" w:rsidRDefault="001E3CAB">
      <w:pPr>
        <w:widowControl/>
        <w:ind w:left="360" w:hanging="360"/>
        <w:jc w:val="left"/>
        <w:rPr>
          <w:rFonts w:ascii="宋体" w:eastAsia="宋体" w:hAnsi="宋体" w:cs="宋体"/>
          <w:kern w:val="0"/>
          <w:sz w:val="24"/>
        </w:rPr>
      </w:pPr>
      <w:r>
        <w:rPr>
          <w:rFonts w:ascii="Times New Roman" w:eastAsia="宋体" w:hAnsi="Times New Roman" w:cs="Times New Roman"/>
          <w:i/>
          <w:iCs/>
          <w:color w:val="000000"/>
          <w:kern w:val="0"/>
          <w:sz w:val="20"/>
          <w:szCs w:val="20"/>
          <w:lang w:bidi="ar"/>
        </w:rPr>
        <w:t>•</w:t>
      </w:r>
      <w:r>
        <w:rPr>
          <w:rFonts w:ascii="Times New Roman" w:eastAsia="宋体" w:hAnsi="Times New Roman" w:cs="Times New Roman"/>
          <w:i/>
          <w:iCs/>
          <w:color w:val="000000"/>
          <w:kern w:val="0"/>
          <w:sz w:val="20"/>
          <w:szCs w:val="20"/>
          <w:u w:val="single"/>
          <w:lang w:bidi="ar"/>
        </w:rPr>
        <w:t>Infrastructure Solutions Group (“ISG”)</w:t>
      </w:r>
      <w:r>
        <w:rPr>
          <w:rFonts w:ascii="Times New Roman" w:eastAsia="宋体" w:hAnsi="Times New Roman" w:cs="Times New Roman"/>
          <w:color w:val="000000"/>
          <w:kern w:val="0"/>
          <w:sz w:val="20"/>
          <w:szCs w:val="20"/>
          <w:lang w:bidi="ar"/>
        </w:rPr>
        <w:t xml:space="preserve"> — ISG enables our customers’ digital transformation through our trusted multi-cloud, machine learning, artificial intelligence, and data a</w:t>
      </w:r>
      <w:r>
        <w:rPr>
          <w:rFonts w:ascii="Times New Roman" w:eastAsia="宋体" w:hAnsi="Times New Roman" w:cs="Times New Roman"/>
          <w:color w:val="000000"/>
          <w:kern w:val="0"/>
          <w:sz w:val="20"/>
          <w:szCs w:val="20"/>
          <w:lang w:bidi="ar"/>
        </w:rPr>
        <w:t>nalytics solutions which are built upon modern data center infrastructure. ISG helps customers in the area of hybrid cloud deployment with the goal of simplifying, streamlining, and automating cloud operations. ISG solutions are built for multi-cloud envir</w:t>
      </w:r>
      <w:r>
        <w:rPr>
          <w:rFonts w:ascii="Times New Roman" w:eastAsia="宋体" w:hAnsi="Times New Roman" w:cs="Times New Roman"/>
          <w:color w:val="000000"/>
          <w:kern w:val="0"/>
          <w:sz w:val="20"/>
          <w:szCs w:val="20"/>
          <w:lang w:bidi="ar"/>
        </w:rPr>
        <w:t>onments and are optimized to run cloud native workloads in both public and private clouds, as well as traditional on-premise workloads.</w:t>
      </w:r>
    </w:p>
    <w:p w14:paraId="59E4B16F"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B170"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Our comprehensive portfolio of advanced storage solutions includes traditional storage solutions as well as </w:t>
      </w:r>
      <w:r>
        <w:rPr>
          <w:rFonts w:ascii="Times New Roman" w:eastAsia="宋体" w:hAnsi="Times New Roman" w:cs="Times New Roman"/>
          <w:color w:val="000000"/>
          <w:kern w:val="0"/>
          <w:sz w:val="20"/>
          <w:szCs w:val="20"/>
          <w:lang w:bidi="ar"/>
        </w:rPr>
        <w:t>next-generation storage solutions (such as all-flash arrays, scale-out file, object platforms, and software-defined solutions). Our PowerStore offering, a differentiated midrange storage solution that enables seamless updates using microservices and contai</w:t>
      </w:r>
      <w:r>
        <w:rPr>
          <w:rFonts w:ascii="Times New Roman" w:eastAsia="宋体" w:hAnsi="Times New Roman" w:cs="Times New Roman"/>
          <w:color w:val="000000"/>
          <w:kern w:val="0"/>
          <w:sz w:val="20"/>
          <w:szCs w:val="20"/>
          <w:lang w:bidi="ar"/>
        </w:rPr>
        <w:t>ner-based software architecture, allows us to compete more effectively within midrange storage. We continue to make enhancements to our storage solutions offerings and expect that these offerings will drive long-term improvements in the business.</w:t>
      </w:r>
    </w:p>
    <w:p w14:paraId="59E4B171"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B172"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Our ser</w:t>
      </w:r>
      <w:r>
        <w:rPr>
          <w:rFonts w:ascii="Times New Roman" w:eastAsia="宋体" w:hAnsi="Times New Roman" w:cs="Times New Roman"/>
          <w:color w:val="000000"/>
          <w:kern w:val="0"/>
          <w:sz w:val="20"/>
          <w:szCs w:val="20"/>
          <w:lang w:bidi="ar"/>
        </w:rPr>
        <w:t>ver portfolio includes high-performance rack, blade, tower, and hyperscale servers, optimized to run high value workloads, including artificial intelligence and machine learning. Our networking portfolio helps our business customers transform and modernize</w:t>
      </w:r>
      <w:r>
        <w:rPr>
          <w:rFonts w:ascii="Times New Roman" w:eastAsia="宋体" w:hAnsi="Times New Roman" w:cs="Times New Roman"/>
          <w:color w:val="000000"/>
          <w:kern w:val="0"/>
          <w:sz w:val="20"/>
          <w:szCs w:val="20"/>
          <w:lang w:bidi="ar"/>
        </w:rPr>
        <w:t xml:space="preserve"> their infrastructure, mobilize and enrich end-user experiences, and accelerate business applications and processes. </w:t>
      </w:r>
    </w:p>
    <w:p w14:paraId="59E4B173"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B174"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Our strengths in server, storage, and virtualization software solutions enable us to offer leading converged and hyper-converged solutio</w:t>
      </w:r>
      <w:r>
        <w:rPr>
          <w:rFonts w:ascii="Times New Roman" w:eastAsia="宋体" w:hAnsi="Times New Roman" w:cs="Times New Roman"/>
          <w:color w:val="000000"/>
          <w:kern w:val="0"/>
          <w:sz w:val="20"/>
          <w:szCs w:val="20"/>
          <w:lang w:bidi="ar"/>
        </w:rPr>
        <w:t>ns, allowing our customers to accelerate their IT transformation by acquiring scalable integrated IT solutions instead of building and assembling their own IT platforms. ISG also offers attached software, peripherals and services, including support and dep</w:t>
      </w:r>
      <w:r>
        <w:rPr>
          <w:rFonts w:ascii="Times New Roman" w:eastAsia="宋体" w:hAnsi="Times New Roman" w:cs="Times New Roman"/>
          <w:color w:val="000000"/>
          <w:kern w:val="0"/>
          <w:sz w:val="20"/>
          <w:szCs w:val="20"/>
          <w:lang w:bidi="ar"/>
        </w:rPr>
        <w:t>loyment, configuration, and extended warranty services.</w:t>
      </w:r>
    </w:p>
    <w:p w14:paraId="59E4B175"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B176"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Approximately half of ISG revenue is generated by sales to customers in the Americas, with the remaining portion derived from sales to customers in the Europe, Middle East, and Africa region (“EMEA”</w:t>
      </w:r>
      <w:r>
        <w:rPr>
          <w:rFonts w:ascii="Times New Roman" w:eastAsia="宋体" w:hAnsi="Times New Roman" w:cs="Times New Roman"/>
          <w:color w:val="000000"/>
          <w:kern w:val="0"/>
          <w:sz w:val="20"/>
          <w:szCs w:val="20"/>
          <w:lang w:bidi="ar"/>
        </w:rPr>
        <w:t>) and the Asia-Pacific and Japan region (“APJ”).</w:t>
      </w:r>
    </w:p>
    <w:p w14:paraId="59E4B177"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B178"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B179"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59</w:t>
      </w:r>
    </w:p>
    <w:p w14:paraId="59E4B17A"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B17B" w14:textId="77777777" w:rsidR="00D7560A" w:rsidRDefault="001E3CAB">
      <w:pPr>
        <w:widowControl/>
        <w:jc w:val="center"/>
      </w:pPr>
      <w:r>
        <w:rPr>
          <w:rFonts w:ascii="宋体" w:eastAsia="宋体" w:hAnsi="宋体" w:cs="宋体"/>
          <w:kern w:val="0"/>
          <w:sz w:val="24"/>
        </w:rPr>
        <w:pict w14:anchorId="59E4C806">
          <v:rect id="_x0000_i1083" style="width:6in;height:1.5pt" o:hralign="center" o:hrstd="t" o:hr="t" fillcolor="#a0a0a0" stroked="f"/>
        </w:pict>
      </w:r>
    </w:p>
    <w:p w14:paraId="59E4B17C" w14:textId="77777777" w:rsidR="00D7560A" w:rsidRDefault="001E3CAB">
      <w:pPr>
        <w:widowControl/>
        <w:jc w:val="left"/>
        <w:rPr>
          <w:rFonts w:ascii="宋体" w:eastAsia="宋体" w:hAnsi="宋体" w:cs="宋体"/>
          <w:kern w:val="0"/>
          <w:sz w:val="24"/>
        </w:rPr>
      </w:pPr>
      <w:hyperlink w:anchor="if933dd1d5d004d2495dd7029e3ecad00_13" w:history="1">
        <w:r>
          <w:rPr>
            <w:rStyle w:val="a4"/>
            <w:rFonts w:ascii="Times New Roman" w:eastAsia="宋体" w:hAnsi="Times New Roman" w:cs="Times New Roman"/>
            <w:sz w:val="20"/>
            <w:szCs w:val="20"/>
          </w:rPr>
          <w:t>Table of Contents</w:t>
        </w:r>
      </w:hyperlink>
    </w:p>
    <w:p w14:paraId="59E4B17D" w14:textId="77777777" w:rsidR="00D7560A" w:rsidRDefault="001E3CAB">
      <w:pPr>
        <w:widowControl/>
        <w:ind w:left="360" w:hanging="360"/>
        <w:jc w:val="left"/>
        <w:rPr>
          <w:rFonts w:ascii="宋体" w:eastAsia="宋体" w:hAnsi="宋体" w:cs="宋体"/>
          <w:kern w:val="0"/>
          <w:sz w:val="24"/>
        </w:rPr>
      </w:pPr>
      <w:r>
        <w:rPr>
          <w:rFonts w:ascii="Times New Roman" w:eastAsia="宋体" w:hAnsi="Times New Roman" w:cs="Times New Roman"/>
          <w:i/>
          <w:iCs/>
          <w:color w:val="000000"/>
          <w:kern w:val="0"/>
          <w:sz w:val="20"/>
          <w:szCs w:val="20"/>
          <w:lang w:bidi="ar"/>
        </w:rPr>
        <w:t>•</w:t>
      </w:r>
      <w:r>
        <w:rPr>
          <w:rFonts w:ascii="Times New Roman" w:eastAsia="宋体" w:hAnsi="Times New Roman" w:cs="Times New Roman"/>
          <w:i/>
          <w:iCs/>
          <w:color w:val="000000"/>
          <w:kern w:val="0"/>
          <w:sz w:val="20"/>
          <w:szCs w:val="20"/>
          <w:u w:val="single"/>
          <w:lang w:bidi="ar"/>
        </w:rPr>
        <w:t>Client Solutions Group (“CSG”)</w:t>
      </w:r>
      <w:r>
        <w:rPr>
          <w:rFonts w:ascii="Times New Roman" w:eastAsia="宋体" w:hAnsi="Times New Roman" w:cs="Times New Roman"/>
          <w:color w:val="000000"/>
          <w:kern w:val="0"/>
          <w:sz w:val="20"/>
          <w:szCs w:val="20"/>
          <w:lang w:bidi="ar"/>
        </w:rPr>
        <w:t xml:space="preserve"> — CSG includes branded hardware (such as desktops, workstations, and notebooks) and branded peripherals (such as displays, docking stations, and other electronics), as well as third-party software and peripherals. CSG also includes services offerings, inc</w:t>
      </w:r>
      <w:r>
        <w:rPr>
          <w:rFonts w:ascii="Times New Roman" w:eastAsia="宋体" w:hAnsi="Times New Roman" w:cs="Times New Roman"/>
          <w:color w:val="000000"/>
          <w:kern w:val="0"/>
          <w:sz w:val="20"/>
          <w:szCs w:val="20"/>
          <w:lang w:bidi="ar"/>
        </w:rPr>
        <w:t>luding support and deployment, configuration, and extended warranty services. Our computing devices are designed with our commercial and consumer customers’ needs in mind, and we seek to optimize performance, reliability, manageability, design, and securit</w:t>
      </w:r>
      <w:r>
        <w:rPr>
          <w:rFonts w:ascii="Times New Roman" w:eastAsia="宋体" w:hAnsi="Times New Roman" w:cs="Times New Roman"/>
          <w:color w:val="000000"/>
          <w:kern w:val="0"/>
          <w:sz w:val="20"/>
          <w:szCs w:val="20"/>
          <w:lang w:bidi="ar"/>
        </w:rPr>
        <w:t>y. For our customers that are seeking to simplify client lifecycle management, Dell PC as-a-Service offering combines hardware, software, lifecycle services, and financing into one all-encompassing solution that provides predictable pricing per seat per mo</w:t>
      </w:r>
      <w:r>
        <w:rPr>
          <w:rFonts w:ascii="Times New Roman" w:eastAsia="宋体" w:hAnsi="Times New Roman" w:cs="Times New Roman"/>
          <w:color w:val="000000"/>
          <w:kern w:val="0"/>
          <w:sz w:val="20"/>
          <w:szCs w:val="20"/>
          <w:lang w:bidi="ar"/>
        </w:rPr>
        <w:t xml:space="preserve">nth. </w:t>
      </w:r>
    </w:p>
    <w:p w14:paraId="59E4B17E"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B17F"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Approximately half of CSG revenue is generated by sales to customers in the Americas, with the remaining portion derived from sales to customers in EMEA and APJ.</w:t>
      </w:r>
    </w:p>
    <w:p w14:paraId="59E4B180"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B181"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Our other businesses, described below, consist of our resale of standalone VMware offerings, referred to as VMware Resale, as well as product and service offerings of SecureWorks Corp. (“Secureworks”) and Virtustream. These businesses are not classified as</w:t>
      </w:r>
      <w:r>
        <w:rPr>
          <w:rFonts w:ascii="Times New Roman" w:eastAsia="宋体" w:hAnsi="Times New Roman" w:cs="Times New Roman"/>
          <w:color w:val="000000"/>
          <w:kern w:val="0"/>
          <w:sz w:val="20"/>
          <w:szCs w:val="20"/>
          <w:lang w:bidi="ar"/>
        </w:rPr>
        <w:t xml:space="preserve"> reportable segments, either individually or collectively. </w:t>
      </w:r>
    </w:p>
    <w:p w14:paraId="59E4B182"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B183" w14:textId="77777777" w:rsidR="00D7560A" w:rsidRDefault="001E3CAB">
      <w:pPr>
        <w:widowControl/>
        <w:ind w:left="360" w:hanging="360"/>
        <w:jc w:val="left"/>
        <w:rPr>
          <w:rFonts w:ascii="宋体" w:eastAsia="宋体" w:hAnsi="宋体" w:cs="宋体"/>
          <w:kern w:val="0"/>
          <w:sz w:val="24"/>
        </w:rPr>
      </w:pPr>
      <w:r>
        <w:rPr>
          <w:rFonts w:ascii="Times New Roman" w:eastAsia="宋体" w:hAnsi="Times New Roman" w:cs="Times New Roman"/>
          <w:i/>
          <w:iCs/>
          <w:color w:val="000000"/>
          <w:kern w:val="0"/>
          <w:sz w:val="22"/>
          <w:szCs w:val="22"/>
          <w:lang w:bidi="ar"/>
        </w:rPr>
        <w:t>•</w:t>
      </w:r>
      <w:r>
        <w:rPr>
          <w:rFonts w:ascii="Times New Roman" w:eastAsia="宋体" w:hAnsi="Times New Roman" w:cs="Times New Roman"/>
          <w:i/>
          <w:iCs/>
          <w:color w:val="000000"/>
          <w:kern w:val="0"/>
          <w:sz w:val="20"/>
          <w:szCs w:val="20"/>
          <w:lang w:bidi="ar"/>
        </w:rPr>
        <w:t xml:space="preserve">VMware Resale </w:t>
      </w:r>
      <w:r>
        <w:rPr>
          <w:rFonts w:ascii="Times New Roman" w:eastAsia="宋体" w:hAnsi="Times New Roman" w:cs="Times New Roman"/>
          <w:color w:val="000000"/>
          <w:kern w:val="0"/>
          <w:sz w:val="20"/>
          <w:szCs w:val="20"/>
          <w:lang w:bidi="ar"/>
        </w:rPr>
        <w:t xml:space="preserve">consists of our sale of standalone VMware offerings. Under the Commercial Framework Agreement discussed below entered into as part of our spin-off of VMware, Dell </w:t>
      </w:r>
      <w:r>
        <w:rPr>
          <w:rFonts w:ascii="Times New Roman" w:eastAsia="宋体" w:hAnsi="Times New Roman" w:cs="Times New Roman"/>
          <w:color w:val="000000"/>
          <w:kern w:val="0"/>
          <w:sz w:val="20"/>
          <w:szCs w:val="20"/>
          <w:lang w:bidi="ar"/>
        </w:rPr>
        <w:t>Technologies continues to act as a key channel partner in this relationship, reselling VMware offerings to our customers. This partnership is intended to facilitate mutually beneficial growth for both Dell and VMware.</w:t>
      </w:r>
    </w:p>
    <w:p w14:paraId="59E4B184"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B185"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VMware works with customers in the a</w:t>
      </w:r>
      <w:r>
        <w:rPr>
          <w:rFonts w:ascii="Times New Roman" w:eastAsia="宋体" w:hAnsi="Times New Roman" w:cs="Times New Roman"/>
          <w:color w:val="000000"/>
          <w:kern w:val="0"/>
          <w:sz w:val="20"/>
          <w:szCs w:val="20"/>
          <w:lang w:bidi="ar"/>
        </w:rPr>
        <w:t xml:space="preserve">reas of hybrid and multi-cloud, modern applications, networking, security, and digital workspaces, helping customers manage their IT resources across private clouds and complex multi-cloud, multi-device environments. </w:t>
      </w:r>
    </w:p>
    <w:p w14:paraId="59E4B186"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B187" w14:textId="77777777" w:rsidR="00D7560A" w:rsidRDefault="001E3CAB">
      <w:pPr>
        <w:widowControl/>
        <w:ind w:left="360" w:hanging="360"/>
        <w:jc w:val="left"/>
        <w:rPr>
          <w:rFonts w:ascii="宋体" w:eastAsia="宋体" w:hAnsi="宋体" w:cs="宋体"/>
          <w:kern w:val="0"/>
          <w:sz w:val="24"/>
        </w:rPr>
      </w:pPr>
      <w:r>
        <w:rPr>
          <w:rFonts w:ascii="Times New Roman" w:eastAsia="宋体" w:hAnsi="Times New Roman" w:cs="Times New Roman"/>
          <w:i/>
          <w:iCs/>
          <w:color w:val="000000"/>
          <w:kern w:val="0"/>
          <w:sz w:val="20"/>
          <w:szCs w:val="20"/>
          <w:lang w:bidi="ar"/>
        </w:rPr>
        <w:t>•Secureworks</w:t>
      </w:r>
      <w:r>
        <w:rPr>
          <w:rFonts w:ascii="Times New Roman" w:eastAsia="宋体" w:hAnsi="Times New Roman" w:cs="Times New Roman"/>
          <w:color w:val="000000"/>
          <w:kern w:val="0"/>
          <w:sz w:val="20"/>
          <w:szCs w:val="20"/>
          <w:lang w:bidi="ar"/>
        </w:rPr>
        <w:t xml:space="preserve"> (NASDAQ: SCWX) is a lea</w:t>
      </w:r>
      <w:r>
        <w:rPr>
          <w:rFonts w:ascii="Times New Roman" w:eastAsia="宋体" w:hAnsi="Times New Roman" w:cs="Times New Roman"/>
          <w:color w:val="000000"/>
          <w:kern w:val="0"/>
          <w:sz w:val="20"/>
          <w:szCs w:val="20"/>
          <w:lang w:bidi="ar"/>
        </w:rPr>
        <w:t>ding global provider of intelligence-driven information security solutions singularly focused on protecting its clients from cyber attacks. The solutions offered by Secureworks enable organizations of varying size and complexity to fortify their cyber defe</w:t>
      </w:r>
      <w:r>
        <w:rPr>
          <w:rFonts w:ascii="Times New Roman" w:eastAsia="宋体" w:hAnsi="Times New Roman" w:cs="Times New Roman"/>
          <w:color w:val="000000"/>
          <w:kern w:val="0"/>
          <w:sz w:val="20"/>
          <w:szCs w:val="20"/>
          <w:lang w:bidi="ar"/>
        </w:rPr>
        <w:t>nses to prevent security breaches, detect malicious activity in near real time, prioritize and respond rapidly to security incidents and predict emerging threats.</w:t>
      </w:r>
    </w:p>
    <w:p w14:paraId="59E4B188"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B189" w14:textId="77777777" w:rsidR="00D7560A" w:rsidRDefault="001E3CAB">
      <w:pPr>
        <w:widowControl/>
        <w:ind w:left="360" w:hanging="36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w:t>
      </w:r>
      <w:r>
        <w:rPr>
          <w:rFonts w:ascii="Times New Roman" w:eastAsia="宋体" w:hAnsi="Times New Roman" w:cs="Times New Roman"/>
          <w:i/>
          <w:iCs/>
          <w:color w:val="000000"/>
          <w:kern w:val="0"/>
          <w:sz w:val="20"/>
          <w:szCs w:val="20"/>
          <w:lang w:bidi="ar"/>
        </w:rPr>
        <w:t>Virtustream</w:t>
      </w:r>
      <w:r>
        <w:rPr>
          <w:rFonts w:ascii="Times New Roman" w:eastAsia="宋体" w:hAnsi="Times New Roman" w:cs="Times New Roman"/>
          <w:color w:val="000000"/>
          <w:kern w:val="0"/>
          <w:sz w:val="20"/>
          <w:szCs w:val="20"/>
          <w:lang w:bidi="ar"/>
        </w:rPr>
        <w:t xml:space="preserve"> offers cloud software and Infrastructure-as-a-Service solutions that enable cu</w:t>
      </w:r>
      <w:r>
        <w:rPr>
          <w:rFonts w:ascii="Times New Roman" w:eastAsia="宋体" w:hAnsi="Times New Roman" w:cs="Times New Roman"/>
          <w:color w:val="000000"/>
          <w:kern w:val="0"/>
          <w:sz w:val="20"/>
          <w:szCs w:val="20"/>
          <w:lang w:bidi="ar"/>
        </w:rPr>
        <w:t xml:space="preserve">stomers to migrate, run, and manage mission-critical applications in cloud-based IT environments. </w:t>
      </w:r>
    </w:p>
    <w:p w14:paraId="59E4B18A"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B18B"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We believe the collaboration, innovation, and coordination of the operations and strategies across the segments of our business, as well as our differentia</w:t>
      </w:r>
      <w:r>
        <w:rPr>
          <w:rFonts w:ascii="Times New Roman" w:eastAsia="宋体" w:hAnsi="Times New Roman" w:cs="Times New Roman"/>
          <w:color w:val="000000"/>
          <w:kern w:val="0"/>
          <w:sz w:val="20"/>
          <w:szCs w:val="20"/>
          <w:lang w:bidi="ar"/>
        </w:rPr>
        <w:t>ted go-to-market model, will continue to drive revenue synergies. Through our research and development activities, we are able to engineer leading innovative solutions that incorporate the distinct set of hardware, software, and services across all segment</w:t>
      </w:r>
      <w:r>
        <w:rPr>
          <w:rFonts w:ascii="Times New Roman" w:eastAsia="宋体" w:hAnsi="Times New Roman" w:cs="Times New Roman"/>
          <w:color w:val="000000"/>
          <w:kern w:val="0"/>
          <w:sz w:val="20"/>
          <w:szCs w:val="20"/>
          <w:lang w:bidi="ar"/>
        </w:rPr>
        <w:t>s of our business.</w:t>
      </w:r>
    </w:p>
    <w:p w14:paraId="59E4B18C"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B18D"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Our products and services offerings are continually evolving in response to industry dynamics. As a result, reclassifications of certain products and services solutions in major product categories may be required. For further discussion regarding our curre</w:t>
      </w:r>
      <w:r>
        <w:rPr>
          <w:rFonts w:ascii="Times New Roman" w:eastAsia="宋体" w:hAnsi="Times New Roman" w:cs="Times New Roman"/>
          <w:color w:val="000000"/>
          <w:kern w:val="0"/>
          <w:sz w:val="20"/>
          <w:szCs w:val="20"/>
          <w:lang w:bidi="ar"/>
        </w:rPr>
        <w:t xml:space="preserve">nt reportable segments, see “Results of Operations — Business Unit Results” and Note 17 of the Notes to the Condensed Consolidated Financial Statements included in this report. </w:t>
      </w:r>
    </w:p>
    <w:p w14:paraId="59E4B18E"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B18F" w14:textId="77777777" w:rsidR="00D7560A" w:rsidRDefault="001E3CAB">
      <w:pPr>
        <w:widowControl/>
        <w:ind w:left="360" w:hanging="360"/>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Dell Financial Services</w:t>
      </w:r>
    </w:p>
    <w:p w14:paraId="59E4B190" w14:textId="77777777" w:rsidR="00D7560A" w:rsidRDefault="001E3CAB">
      <w:pPr>
        <w:widowControl/>
        <w:ind w:left="360" w:hanging="360"/>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B191"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DFS supports our businesses by offering and arrang</w:t>
      </w:r>
      <w:r>
        <w:rPr>
          <w:rFonts w:ascii="Times New Roman" w:eastAsia="宋体" w:hAnsi="Times New Roman" w:cs="Times New Roman"/>
          <w:color w:val="000000"/>
          <w:kern w:val="0"/>
          <w:sz w:val="20"/>
          <w:szCs w:val="20"/>
          <w:lang w:bidi="ar"/>
        </w:rPr>
        <w:t>ing various financing options and services for our customers globally. DFS originates, collects, and services customer receivables primarily related to the purchase or use of our product, software, and services solutions. We also arrange financing for some</w:t>
      </w:r>
      <w:r>
        <w:rPr>
          <w:rFonts w:ascii="Times New Roman" w:eastAsia="宋体" w:hAnsi="Times New Roman" w:cs="Times New Roman"/>
          <w:color w:val="000000"/>
          <w:kern w:val="0"/>
          <w:sz w:val="20"/>
          <w:szCs w:val="20"/>
          <w:lang w:bidi="ar"/>
        </w:rPr>
        <w:t xml:space="preserve"> of our customers in various countries where DFS does not currently operate as a captive entity. DFS further strengthens our customer relationships through its flexible consumption models which provide our customers with financial flexibility to meet their</w:t>
      </w:r>
      <w:r>
        <w:rPr>
          <w:rFonts w:ascii="Times New Roman" w:eastAsia="宋体" w:hAnsi="Times New Roman" w:cs="Times New Roman"/>
          <w:color w:val="000000"/>
          <w:kern w:val="0"/>
          <w:sz w:val="20"/>
          <w:szCs w:val="20"/>
          <w:lang w:bidi="ar"/>
        </w:rPr>
        <w:t xml:space="preserve"> changing technological requirements. Our flexible consumption models enable us to offer our customers the option to pay over time and, in certain cases, based on utilization. The results of these operations are allocated to our segments based on the under</w:t>
      </w:r>
      <w:r>
        <w:rPr>
          <w:rFonts w:ascii="Times New Roman" w:eastAsia="宋体" w:hAnsi="Times New Roman" w:cs="Times New Roman"/>
          <w:color w:val="000000"/>
          <w:kern w:val="0"/>
          <w:sz w:val="20"/>
          <w:szCs w:val="20"/>
          <w:lang w:bidi="ar"/>
        </w:rPr>
        <w:t>lying product or service financed and may be impacted by, among other items, changes in the interest rate environment and the translation of those changes in to pricing. For additional information about our financing arrangements, see Note 5 of the Notes t</w:t>
      </w:r>
      <w:r>
        <w:rPr>
          <w:rFonts w:ascii="Times New Roman" w:eastAsia="宋体" w:hAnsi="Times New Roman" w:cs="Times New Roman"/>
          <w:color w:val="000000"/>
          <w:kern w:val="0"/>
          <w:sz w:val="20"/>
          <w:szCs w:val="20"/>
          <w:lang w:bidi="ar"/>
        </w:rPr>
        <w:t>o the Condensed Consolidated Financial Statements included in this report.</w:t>
      </w:r>
    </w:p>
    <w:p w14:paraId="59E4B192"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B193"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B194"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60</w:t>
      </w:r>
    </w:p>
    <w:p w14:paraId="59E4B195"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B196" w14:textId="77777777" w:rsidR="00D7560A" w:rsidRDefault="001E3CAB">
      <w:pPr>
        <w:widowControl/>
        <w:jc w:val="center"/>
      </w:pPr>
      <w:r>
        <w:rPr>
          <w:rFonts w:ascii="宋体" w:eastAsia="宋体" w:hAnsi="宋体" w:cs="宋体"/>
          <w:kern w:val="0"/>
          <w:sz w:val="24"/>
        </w:rPr>
        <w:pict w14:anchorId="59E4C807">
          <v:rect id="_x0000_i1084" style="width:6in;height:1.5pt" o:hralign="center" o:hrstd="t" o:hr="t" fillcolor="#a0a0a0" stroked="f"/>
        </w:pict>
      </w:r>
    </w:p>
    <w:p w14:paraId="59E4B197" w14:textId="77777777" w:rsidR="00D7560A" w:rsidRDefault="001E3CAB">
      <w:pPr>
        <w:widowControl/>
        <w:jc w:val="left"/>
        <w:rPr>
          <w:rFonts w:ascii="宋体" w:eastAsia="宋体" w:hAnsi="宋体" w:cs="宋体"/>
          <w:kern w:val="0"/>
          <w:sz w:val="24"/>
        </w:rPr>
      </w:pPr>
      <w:hyperlink w:anchor="if933dd1d5d004d2495dd7029e3ecad00_13" w:history="1">
        <w:r>
          <w:rPr>
            <w:rStyle w:val="a4"/>
            <w:rFonts w:ascii="Times New Roman" w:eastAsia="宋体" w:hAnsi="Times New Roman" w:cs="Times New Roman"/>
            <w:sz w:val="20"/>
            <w:szCs w:val="20"/>
          </w:rPr>
          <w:t>Table of Contents</w:t>
        </w:r>
      </w:hyperlink>
    </w:p>
    <w:p w14:paraId="59E4B198"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Recent Transactions</w:t>
      </w:r>
    </w:p>
    <w:p w14:paraId="59E4B199"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B19A"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i/>
          <w:iCs/>
          <w:color w:val="000000"/>
          <w:kern w:val="0"/>
          <w:sz w:val="20"/>
          <w:szCs w:val="20"/>
          <w:lang w:bidi="ar"/>
        </w:rPr>
        <w:t>Spin-Off of VMware, Inc.</w:t>
      </w:r>
      <w:r>
        <w:rPr>
          <w:rFonts w:ascii="Times New Roman" w:eastAsia="宋体" w:hAnsi="Times New Roman" w:cs="Times New Roman"/>
          <w:color w:val="000000"/>
          <w:kern w:val="0"/>
          <w:sz w:val="20"/>
          <w:szCs w:val="20"/>
          <w:lang w:bidi="ar"/>
        </w:rPr>
        <w:t xml:space="preserve"> — On November 1, 2021, we completed our spin-off of VMware by means of a special stock dividend (the “VMware Spin-off”). The VMware Spin-off was effectuated pursuant to a Separation and Distribution Agreement, dated as of April 14, 2021, between Dell Tech</w:t>
      </w:r>
      <w:r>
        <w:rPr>
          <w:rFonts w:ascii="Times New Roman" w:eastAsia="宋体" w:hAnsi="Times New Roman" w:cs="Times New Roman"/>
          <w:color w:val="000000"/>
          <w:kern w:val="0"/>
          <w:sz w:val="20"/>
          <w:szCs w:val="20"/>
          <w:lang w:bidi="ar"/>
        </w:rPr>
        <w:t>nologies and VMware. As part of the transaction, VMware paid a special cash dividend, pro rata, to each holder of VMware common stock in an aggregate amount equal to $11.5 billion, of which Dell Technologies received $9.3 billion.</w:t>
      </w:r>
    </w:p>
    <w:p w14:paraId="59E4B19B"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B19C"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In connection with and </w:t>
      </w:r>
      <w:r>
        <w:rPr>
          <w:rFonts w:ascii="Times New Roman" w:eastAsia="宋体" w:hAnsi="Times New Roman" w:cs="Times New Roman"/>
          <w:color w:val="000000"/>
          <w:kern w:val="0"/>
          <w:sz w:val="20"/>
          <w:szCs w:val="20"/>
          <w:lang w:bidi="ar"/>
        </w:rPr>
        <w:t>upon completion of the VMware Spin-off, we entered into a Commercial Framework Agreement (the “CFA”) with VMware, which provides the framework under which we and VMware will continue our commercial relationship after the transaction. Pursuant to the CFA, w</w:t>
      </w:r>
      <w:r>
        <w:rPr>
          <w:rFonts w:ascii="Times New Roman" w:eastAsia="宋体" w:hAnsi="Times New Roman" w:cs="Times New Roman"/>
          <w:color w:val="000000"/>
          <w:kern w:val="0"/>
          <w:sz w:val="20"/>
          <w:szCs w:val="20"/>
          <w:lang w:bidi="ar"/>
        </w:rPr>
        <w:t>e continue to act as a distributor of VMware’s standalone products and services and purchase such products and services for resale to customers. We also continue to integrate VMware’s products and services with Dell Technologies’ offerings and sell them to</w:t>
      </w:r>
      <w:r>
        <w:rPr>
          <w:rFonts w:ascii="Times New Roman" w:eastAsia="宋体" w:hAnsi="Times New Roman" w:cs="Times New Roman"/>
          <w:color w:val="000000"/>
          <w:kern w:val="0"/>
          <w:sz w:val="20"/>
          <w:szCs w:val="20"/>
          <w:lang w:bidi="ar"/>
        </w:rPr>
        <w:t xml:space="preserve"> customers. The results of such operations are presented as continuing operations within our Condensed Consolidated Statements of Income for all periods presented.</w:t>
      </w:r>
    </w:p>
    <w:p w14:paraId="59E4B19D"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B19E"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The results of VMware, excluding Dell's resale of VMware offerings, are presented as disco</w:t>
      </w:r>
      <w:r>
        <w:rPr>
          <w:rFonts w:ascii="Times New Roman" w:eastAsia="宋体" w:hAnsi="Times New Roman" w:cs="Times New Roman"/>
          <w:color w:val="000000"/>
          <w:kern w:val="0"/>
          <w:sz w:val="20"/>
          <w:szCs w:val="20"/>
          <w:lang w:bidi="ar"/>
        </w:rPr>
        <w:t>ntinued operations in the Condensed Consolidated Statements of Income and, as such, have been excluded from both continuing operations and segment results for the three and six months ended July 30, 2021. The Condensed Consolidated Statements of Cash Flows</w:t>
      </w:r>
      <w:r>
        <w:rPr>
          <w:rFonts w:ascii="Times New Roman" w:eastAsia="宋体" w:hAnsi="Times New Roman" w:cs="Times New Roman"/>
          <w:color w:val="000000"/>
          <w:kern w:val="0"/>
          <w:sz w:val="20"/>
          <w:szCs w:val="20"/>
          <w:lang w:bidi="ar"/>
        </w:rPr>
        <w:t xml:space="preserve"> are presented on a consolidated basis for both continuing operations and discontinued operations. See Note 2 of the Notes to the Condensed Consolidated Financial Statements included in this report for additional information about the VMware Spin-off.</w:t>
      </w:r>
    </w:p>
    <w:p w14:paraId="59E4B19F"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B1A0"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i/>
          <w:iCs/>
          <w:color w:val="000000"/>
          <w:kern w:val="0"/>
          <w:sz w:val="20"/>
          <w:szCs w:val="20"/>
          <w:lang w:bidi="ar"/>
        </w:rPr>
        <w:t>Bo</w:t>
      </w:r>
      <w:r>
        <w:rPr>
          <w:rFonts w:ascii="Times New Roman" w:eastAsia="宋体" w:hAnsi="Times New Roman" w:cs="Times New Roman"/>
          <w:i/>
          <w:iCs/>
          <w:color w:val="000000"/>
          <w:kern w:val="0"/>
          <w:sz w:val="20"/>
          <w:szCs w:val="20"/>
          <w:lang w:bidi="ar"/>
        </w:rPr>
        <w:t xml:space="preserve">omi Divestiture </w:t>
      </w:r>
      <w:r>
        <w:rPr>
          <w:rFonts w:ascii="Times New Roman" w:eastAsia="宋体" w:hAnsi="Times New Roman" w:cs="Times New Roman"/>
          <w:color w:val="000000"/>
          <w:kern w:val="0"/>
          <w:sz w:val="20"/>
          <w:szCs w:val="20"/>
          <w:lang w:bidi="ar"/>
        </w:rPr>
        <w:t>—</w:t>
      </w:r>
      <w:r>
        <w:rPr>
          <w:rFonts w:ascii="Times New Roman" w:eastAsia="宋体" w:hAnsi="Times New Roman" w:cs="Times New Roman"/>
          <w:i/>
          <w:iCs/>
          <w:color w:val="000000"/>
          <w:kern w:val="0"/>
          <w:sz w:val="20"/>
          <w:szCs w:val="20"/>
          <w:lang w:bidi="ar"/>
        </w:rPr>
        <w:t xml:space="preserve"> </w:t>
      </w:r>
      <w:r>
        <w:rPr>
          <w:rFonts w:ascii="Times New Roman" w:eastAsia="宋体" w:hAnsi="Times New Roman" w:cs="Times New Roman"/>
          <w:color w:val="000000"/>
          <w:kern w:val="0"/>
          <w:sz w:val="20"/>
          <w:szCs w:val="20"/>
          <w:lang w:bidi="ar"/>
        </w:rPr>
        <w:t>On October 1, 2021, we completed the sale of Boomi, Inc. (“Boomi”) and certain related assets for a total cash consideration of approximately $4.0 billion, resulting in a pre-tax gain on sale of $4.0 billion. The Company ultimately record</w:t>
      </w:r>
      <w:r>
        <w:rPr>
          <w:rFonts w:ascii="Times New Roman" w:eastAsia="宋体" w:hAnsi="Times New Roman" w:cs="Times New Roman"/>
          <w:color w:val="000000"/>
          <w:kern w:val="0"/>
          <w:sz w:val="20"/>
          <w:szCs w:val="20"/>
          <w:lang w:bidi="ar"/>
        </w:rPr>
        <w:t>ed a $3.0 billion gain, net of $1.0 billion in tax expense. Prior to the divestiture, the operating results of Boomi were included within other businesses and did not qualify for presentation as discontinued operations. See Note 1 of the Notes to the Conde</w:t>
      </w:r>
      <w:r>
        <w:rPr>
          <w:rFonts w:ascii="Times New Roman" w:eastAsia="宋体" w:hAnsi="Times New Roman" w:cs="Times New Roman"/>
          <w:color w:val="000000"/>
          <w:kern w:val="0"/>
          <w:sz w:val="20"/>
          <w:szCs w:val="20"/>
          <w:lang w:bidi="ar"/>
        </w:rPr>
        <w:t xml:space="preserve">nsed Consolidated Financial Statements included in this report for more information about this transaction. </w:t>
      </w:r>
    </w:p>
    <w:p w14:paraId="59E4B1A1"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B1A2"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 xml:space="preserve">Relationship with VMware </w:t>
      </w:r>
    </w:p>
    <w:p w14:paraId="59E4B1A3"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B1A4"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The Company is considered to be a related party of VMware as a result of Michael Dell’s ownership interest in both De</w:t>
      </w:r>
      <w:r>
        <w:rPr>
          <w:rFonts w:ascii="Times New Roman" w:eastAsia="宋体" w:hAnsi="Times New Roman" w:cs="Times New Roman"/>
          <w:color w:val="000000"/>
          <w:kern w:val="0"/>
          <w:sz w:val="20"/>
          <w:szCs w:val="20"/>
          <w:lang w:bidi="ar"/>
        </w:rPr>
        <w:t>ll Technologies and VMware and Mr. Dell’s continued service as Chairman and Chief Executive Officer of Dell Technologies and as Chairman of the Board of VMware, Inc. Following the completion of the VMware Spin-off, the majority of transactions that occur b</w:t>
      </w:r>
      <w:r>
        <w:rPr>
          <w:rFonts w:ascii="Times New Roman" w:eastAsia="宋体" w:hAnsi="Times New Roman" w:cs="Times New Roman"/>
          <w:color w:val="000000"/>
          <w:kern w:val="0"/>
          <w:sz w:val="20"/>
          <w:szCs w:val="20"/>
          <w:lang w:bidi="ar"/>
        </w:rPr>
        <w:t>etween Dell Technologies and VMware consist of Dell Technologies’ purchase of VMware products and services for resale, either on a standalone basis or as a part of integrated offerings. For more information regarding related party transactions with VMware,</w:t>
      </w:r>
      <w:r>
        <w:rPr>
          <w:rFonts w:ascii="Times New Roman" w:eastAsia="宋体" w:hAnsi="Times New Roman" w:cs="Times New Roman"/>
          <w:color w:val="000000"/>
          <w:kern w:val="0"/>
          <w:sz w:val="20"/>
          <w:szCs w:val="20"/>
          <w:lang w:bidi="ar"/>
        </w:rPr>
        <w:t xml:space="preserve"> see Note 16 of the Notes to the Condensed Consolidated Financial Statements included in this report.</w:t>
      </w:r>
    </w:p>
    <w:p w14:paraId="59E4B1A5"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B1A6"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Strategic Investments and Acquisitions</w:t>
      </w:r>
    </w:p>
    <w:p w14:paraId="59E4B1A7"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B1A8"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As part of our strategy, we will continue to evaluate opportunities for strategic investments through our ventu</w:t>
      </w:r>
      <w:r>
        <w:rPr>
          <w:rFonts w:ascii="Times New Roman" w:eastAsia="宋体" w:hAnsi="Times New Roman" w:cs="Times New Roman"/>
          <w:color w:val="000000"/>
          <w:kern w:val="0"/>
          <w:sz w:val="20"/>
          <w:szCs w:val="20"/>
          <w:lang w:bidi="ar"/>
        </w:rPr>
        <w:t>re capital investment arm, Dell Technologies Capital, with a focus on emerging technology areas that are relevant to all segments of our business and that will complement our existing portfolio of solutions. Our investment areas include storage, software-d</w:t>
      </w:r>
      <w:r>
        <w:rPr>
          <w:rFonts w:ascii="Times New Roman" w:eastAsia="宋体" w:hAnsi="Times New Roman" w:cs="Times New Roman"/>
          <w:color w:val="000000"/>
          <w:kern w:val="0"/>
          <w:sz w:val="20"/>
          <w:szCs w:val="20"/>
          <w:lang w:bidi="ar"/>
        </w:rPr>
        <w:t>efined networking, management and orchestration, security, machine learning and artificial intelligence, Big Data and analytics, cloud, edge computing, and software development operations. The technologies or products these companies have under development</w:t>
      </w:r>
      <w:r>
        <w:rPr>
          <w:rFonts w:ascii="Times New Roman" w:eastAsia="宋体" w:hAnsi="Times New Roman" w:cs="Times New Roman"/>
          <w:color w:val="000000"/>
          <w:kern w:val="0"/>
          <w:sz w:val="20"/>
          <w:szCs w:val="20"/>
          <w:lang w:bidi="ar"/>
        </w:rPr>
        <w:t xml:space="preserve"> are typically in the early stages and may never have commercial value, which could result in a loss of a substantial part of our initial investment in the companies. </w:t>
      </w:r>
    </w:p>
    <w:p w14:paraId="59E4B1A9"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B1AA"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During the second quarter of Fiscal 2023, we recognized a net loss of $255 million on </w:t>
      </w:r>
      <w:r>
        <w:rPr>
          <w:rFonts w:ascii="Times New Roman" w:eastAsia="宋体" w:hAnsi="Times New Roman" w:cs="Times New Roman"/>
          <w:color w:val="000000"/>
          <w:kern w:val="0"/>
          <w:sz w:val="20"/>
          <w:szCs w:val="20"/>
          <w:lang w:bidi="ar"/>
        </w:rPr>
        <w:t>our strategic investments generally in line with overall public equity market declines. As of July 29, 2022 and January 28, 2022, we held strategic investments in non-marketable securities of $1.3 billion and $1.4 billion, respectively. See Note 4 of the N</w:t>
      </w:r>
      <w:r>
        <w:rPr>
          <w:rFonts w:ascii="Times New Roman" w:eastAsia="宋体" w:hAnsi="Times New Roman" w:cs="Times New Roman"/>
          <w:color w:val="000000"/>
          <w:kern w:val="0"/>
          <w:sz w:val="20"/>
          <w:szCs w:val="20"/>
          <w:lang w:bidi="ar"/>
        </w:rPr>
        <w:t>otes to the Condensed Consolidated Financial Statements included in this report for additional information.</w:t>
      </w:r>
    </w:p>
    <w:p w14:paraId="59E4B1AB"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B1AC"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In addition to these investments, we also may make disciplined acquisitions targeting businesses that advance our strategic objectives and acceler</w:t>
      </w:r>
      <w:r>
        <w:rPr>
          <w:rFonts w:ascii="Times New Roman" w:eastAsia="宋体" w:hAnsi="Times New Roman" w:cs="Times New Roman"/>
          <w:color w:val="000000"/>
          <w:kern w:val="0"/>
          <w:sz w:val="20"/>
          <w:szCs w:val="20"/>
          <w:lang w:bidi="ar"/>
        </w:rPr>
        <w:t>ate our innovation agenda.</w:t>
      </w:r>
    </w:p>
    <w:p w14:paraId="59E4B1AD"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B1AE"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B1AF"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61</w:t>
      </w:r>
    </w:p>
    <w:p w14:paraId="59E4B1B0"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B1B1" w14:textId="77777777" w:rsidR="00D7560A" w:rsidRDefault="001E3CAB">
      <w:pPr>
        <w:widowControl/>
        <w:jc w:val="center"/>
      </w:pPr>
      <w:r>
        <w:rPr>
          <w:rFonts w:ascii="宋体" w:eastAsia="宋体" w:hAnsi="宋体" w:cs="宋体"/>
          <w:kern w:val="0"/>
          <w:sz w:val="24"/>
        </w:rPr>
        <w:pict w14:anchorId="59E4C808">
          <v:rect id="_x0000_i1085" style="width:6in;height:1.5pt" o:hralign="center" o:hrstd="t" o:hr="t" fillcolor="#a0a0a0" stroked="f"/>
        </w:pict>
      </w:r>
    </w:p>
    <w:p w14:paraId="59E4B1B2" w14:textId="77777777" w:rsidR="00D7560A" w:rsidRDefault="001E3CAB">
      <w:pPr>
        <w:widowControl/>
        <w:jc w:val="left"/>
        <w:rPr>
          <w:rFonts w:ascii="宋体" w:eastAsia="宋体" w:hAnsi="宋体" w:cs="宋体"/>
          <w:kern w:val="0"/>
          <w:sz w:val="24"/>
        </w:rPr>
      </w:pPr>
      <w:hyperlink w:anchor="if933dd1d5d004d2495dd7029e3ecad00_13" w:history="1">
        <w:r>
          <w:rPr>
            <w:rStyle w:val="a4"/>
            <w:rFonts w:ascii="Times New Roman" w:eastAsia="宋体" w:hAnsi="Times New Roman" w:cs="Times New Roman"/>
            <w:sz w:val="20"/>
            <w:szCs w:val="20"/>
          </w:rPr>
          <w:t>Table of Contents</w:t>
        </w:r>
      </w:hyperlink>
    </w:p>
    <w:p w14:paraId="59E4B1B3"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Business Trends and Challenges</w:t>
      </w:r>
    </w:p>
    <w:p w14:paraId="59E4B1B4"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B1B5"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Macroeconomic conditions continue to evolve globally and, during the second quarter of Fiscal 2023, while net revenue grew, we experienced a notable change in the demand for both our ISG and CSG offerings. Demand for our CSG offerings decreased in line wit</w:t>
      </w:r>
      <w:r>
        <w:rPr>
          <w:rFonts w:ascii="Times New Roman" w:eastAsia="宋体" w:hAnsi="Times New Roman" w:cs="Times New Roman"/>
          <w:color w:val="000000"/>
          <w:kern w:val="0"/>
          <w:sz w:val="20"/>
          <w:szCs w:val="20"/>
          <w:lang w:bidi="ar"/>
        </w:rPr>
        <w:t>h industry-wide declines while demand for our ISG offerings moderated as a result of customer uncertainty in response to the macroeconomic environment. Although we expect ISG net revenue growth to continue through the remainder of Fiscal 2023, we anticipat</w:t>
      </w:r>
      <w:r>
        <w:rPr>
          <w:rFonts w:ascii="Times New Roman" w:eastAsia="宋体" w:hAnsi="Times New Roman" w:cs="Times New Roman"/>
          <w:color w:val="000000"/>
          <w:kern w:val="0"/>
          <w:sz w:val="20"/>
          <w:szCs w:val="20"/>
          <w:lang w:bidi="ar"/>
        </w:rPr>
        <w:t>e that the rate of growth will moderate. Within CSG, we expect that demand for our offerings will continue to decline, which we anticipate will result in a decrease in CSG net revenue through the remainder of Fiscal 2023. We will continue to actively monit</w:t>
      </w:r>
      <w:r>
        <w:rPr>
          <w:rFonts w:ascii="Times New Roman" w:eastAsia="宋体" w:hAnsi="Times New Roman" w:cs="Times New Roman"/>
          <w:color w:val="000000"/>
          <w:kern w:val="0"/>
          <w:sz w:val="20"/>
          <w:szCs w:val="20"/>
          <w:lang w:bidi="ar"/>
        </w:rPr>
        <w:t xml:space="preserve">or global events and make prudent decisions to navigate this environment. We believe our durable competitive advantages continue to position us for long-term success. </w:t>
      </w:r>
    </w:p>
    <w:p w14:paraId="59E4B1B6"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B1B7"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i/>
          <w:iCs/>
          <w:color w:val="000000"/>
          <w:kern w:val="0"/>
          <w:sz w:val="20"/>
          <w:szCs w:val="20"/>
          <w:u w:val="single"/>
          <w:lang w:bidi="ar"/>
        </w:rPr>
        <w:t>Supply Chain</w:t>
      </w:r>
      <w:r>
        <w:rPr>
          <w:rFonts w:ascii="Times New Roman" w:eastAsia="宋体" w:hAnsi="Times New Roman" w:cs="Times New Roman"/>
          <w:i/>
          <w:iCs/>
          <w:color w:val="000000"/>
          <w:kern w:val="0"/>
          <w:sz w:val="20"/>
          <w:szCs w:val="20"/>
          <w:lang w:bidi="ar"/>
        </w:rPr>
        <w:t xml:space="preserve"> </w:t>
      </w:r>
      <w:r>
        <w:rPr>
          <w:rFonts w:ascii="Times New Roman" w:eastAsia="宋体" w:hAnsi="Times New Roman" w:cs="Times New Roman"/>
          <w:color w:val="000000"/>
          <w:kern w:val="0"/>
          <w:sz w:val="20"/>
          <w:szCs w:val="20"/>
          <w:lang w:bidi="ar"/>
        </w:rPr>
        <w:t>— Dell Technologies maintains limited-source supplier relationships for certain components because the relationships are advantageous in the areas of performance, quality, support, delivery, capacity, and price considerations. During the second quarter and</w:t>
      </w:r>
      <w:r>
        <w:rPr>
          <w:rFonts w:ascii="Times New Roman" w:eastAsia="宋体" w:hAnsi="Times New Roman" w:cs="Times New Roman"/>
          <w:color w:val="000000"/>
          <w:kern w:val="0"/>
          <w:sz w:val="20"/>
          <w:szCs w:val="20"/>
          <w:lang w:bidi="ar"/>
        </w:rPr>
        <w:t xml:space="preserve"> first six months of Fiscal 2023, we continued to be impacted by industry-wide constraints in the supply of limited-source components in certain product offerings, principally within ISG, as a result of the global impacts of COVID-19. Demand for certain pr</w:t>
      </w:r>
      <w:r>
        <w:rPr>
          <w:rFonts w:ascii="Times New Roman" w:eastAsia="宋体" w:hAnsi="Times New Roman" w:cs="Times New Roman"/>
          <w:color w:val="000000"/>
          <w:kern w:val="0"/>
          <w:sz w:val="20"/>
          <w:szCs w:val="20"/>
          <w:lang w:bidi="ar"/>
        </w:rPr>
        <w:t>oduct components within ISG continues to outpace supply, resulting in an increase in orders pending fulfillment and extended lead times for our customers. While we expect to continue to manage these supply constraints for the remainder of Fiscal 2023, we a</w:t>
      </w:r>
      <w:r>
        <w:rPr>
          <w:rFonts w:ascii="Times New Roman" w:eastAsia="宋体" w:hAnsi="Times New Roman" w:cs="Times New Roman"/>
          <w:color w:val="000000"/>
          <w:kern w:val="0"/>
          <w:sz w:val="20"/>
          <w:szCs w:val="20"/>
          <w:lang w:bidi="ar"/>
        </w:rPr>
        <w:t xml:space="preserve">nticipate that they may moderate dependent on the overall demand environment. </w:t>
      </w:r>
    </w:p>
    <w:p w14:paraId="59E4B1B8"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B1B9"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Supply chain dynamics also continue to impact logistics and component costs, which we refer to as input costs. Logistics costs remained elevated for the second quarter and fir</w:t>
      </w:r>
      <w:r>
        <w:rPr>
          <w:rFonts w:ascii="Times New Roman" w:eastAsia="宋体" w:hAnsi="Times New Roman" w:cs="Times New Roman"/>
          <w:color w:val="000000"/>
          <w:kern w:val="0"/>
          <w:sz w:val="20"/>
          <w:szCs w:val="20"/>
          <w:lang w:bidi="ar"/>
        </w:rPr>
        <w:t xml:space="preserve">st six months of Fiscal 2023 as a result of both expedited shipments of components and overall rate costs in the freight network, as capacity remains constrained. While we expect overall logistics costs to remain elevated for the remainder of Fiscal 2023, </w:t>
      </w:r>
      <w:r>
        <w:rPr>
          <w:rFonts w:ascii="Times New Roman" w:eastAsia="宋体" w:hAnsi="Times New Roman" w:cs="Times New Roman"/>
          <w:color w:val="000000"/>
          <w:kern w:val="0"/>
          <w:sz w:val="20"/>
          <w:szCs w:val="20"/>
          <w:lang w:bidi="ar"/>
        </w:rPr>
        <w:t>we anticipate these costs will begin to decline in the third quarter of Fiscal 2023. Component costs were deflationary during the second quarter and first six months of Fiscal 2023, and we expect such costs will remain moderately deflationary into the thir</w:t>
      </w:r>
      <w:r>
        <w:rPr>
          <w:rFonts w:ascii="Times New Roman" w:eastAsia="宋体" w:hAnsi="Times New Roman" w:cs="Times New Roman"/>
          <w:color w:val="000000"/>
          <w:kern w:val="0"/>
          <w:sz w:val="20"/>
          <w:szCs w:val="20"/>
          <w:lang w:bidi="ar"/>
        </w:rPr>
        <w:t>d quarter of Fiscal 2023. Component cost trends are dependent on the strength or weakness of actual end-user demand and supply dynamics, which will continue to evolve and ultimately impact the translation of the cost environment to pricing and operating re</w:t>
      </w:r>
      <w:r>
        <w:rPr>
          <w:rFonts w:ascii="Times New Roman" w:eastAsia="宋体" w:hAnsi="Times New Roman" w:cs="Times New Roman"/>
          <w:color w:val="000000"/>
          <w:kern w:val="0"/>
          <w:sz w:val="20"/>
          <w:szCs w:val="20"/>
          <w:lang w:bidi="ar"/>
        </w:rPr>
        <w:t xml:space="preserve">sults. </w:t>
      </w:r>
    </w:p>
    <w:p w14:paraId="59E4B1BA"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B1BB"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In response to these pressures, we continue to take steps to actively address our customers’ demands while balancing profitability and growth. </w:t>
      </w:r>
    </w:p>
    <w:p w14:paraId="59E4B1BC"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B1BD"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i/>
          <w:iCs/>
          <w:color w:val="000000"/>
          <w:kern w:val="0"/>
          <w:sz w:val="20"/>
          <w:szCs w:val="20"/>
          <w:u w:val="single"/>
          <w:lang w:bidi="ar"/>
        </w:rPr>
        <w:t>Foreign Currency Exposure</w:t>
      </w:r>
      <w:r>
        <w:rPr>
          <w:rFonts w:ascii="Times New Roman" w:eastAsia="宋体" w:hAnsi="Times New Roman" w:cs="Times New Roman"/>
          <w:color w:val="000000"/>
          <w:kern w:val="0"/>
          <w:sz w:val="20"/>
          <w:szCs w:val="20"/>
          <w:lang w:bidi="ar"/>
        </w:rPr>
        <w:t xml:space="preserve"> — We manage our business on a U.S. dollar basis. However, we have a large </w:t>
      </w:r>
      <w:r>
        <w:rPr>
          <w:rFonts w:ascii="Times New Roman" w:eastAsia="宋体" w:hAnsi="Times New Roman" w:cs="Times New Roman"/>
          <w:color w:val="000000"/>
          <w:kern w:val="0"/>
          <w:sz w:val="20"/>
          <w:szCs w:val="20"/>
          <w:lang w:bidi="ar"/>
        </w:rPr>
        <w:t>global presence, generating approximately half of our net revenue from sales to customers outside of the United States during the second quarter and first six months of Fiscal 2023 and Fiscal 2022. As a result, our operating results can be, and particularl</w:t>
      </w:r>
      <w:r>
        <w:rPr>
          <w:rFonts w:ascii="Times New Roman" w:eastAsia="宋体" w:hAnsi="Times New Roman" w:cs="Times New Roman"/>
          <w:color w:val="000000"/>
          <w:kern w:val="0"/>
          <w:sz w:val="20"/>
          <w:szCs w:val="20"/>
          <w:lang w:bidi="ar"/>
        </w:rPr>
        <w:t>y in recent periods have been, impacted by fluctuations in foreign currency exchange rates. We utilize a comprehensive hedging strategy intended to mitigate the impact of foreign currency volatility over time, and we adjust pricing when possible to further</w:t>
      </w:r>
      <w:r>
        <w:rPr>
          <w:rFonts w:ascii="Times New Roman" w:eastAsia="宋体" w:hAnsi="Times New Roman" w:cs="Times New Roman"/>
          <w:color w:val="000000"/>
          <w:kern w:val="0"/>
          <w:sz w:val="20"/>
          <w:szCs w:val="20"/>
          <w:lang w:bidi="ar"/>
        </w:rPr>
        <w:t xml:space="preserve"> minimize foreign currency impacts. </w:t>
      </w:r>
    </w:p>
    <w:p w14:paraId="59E4B1BE"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B1BF"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i/>
          <w:iCs/>
          <w:color w:val="000000"/>
          <w:kern w:val="0"/>
          <w:sz w:val="20"/>
          <w:szCs w:val="20"/>
          <w:u w:val="single"/>
          <w:lang w:bidi="ar"/>
        </w:rPr>
        <w:t>Ukraine War</w:t>
      </w:r>
      <w:r>
        <w:rPr>
          <w:rFonts w:ascii="Times New Roman" w:eastAsia="宋体" w:hAnsi="Times New Roman" w:cs="Times New Roman"/>
          <w:color w:val="000000"/>
          <w:kern w:val="0"/>
          <w:sz w:val="20"/>
          <w:szCs w:val="20"/>
          <w:lang w:bidi="ar"/>
        </w:rPr>
        <w:t xml:space="preserve"> — We are monitoring and responding to effects of the ongoing war in Ukraine. When Russia invaded Ukraine, we made the decision to not sell, service, or support products in Russia, Belarus, and restricted r</w:t>
      </w:r>
      <w:r>
        <w:rPr>
          <w:rFonts w:ascii="Times New Roman" w:eastAsia="宋体" w:hAnsi="Times New Roman" w:cs="Times New Roman"/>
          <w:color w:val="000000"/>
          <w:kern w:val="0"/>
          <w:sz w:val="20"/>
          <w:szCs w:val="20"/>
          <w:lang w:bidi="ar"/>
        </w:rPr>
        <w:t>egions of Ukraine. Operations in Russia and Ukraine accounted for less than 1% of net revenue in Fiscal 2022. During the second quarter of Fiscal 2023, we recognized $189 million in costs associated with exiting our business in Russia, primarily related to</w:t>
      </w:r>
      <w:r>
        <w:rPr>
          <w:rFonts w:ascii="Times New Roman" w:eastAsia="宋体" w:hAnsi="Times New Roman" w:cs="Times New Roman"/>
          <w:color w:val="000000"/>
          <w:kern w:val="0"/>
          <w:sz w:val="20"/>
          <w:szCs w:val="20"/>
          <w:lang w:bidi="ar"/>
        </w:rPr>
        <w:t xml:space="preserve"> asset impairments and other exit related costs. We have resumed product sales to non-sanctioned areas in Ukraine. We are focused on providing products and support to Ukrainian customers, as they rebuild infrastructure and restore businesses and the financ</w:t>
      </w:r>
      <w:r>
        <w:rPr>
          <w:rFonts w:ascii="Times New Roman" w:eastAsia="宋体" w:hAnsi="Times New Roman" w:cs="Times New Roman"/>
          <w:color w:val="000000"/>
          <w:kern w:val="0"/>
          <w:sz w:val="20"/>
          <w:szCs w:val="20"/>
          <w:lang w:bidi="ar"/>
        </w:rPr>
        <w:t>ial sector.</w:t>
      </w:r>
    </w:p>
    <w:p w14:paraId="59E4B1C0"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B1C1"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The war and the related economic sanctions are impacting markets worldwide. Our business may be adversely affected by potential effects, including supply chain disruptions, product shipping delays, macroeconomic impacts resulting from the exc</w:t>
      </w:r>
      <w:r>
        <w:rPr>
          <w:rFonts w:ascii="Times New Roman" w:eastAsia="宋体" w:hAnsi="Times New Roman" w:cs="Times New Roman"/>
          <w:color w:val="000000"/>
          <w:kern w:val="0"/>
          <w:sz w:val="20"/>
          <w:szCs w:val="20"/>
          <w:lang w:bidi="ar"/>
        </w:rPr>
        <w:t>lusion of Russian financial institutions from the global banking system, volatility in foreign exchange rates and interest rates, inflationary pressures, and heightened cybersecurity and data theft threats. The full impact of the war on our business operat</w:t>
      </w:r>
      <w:r>
        <w:rPr>
          <w:rFonts w:ascii="Times New Roman" w:eastAsia="宋体" w:hAnsi="Times New Roman" w:cs="Times New Roman"/>
          <w:color w:val="000000"/>
          <w:kern w:val="0"/>
          <w:sz w:val="20"/>
          <w:szCs w:val="20"/>
          <w:lang w:bidi="ar"/>
        </w:rPr>
        <w:t>ions and financial performance will depend on future developments. We will continue to monitor and assess the related restrictions and other effects and pursue prudent decisions for our team members, customers, and business.</w:t>
      </w:r>
    </w:p>
    <w:p w14:paraId="59E4B1C2"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B1C3"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B1C4"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62</w:t>
      </w:r>
    </w:p>
    <w:p w14:paraId="59E4B1C5"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B1C6" w14:textId="77777777" w:rsidR="00D7560A" w:rsidRDefault="001E3CAB">
      <w:pPr>
        <w:widowControl/>
        <w:jc w:val="center"/>
      </w:pPr>
      <w:r>
        <w:rPr>
          <w:rFonts w:ascii="宋体" w:eastAsia="宋体" w:hAnsi="宋体" w:cs="宋体"/>
          <w:kern w:val="0"/>
          <w:sz w:val="24"/>
        </w:rPr>
        <w:pict w14:anchorId="59E4C809">
          <v:rect id="_x0000_i1086" style="width:6in;height:1.5pt" o:hralign="center" o:hrstd="t" o:hr="t" fillcolor="#a0a0a0" stroked="f"/>
        </w:pict>
      </w:r>
    </w:p>
    <w:p w14:paraId="59E4B1C7" w14:textId="77777777" w:rsidR="00D7560A" w:rsidRDefault="001E3CAB">
      <w:pPr>
        <w:widowControl/>
        <w:jc w:val="left"/>
        <w:rPr>
          <w:rFonts w:ascii="宋体" w:eastAsia="宋体" w:hAnsi="宋体" w:cs="宋体"/>
          <w:kern w:val="0"/>
          <w:sz w:val="24"/>
        </w:rPr>
      </w:pPr>
      <w:hyperlink w:anchor="if933dd1d5d004d2495dd7029e3ecad00_13" w:history="1">
        <w:r>
          <w:rPr>
            <w:rStyle w:val="a4"/>
            <w:rFonts w:ascii="Times New Roman" w:eastAsia="宋体" w:hAnsi="Times New Roman" w:cs="Times New Roman"/>
            <w:sz w:val="20"/>
            <w:szCs w:val="20"/>
          </w:rPr>
          <w:t>Table of Contents</w:t>
        </w:r>
      </w:hyperlink>
    </w:p>
    <w:p w14:paraId="59E4B1C8"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i/>
          <w:iCs/>
          <w:color w:val="000000"/>
          <w:kern w:val="0"/>
          <w:sz w:val="20"/>
          <w:szCs w:val="20"/>
          <w:u w:val="single"/>
          <w:lang w:bidi="ar"/>
        </w:rPr>
        <w:t>COVID-19 Pandemic and Response</w:t>
      </w:r>
      <w:r>
        <w:rPr>
          <w:rFonts w:ascii="Times New Roman" w:eastAsia="宋体" w:hAnsi="Times New Roman" w:cs="Times New Roman"/>
          <w:b/>
          <w:bCs/>
          <w:color w:val="000000"/>
          <w:kern w:val="0"/>
          <w:sz w:val="20"/>
          <w:szCs w:val="20"/>
          <w:lang w:bidi="ar"/>
        </w:rPr>
        <w:t xml:space="preserve"> </w:t>
      </w:r>
      <w:r>
        <w:rPr>
          <w:rFonts w:ascii="Times New Roman" w:eastAsia="宋体" w:hAnsi="Times New Roman" w:cs="Times New Roman"/>
          <w:color w:val="000000"/>
          <w:kern w:val="0"/>
          <w:sz w:val="20"/>
          <w:szCs w:val="20"/>
          <w:lang w:bidi="ar"/>
        </w:rPr>
        <w:t xml:space="preserve">— We continue to monitor the COVID-19 pandemic and variants of the coronavirus, as well as the impact the pandemic has on our employees, customers, business </w:t>
      </w:r>
      <w:r>
        <w:rPr>
          <w:rFonts w:ascii="Times New Roman" w:eastAsia="宋体" w:hAnsi="Times New Roman" w:cs="Times New Roman"/>
          <w:color w:val="000000"/>
          <w:kern w:val="0"/>
          <w:sz w:val="20"/>
          <w:szCs w:val="20"/>
          <w:lang w:bidi="ar"/>
        </w:rPr>
        <w:t>partners, and communities. As discussed above, we continue to manage through the impacts of the COVID-19 pandemic on our supply chain. The ongoing impact of the COVID-19 pandemic on our business operations and financial performance remains uncertain and wi</w:t>
      </w:r>
      <w:r>
        <w:rPr>
          <w:rFonts w:ascii="Times New Roman" w:eastAsia="宋体" w:hAnsi="Times New Roman" w:cs="Times New Roman"/>
          <w:color w:val="000000"/>
          <w:kern w:val="0"/>
          <w:sz w:val="20"/>
          <w:szCs w:val="20"/>
          <w:lang w:bidi="ar"/>
        </w:rPr>
        <w:t>ll depend on future developments. We will continue to actively monitor global events and pursue prudent decisions to navigate in this uncertain and ever-changing environment. For additional information about impacts of COVID-19 on our operations, see “Resu</w:t>
      </w:r>
      <w:r>
        <w:rPr>
          <w:rFonts w:ascii="Times New Roman" w:eastAsia="宋体" w:hAnsi="Times New Roman" w:cs="Times New Roman"/>
          <w:color w:val="000000"/>
          <w:kern w:val="0"/>
          <w:sz w:val="20"/>
          <w:szCs w:val="20"/>
          <w:lang w:bidi="ar"/>
        </w:rPr>
        <w:t>lts of Operations—Consolidated Results” and “—Business Unit Results.”</w:t>
      </w:r>
    </w:p>
    <w:p w14:paraId="59E4B1C9"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B1CA"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i/>
          <w:iCs/>
          <w:color w:val="000000"/>
          <w:kern w:val="0"/>
          <w:sz w:val="20"/>
          <w:szCs w:val="20"/>
          <w:u w:val="single"/>
          <w:lang w:bidi="ar"/>
        </w:rPr>
        <w:t>Inflation Reduction Act</w:t>
      </w:r>
      <w:r>
        <w:rPr>
          <w:rFonts w:ascii="Times New Roman" w:eastAsia="宋体" w:hAnsi="Times New Roman" w:cs="Times New Roman"/>
          <w:i/>
          <w:iCs/>
          <w:color w:val="000000"/>
          <w:kern w:val="0"/>
          <w:sz w:val="20"/>
          <w:szCs w:val="20"/>
          <w:lang w:bidi="ar"/>
        </w:rPr>
        <w:t xml:space="preserve"> </w:t>
      </w:r>
      <w:r>
        <w:rPr>
          <w:rFonts w:ascii="Times New Roman" w:eastAsia="宋体" w:hAnsi="Times New Roman" w:cs="Times New Roman"/>
          <w:color w:val="000000"/>
          <w:kern w:val="0"/>
          <w:sz w:val="20"/>
          <w:szCs w:val="20"/>
          <w:lang w:bidi="ar"/>
        </w:rPr>
        <w:t>— Subsequent to the close of the second quarter of Fiscal 2023, the Inflation Reduction Act of 2022 was enacted into law. The statute includes a 15% corporate a</w:t>
      </w:r>
      <w:r>
        <w:rPr>
          <w:rFonts w:ascii="Times New Roman" w:eastAsia="宋体" w:hAnsi="Times New Roman" w:cs="Times New Roman"/>
          <w:color w:val="000000"/>
          <w:kern w:val="0"/>
          <w:sz w:val="20"/>
          <w:szCs w:val="20"/>
          <w:lang w:bidi="ar"/>
        </w:rPr>
        <w:t>lternative minimum tax on adjusted financial statement income which is effective for the fiscal year ended February 2, 2024. The new law also imposes a 1% excise tax on share repurchases, effective for repurchases made after December 31, 2022. We are curre</w:t>
      </w:r>
      <w:r>
        <w:rPr>
          <w:rFonts w:ascii="Times New Roman" w:eastAsia="宋体" w:hAnsi="Times New Roman" w:cs="Times New Roman"/>
          <w:color w:val="000000"/>
          <w:kern w:val="0"/>
          <w:sz w:val="20"/>
          <w:szCs w:val="20"/>
          <w:lang w:bidi="ar"/>
        </w:rPr>
        <w:t>ntly assessing the potential impact of this law.</w:t>
      </w:r>
    </w:p>
    <w:p w14:paraId="59E4B1CB"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B1CC"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i/>
          <w:iCs/>
          <w:color w:val="000000"/>
          <w:kern w:val="0"/>
          <w:sz w:val="20"/>
          <w:szCs w:val="20"/>
          <w:u w:val="single"/>
          <w:lang w:bidi="ar"/>
        </w:rPr>
        <w:t>Other Macroeconomic Risks and Uncertainties</w:t>
      </w:r>
      <w:r>
        <w:rPr>
          <w:rFonts w:ascii="Times New Roman" w:eastAsia="宋体" w:hAnsi="Times New Roman" w:cs="Times New Roman"/>
          <w:i/>
          <w:iCs/>
          <w:color w:val="000000"/>
          <w:kern w:val="0"/>
          <w:sz w:val="20"/>
          <w:szCs w:val="20"/>
          <w:lang w:bidi="ar"/>
        </w:rPr>
        <w:t xml:space="preserve"> </w:t>
      </w:r>
      <w:r>
        <w:rPr>
          <w:rFonts w:ascii="Times New Roman" w:eastAsia="宋体" w:hAnsi="Times New Roman" w:cs="Times New Roman"/>
          <w:color w:val="000000"/>
          <w:kern w:val="0"/>
          <w:sz w:val="20"/>
          <w:szCs w:val="20"/>
          <w:lang w:bidi="ar"/>
        </w:rPr>
        <w:t>— The impacts of trade protection measures, including increases in tariffs and trade barriers, changes in government policies and international trade arrangement</w:t>
      </w:r>
      <w:r>
        <w:rPr>
          <w:rFonts w:ascii="Times New Roman" w:eastAsia="宋体" w:hAnsi="Times New Roman" w:cs="Times New Roman"/>
          <w:color w:val="000000"/>
          <w:kern w:val="0"/>
          <w:sz w:val="20"/>
          <w:szCs w:val="20"/>
          <w:lang w:bidi="ar"/>
        </w:rPr>
        <w:t xml:space="preserve">s, and geopolitical issues may affect our ability to conduct business in some non-U.S. markets. We monitor and seek to mitigate these risks with adjustments to our manufacturing, supply chain, and distribution networks. </w:t>
      </w:r>
    </w:p>
    <w:p w14:paraId="59E4B1CD"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B1CE"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i/>
          <w:iCs/>
          <w:color w:val="000000"/>
          <w:kern w:val="0"/>
          <w:sz w:val="20"/>
          <w:szCs w:val="20"/>
          <w:u w:val="single"/>
          <w:lang w:bidi="ar"/>
        </w:rPr>
        <w:t>ISG</w:t>
      </w:r>
      <w:r>
        <w:rPr>
          <w:rFonts w:ascii="Times New Roman" w:eastAsia="宋体" w:hAnsi="Times New Roman" w:cs="Times New Roman"/>
          <w:color w:val="000000"/>
          <w:kern w:val="0"/>
          <w:sz w:val="20"/>
          <w:szCs w:val="20"/>
          <w:lang w:bidi="ar"/>
        </w:rPr>
        <w:t xml:space="preserve"> </w:t>
      </w:r>
      <w:r>
        <w:rPr>
          <w:rFonts w:ascii="Times New Roman" w:eastAsia="宋体" w:hAnsi="Times New Roman" w:cs="Times New Roman"/>
          <w:i/>
          <w:iCs/>
          <w:color w:val="000000"/>
          <w:kern w:val="0"/>
          <w:sz w:val="20"/>
          <w:szCs w:val="20"/>
          <w:lang w:bidi="ar"/>
        </w:rPr>
        <w:t>—</w:t>
      </w:r>
      <w:r>
        <w:rPr>
          <w:rFonts w:ascii="Times New Roman" w:eastAsia="宋体" w:hAnsi="Times New Roman" w:cs="Times New Roman"/>
          <w:color w:val="000000"/>
          <w:kern w:val="0"/>
          <w:sz w:val="20"/>
          <w:szCs w:val="20"/>
          <w:lang w:bidi="ar"/>
        </w:rPr>
        <w:t xml:space="preserve"> We expect that ISG will continue to be impacted by the changing nature of the IT infrastructure market and competitive environment. With our scale and strong solutions portfolio, we believe we are well-positioned to respond to ongoing competitive dynamics</w:t>
      </w:r>
      <w:r>
        <w:rPr>
          <w:rFonts w:ascii="Times New Roman" w:eastAsia="宋体" w:hAnsi="Times New Roman" w:cs="Times New Roman"/>
          <w:color w:val="000000"/>
          <w:kern w:val="0"/>
          <w:sz w:val="20"/>
          <w:szCs w:val="20"/>
          <w:lang w:bidi="ar"/>
        </w:rPr>
        <w:t>. Within servers and networking, we will continue to be selective in determining whether to pursue certain large hyperscale and other server transactions. We continue to focus on customer base expansion and lifetime value of customer relationships.</w:t>
      </w:r>
    </w:p>
    <w:p w14:paraId="59E4B1CF"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B1D0"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Growt</w:t>
      </w:r>
      <w:r>
        <w:rPr>
          <w:rFonts w:ascii="Times New Roman" w:eastAsia="宋体" w:hAnsi="Times New Roman" w:cs="Times New Roman"/>
          <w:color w:val="000000"/>
          <w:kern w:val="0"/>
          <w:sz w:val="20"/>
          <w:szCs w:val="20"/>
          <w:lang w:bidi="ar"/>
        </w:rPr>
        <w:t>h throughout industries is generating continued demand for our storage solutions and services. Cloud native applications are expected to continue as a primary growth driver in the infrastructure market. We benefit from offering solutions that address the e</w:t>
      </w:r>
      <w:r>
        <w:rPr>
          <w:rFonts w:ascii="Times New Roman" w:eastAsia="宋体" w:hAnsi="Times New Roman" w:cs="Times New Roman"/>
          <w:color w:val="000000"/>
          <w:kern w:val="0"/>
          <w:sz w:val="20"/>
          <w:szCs w:val="20"/>
          <w:lang w:bidi="ar"/>
        </w:rPr>
        <w:t>merging trends of enterprises deploying software-defined storage, hyper-converged infrastructure, and modular solutions based on server-centric architectures. These trends are changing the way customers are consuming our traditional storage offerings. We c</w:t>
      </w:r>
      <w:r>
        <w:rPr>
          <w:rFonts w:ascii="Times New Roman" w:eastAsia="宋体" w:hAnsi="Times New Roman" w:cs="Times New Roman"/>
          <w:color w:val="000000"/>
          <w:kern w:val="0"/>
          <w:sz w:val="20"/>
          <w:szCs w:val="20"/>
          <w:lang w:bidi="ar"/>
        </w:rPr>
        <w:t>ontinue to expand our offerings in external storage arrays, which incorporate flexible, cloud-based functionality.</w:t>
      </w:r>
    </w:p>
    <w:p w14:paraId="59E4B1D1"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B1D2"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Through our research and development efforts, we are developing new solutions in this rapidly changing industry that we believe will enable us to continue to provide superior solutions to our customers. Our customer base includes a growing number of servic</w:t>
      </w:r>
      <w:r>
        <w:rPr>
          <w:rFonts w:ascii="Times New Roman" w:eastAsia="宋体" w:hAnsi="Times New Roman" w:cs="Times New Roman"/>
          <w:color w:val="000000"/>
          <w:kern w:val="0"/>
          <w:sz w:val="20"/>
          <w:szCs w:val="20"/>
          <w:lang w:bidi="ar"/>
        </w:rPr>
        <w:t>e providers, such as cloud service providers, Software-as-a-Service companies, consumer webtech providers, and telecommunications companies. These service providers turn to Dell Technologies for our advanced solutions that enable efficient service delivery</w:t>
      </w:r>
      <w:r>
        <w:rPr>
          <w:rFonts w:ascii="Times New Roman" w:eastAsia="宋体" w:hAnsi="Times New Roman" w:cs="Times New Roman"/>
          <w:color w:val="000000"/>
          <w:kern w:val="0"/>
          <w:sz w:val="20"/>
          <w:szCs w:val="20"/>
          <w:lang w:bidi="ar"/>
        </w:rPr>
        <w:t xml:space="preserve"> at cloud scale. Through our collaborative, customer-focused approach to innovation, we strive to deliver new and relevant solutions and software to the market quickly and efficiently. </w:t>
      </w:r>
    </w:p>
    <w:p w14:paraId="59E4B1D3"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B1D4"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i/>
          <w:iCs/>
          <w:color w:val="000000"/>
          <w:kern w:val="0"/>
          <w:sz w:val="20"/>
          <w:szCs w:val="20"/>
          <w:u w:val="single"/>
          <w:lang w:bidi="ar"/>
        </w:rPr>
        <w:t>CSG</w:t>
      </w:r>
      <w:r>
        <w:rPr>
          <w:rFonts w:ascii="Times New Roman" w:eastAsia="宋体" w:hAnsi="Times New Roman" w:cs="Times New Roman"/>
          <w:i/>
          <w:iCs/>
          <w:color w:val="000000"/>
          <w:kern w:val="0"/>
          <w:sz w:val="20"/>
          <w:szCs w:val="20"/>
          <w:lang w:bidi="ar"/>
        </w:rPr>
        <w:t xml:space="preserve"> — </w:t>
      </w:r>
      <w:r>
        <w:rPr>
          <w:rFonts w:ascii="Times New Roman" w:eastAsia="宋体" w:hAnsi="Times New Roman" w:cs="Times New Roman"/>
          <w:color w:val="000000"/>
          <w:kern w:val="0"/>
          <w:sz w:val="20"/>
          <w:szCs w:val="20"/>
          <w:lang w:bidi="ar"/>
        </w:rPr>
        <w:t>Our CSG offerings are an important element of our strategy, ge</w:t>
      </w:r>
      <w:r>
        <w:rPr>
          <w:rFonts w:ascii="Times New Roman" w:eastAsia="宋体" w:hAnsi="Times New Roman" w:cs="Times New Roman"/>
          <w:color w:val="000000"/>
          <w:kern w:val="0"/>
          <w:sz w:val="20"/>
          <w:szCs w:val="20"/>
          <w:lang w:bidi="ar"/>
        </w:rPr>
        <w:t>nerating strong cash flow and opportunities for cross-selling of complementary solutions. Competitive dynamics continue to be a factor in our CSG business and impact pricing and operating results. We remain committed to our long-term strategy for CSG and w</w:t>
      </w:r>
      <w:r>
        <w:rPr>
          <w:rFonts w:ascii="Times New Roman" w:eastAsia="宋体" w:hAnsi="Times New Roman" w:cs="Times New Roman"/>
          <w:color w:val="000000"/>
          <w:kern w:val="0"/>
          <w:sz w:val="20"/>
          <w:szCs w:val="20"/>
          <w:lang w:bidi="ar"/>
        </w:rPr>
        <w:t xml:space="preserve">ill continue to make investments to innovate across the portfolio while benefiting from consolidation trends that are occurring in the markets in which we compete. We expect that the CSG demand environment will continue to be subject to seasonal trends. </w:t>
      </w:r>
    </w:p>
    <w:p w14:paraId="59E4B1D5"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B1D6"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i/>
          <w:iCs/>
          <w:color w:val="000000"/>
          <w:kern w:val="0"/>
          <w:sz w:val="20"/>
          <w:szCs w:val="20"/>
          <w:u w:val="single"/>
          <w:lang w:bidi="ar"/>
        </w:rPr>
        <w:t>Recurring Revenue and Consumption Models</w:t>
      </w:r>
      <w:r>
        <w:rPr>
          <w:rFonts w:ascii="Times New Roman" w:eastAsia="宋体" w:hAnsi="Times New Roman" w:cs="Times New Roman"/>
          <w:i/>
          <w:iCs/>
          <w:color w:val="000000"/>
          <w:kern w:val="0"/>
          <w:sz w:val="20"/>
          <w:szCs w:val="20"/>
          <w:lang w:bidi="ar"/>
        </w:rPr>
        <w:t xml:space="preserve"> </w:t>
      </w:r>
      <w:r>
        <w:rPr>
          <w:rFonts w:ascii="Times New Roman" w:eastAsia="宋体" w:hAnsi="Times New Roman" w:cs="Times New Roman"/>
          <w:color w:val="000000"/>
          <w:kern w:val="0"/>
          <w:sz w:val="20"/>
          <w:szCs w:val="20"/>
          <w:lang w:bidi="ar"/>
        </w:rPr>
        <w:t>— Our customers are seeking new and innovative models that address how they consume our solutions. We offer options including as-a-Service, utility, leases, loans, and immediate pay models designed to match custome</w:t>
      </w:r>
      <w:r>
        <w:rPr>
          <w:rFonts w:ascii="Times New Roman" w:eastAsia="宋体" w:hAnsi="Times New Roman" w:cs="Times New Roman"/>
          <w:color w:val="000000"/>
          <w:kern w:val="0"/>
          <w:sz w:val="20"/>
          <w:szCs w:val="20"/>
          <w:lang w:bidi="ar"/>
        </w:rPr>
        <w:t>rs’ consumption and financing preferences. We believe these options are particularly beneficial during times of economic uncertainty as they provide our customers with financial flexibility to further enable them to procure our solutions.</w:t>
      </w:r>
    </w:p>
    <w:p w14:paraId="59E4B1D7"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B1D8"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We continue to </w:t>
      </w:r>
      <w:r>
        <w:rPr>
          <w:rFonts w:ascii="Times New Roman" w:eastAsia="宋体" w:hAnsi="Times New Roman" w:cs="Times New Roman"/>
          <w:color w:val="000000"/>
          <w:kern w:val="0"/>
          <w:sz w:val="20"/>
          <w:szCs w:val="20"/>
          <w:lang w:bidi="ar"/>
        </w:rPr>
        <w:t>evolve and build momentum across our family of as-a-Service offerings as we pursue our strategy of modernizing our core business solutions, with APEX at the forefront. We expect that our flexible consumption models and as-a-Service offerings will further s</w:t>
      </w:r>
      <w:r>
        <w:rPr>
          <w:rFonts w:ascii="Times New Roman" w:eastAsia="宋体" w:hAnsi="Times New Roman" w:cs="Times New Roman"/>
          <w:color w:val="000000"/>
          <w:kern w:val="0"/>
          <w:sz w:val="20"/>
          <w:szCs w:val="20"/>
          <w:lang w:bidi="ar"/>
        </w:rPr>
        <w:t xml:space="preserve">trengthen our customer relationships and provide a foundation for growth in recurring revenue. </w:t>
      </w:r>
    </w:p>
    <w:p w14:paraId="59E4B1D9"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B1DA"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These offerings typically result in multiyear agreements which generate recurring revenue streams over the term of the arrangement. We define recurring revenu</w:t>
      </w:r>
      <w:r>
        <w:rPr>
          <w:rFonts w:ascii="Times New Roman" w:eastAsia="宋体" w:hAnsi="Times New Roman" w:cs="Times New Roman"/>
          <w:color w:val="000000"/>
          <w:kern w:val="0"/>
          <w:sz w:val="20"/>
          <w:szCs w:val="20"/>
          <w:lang w:bidi="ar"/>
        </w:rPr>
        <w:t xml:space="preserve">e as revenue recognized primarily related to hardware and software maintenance as well as subscription, as-a-Service, and usage-based offerings, and operating leases. </w:t>
      </w:r>
    </w:p>
    <w:p w14:paraId="59E4B1DB"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B1DC"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B1DD"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B1DE"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63</w:t>
      </w:r>
    </w:p>
    <w:p w14:paraId="59E4B1DF"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B1E0" w14:textId="77777777" w:rsidR="00D7560A" w:rsidRDefault="001E3CAB">
      <w:pPr>
        <w:widowControl/>
        <w:jc w:val="center"/>
      </w:pPr>
      <w:r>
        <w:rPr>
          <w:rFonts w:ascii="宋体" w:eastAsia="宋体" w:hAnsi="宋体" w:cs="宋体"/>
          <w:kern w:val="0"/>
          <w:sz w:val="24"/>
        </w:rPr>
        <w:pict w14:anchorId="59E4C80A">
          <v:rect id="_x0000_i1087" style="width:6in;height:1.5pt" o:hralign="center" o:hrstd="t" o:hr="t" fillcolor="#a0a0a0" stroked="f"/>
        </w:pict>
      </w:r>
    </w:p>
    <w:p w14:paraId="59E4B1E1" w14:textId="77777777" w:rsidR="00D7560A" w:rsidRDefault="001E3CAB">
      <w:pPr>
        <w:widowControl/>
        <w:jc w:val="left"/>
        <w:rPr>
          <w:rFonts w:ascii="宋体" w:eastAsia="宋体" w:hAnsi="宋体" w:cs="宋体"/>
          <w:kern w:val="0"/>
          <w:sz w:val="24"/>
        </w:rPr>
      </w:pPr>
      <w:hyperlink w:anchor="if933dd1d5d004d2495dd7029e3ecad00_13" w:history="1">
        <w:r>
          <w:rPr>
            <w:rStyle w:val="a4"/>
            <w:rFonts w:ascii="Times New Roman" w:eastAsia="宋体" w:hAnsi="Times New Roman" w:cs="Times New Roman"/>
            <w:sz w:val="20"/>
            <w:szCs w:val="20"/>
          </w:rPr>
          <w:t xml:space="preserve">Table of </w:t>
        </w:r>
        <w:r>
          <w:rPr>
            <w:rStyle w:val="a4"/>
            <w:rFonts w:ascii="Times New Roman" w:eastAsia="宋体" w:hAnsi="Times New Roman" w:cs="Times New Roman"/>
            <w:sz w:val="20"/>
            <w:szCs w:val="20"/>
          </w:rPr>
          <w:t>Contents</w:t>
        </w:r>
      </w:hyperlink>
    </w:p>
    <w:p w14:paraId="59E4B1E2"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b/>
          <w:bCs/>
          <w:color w:val="000000"/>
          <w:kern w:val="0"/>
          <w:sz w:val="20"/>
          <w:szCs w:val="20"/>
          <w:shd w:val="clear" w:color="auto" w:fill="FFFFFF"/>
          <w:lang w:bidi="ar"/>
        </w:rPr>
        <w:t>Key Performance Metrics</w:t>
      </w:r>
    </w:p>
    <w:p w14:paraId="59E4B1E3"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B1E4"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Our key performance metrics include net revenue, operating income, and cash flows from operations, which are discussed elsewhere in this management’s discussion and analysis.</w:t>
      </w:r>
    </w:p>
    <w:p w14:paraId="59E4B1E5"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B1E6"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64</w:t>
      </w:r>
    </w:p>
    <w:p w14:paraId="59E4B1E7"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B1E8" w14:textId="77777777" w:rsidR="00D7560A" w:rsidRDefault="001E3CAB">
      <w:pPr>
        <w:widowControl/>
        <w:jc w:val="center"/>
      </w:pPr>
      <w:r>
        <w:rPr>
          <w:rFonts w:ascii="宋体" w:eastAsia="宋体" w:hAnsi="宋体" w:cs="宋体"/>
          <w:kern w:val="0"/>
          <w:sz w:val="24"/>
        </w:rPr>
        <w:pict w14:anchorId="59E4C80B">
          <v:rect id="_x0000_i1088" style="width:6in;height:1.5pt" o:hralign="center" o:hrstd="t" o:hr="t" fillcolor="#a0a0a0" stroked="f"/>
        </w:pict>
      </w:r>
    </w:p>
    <w:p w14:paraId="59E4B1E9" w14:textId="77777777" w:rsidR="00D7560A" w:rsidRDefault="001E3CAB">
      <w:pPr>
        <w:widowControl/>
        <w:jc w:val="left"/>
        <w:rPr>
          <w:rFonts w:ascii="宋体" w:eastAsia="宋体" w:hAnsi="宋体" w:cs="宋体"/>
          <w:kern w:val="0"/>
          <w:sz w:val="24"/>
        </w:rPr>
      </w:pPr>
      <w:hyperlink w:anchor="if933dd1d5d004d2495dd7029e3ecad00_13" w:history="1">
        <w:r>
          <w:rPr>
            <w:rStyle w:val="a4"/>
            <w:rFonts w:ascii="Times New Roman" w:eastAsia="宋体" w:hAnsi="Times New Roman" w:cs="Times New Roman"/>
            <w:sz w:val="20"/>
            <w:szCs w:val="20"/>
          </w:rPr>
          <w:t>Table of Contents</w:t>
        </w:r>
      </w:hyperlink>
    </w:p>
    <w:p w14:paraId="59E4B1EA"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NON-GAAP FINANCIAL MEASURES</w:t>
      </w:r>
    </w:p>
    <w:p w14:paraId="59E4B1EB"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B1EC"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In this management’s discussion and analysis, we use supplemental measures of our performance which are derived from our consolidated financial information but which are not </w:t>
      </w:r>
      <w:r>
        <w:rPr>
          <w:rFonts w:ascii="Times New Roman" w:eastAsia="宋体" w:hAnsi="Times New Roman" w:cs="Times New Roman"/>
          <w:color w:val="000000"/>
          <w:kern w:val="0"/>
          <w:sz w:val="20"/>
          <w:szCs w:val="20"/>
          <w:lang w:bidi="ar"/>
        </w:rPr>
        <w:t>presented in our consolidated financial statements prepared in accordance with GAAP. These non-GAAP financial measures include non-GAAP product net revenue; non-GAAP services net revenue; non-GAAP net revenue; non-GAAP product gross margin; non-GAAP servic</w:t>
      </w:r>
      <w:r>
        <w:rPr>
          <w:rFonts w:ascii="Times New Roman" w:eastAsia="宋体" w:hAnsi="Times New Roman" w:cs="Times New Roman"/>
          <w:color w:val="000000"/>
          <w:kern w:val="0"/>
          <w:sz w:val="20"/>
          <w:szCs w:val="20"/>
          <w:lang w:bidi="ar"/>
        </w:rPr>
        <w:t>es gross margin; non-GAAP gross margin; non-GAAP operating expenses; non-GAAP operating income; non-GAAP net income; earnings before interest and other, net, taxes, depreciation, and amortization (“EBITDA”); and adjusted EBITDA. The non-GAAP financial meas</w:t>
      </w:r>
      <w:r>
        <w:rPr>
          <w:rFonts w:ascii="Times New Roman" w:eastAsia="宋体" w:hAnsi="Times New Roman" w:cs="Times New Roman"/>
          <w:color w:val="000000"/>
          <w:kern w:val="0"/>
          <w:sz w:val="20"/>
          <w:szCs w:val="20"/>
          <w:lang w:bidi="ar"/>
        </w:rPr>
        <w:t>ures are not meant to be considered as indicators of performance in isolation from or as a substitute for net revenue, gross margin, operating expenses, operating income, or net income from continuing operations prepared in accordance with GAAP, and should</w:t>
      </w:r>
      <w:r>
        <w:rPr>
          <w:rFonts w:ascii="Times New Roman" w:eastAsia="宋体" w:hAnsi="Times New Roman" w:cs="Times New Roman"/>
          <w:color w:val="000000"/>
          <w:kern w:val="0"/>
          <w:sz w:val="20"/>
          <w:szCs w:val="20"/>
          <w:lang w:bidi="ar"/>
        </w:rPr>
        <w:t xml:space="preserve"> be read only in conjunction with financial information presented on a GAAP basis.</w:t>
      </w:r>
    </w:p>
    <w:p w14:paraId="59E4B1ED"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B1EE"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Effective in the first quarter of Fiscal 2023, non-GAAP product net revenue, non-GAAP services net revenue, and non-GAAP net revenue no longer differ from the most comparable GAAP financial measures. Such non-GAAP financial measures are provided below for </w:t>
      </w:r>
      <w:r>
        <w:rPr>
          <w:rFonts w:ascii="Times New Roman" w:eastAsia="宋体" w:hAnsi="Times New Roman" w:cs="Times New Roman"/>
          <w:color w:val="000000"/>
          <w:kern w:val="0"/>
          <w:sz w:val="20"/>
          <w:szCs w:val="20"/>
          <w:lang w:bidi="ar"/>
        </w:rPr>
        <w:t xml:space="preserve">all periods presented to show purchase accounting adjustments that impacted such financial measures in prior periods. </w:t>
      </w:r>
    </w:p>
    <w:p w14:paraId="59E4B1EF"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B1F0"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We use non-GAAP financial measures to supplement financial information presented on a GAAP basis. Management considers these non-GAAP m</w:t>
      </w:r>
      <w:r>
        <w:rPr>
          <w:rFonts w:ascii="Times New Roman" w:eastAsia="宋体" w:hAnsi="Times New Roman" w:cs="Times New Roman"/>
          <w:color w:val="000000"/>
          <w:kern w:val="0"/>
          <w:sz w:val="20"/>
          <w:szCs w:val="20"/>
          <w:lang w:bidi="ar"/>
        </w:rPr>
        <w:t>easures in evaluating our operating trends and performance. Moreover, we believe these non-GAAP financial measures provide our stakeholders with useful and transparent information to help them evaluate our operating results by facilitating an enhanced unde</w:t>
      </w:r>
      <w:r>
        <w:rPr>
          <w:rFonts w:ascii="Times New Roman" w:eastAsia="宋体" w:hAnsi="Times New Roman" w:cs="Times New Roman"/>
          <w:color w:val="000000"/>
          <w:kern w:val="0"/>
          <w:sz w:val="20"/>
          <w:szCs w:val="20"/>
          <w:lang w:bidi="ar"/>
        </w:rPr>
        <w:t>rstanding of our operating performance and enabling them to make more meaningful period to period comparisons. There are limitations to the use of the non-GAAP financial measures presented in this report. Our non-GAAP financial measures may not be comparab</w:t>
      </w:r>
      <w:r>
        <w:rPr>
          <w:rFonts w:ascii="Times New Roman" w:eastAsia="宋体" w:hAnsi="Times New Roman" w:cs="Times New Roman"/>
          <w:color w:val="000000"/>
          <w:kern w:val="0"/>
          <w:sz w:val="20"/>
          <w:szCs w:val="20"/>
          <w:lang w:bidi="ar"/>
        </w:rPr>
        <w:t>le to similarly titled measures of other companies. Other companies, including companies in our industry, may calculate non-GAAP financial measures differently than we do, limiting the usefulness of those measures for comparative purposes.</w:t>
      </w:r>
    </w:p>
    <w:p w14:paraId="59E4B1F1"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B1F2"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Non-GAAP produ</w:t>
      </w:r>
      <w:r>
        <w:rPr>
          <w:rFonts w:ascii="Times New Roman" w:eastAsia="宋体" w:hAnsi="Times New Roman" w:cs="Times New Roman"/>
          <w:color w:val="000000"/>
          <w:kern w:val="0"/>
          <w:sz w:val="20"/>
          <w:szCs w:val="20"/>
          <w:lang w:bidi="ar"/>
        </w:rPr>
        <w:t>ct net revenue, non-GAAP services net revenue, non-GAAP net revenue, non-GAAP product gross margin, non-GAAP services gross margin, non-GAAP gross margin, non-GAAP operating expenses, non-GAAP operating income, and non-GAAP net income, as defined by us, ex</w:t>
      </w:r>
      <w:r>
        <w:rPr>
          <w:rFonts w:ascii="Times New Roman" w:eastAsia="宋体" w:hAnsi="Times New Roman" w:cs="Times New Roman"/>
          <w:color w:val="000000"/>
          <w:kern w:val="0"/>
          <w:sz w:val="20"/>
          <w:szCs w:val="20"/>
          <w:lang w:bidi="ar"/>
        </w:rPr>
        <w:t>clude amortization of intangible assets, the impact of purchase accounting, transaction-related expenses, stock-based compensation expense, other corporate expenses and, for non-GAAP net income, fair value adjustments on equity adjustments and an aggregate</w:t>
      </w:r>
      <w:r>
        <w:rPr>
          <w:rFonts w:ascii="Times New Roman" w:eastAsia="宋体" w:hAnsi="Times New Roman" w:cs="Times New Roman"/>
          <w:color w:val="000000"/>
          <w:kern w:val="0"/>
          <w:sz w:val="20"/>
          <w:szCs w:val="20"/>
          <w:lang w:bidi="ar"/>
        </w:rPr>
        <w:t xml:space="preserve"> adjustment for income taxes. As the excluded items have a material impact on our financial results, our management compensates for this limitation by relying primarily on our GAAP results and using non-GAAP financial measures supplementally or for project</w:t>
      </w:r>
      <w:r>
        <w:rPr>
          <w:rFonts w:ascii="Times New Roman" w:eastAsia="宋体" w:hAnsi="Times New Roman" w:cs="Times New Roman"/>
          <w:color w:val="000000"/>
          <w:kern w:val="0"/>
          <w:sz w:val="20"/>
          <w:szCs w:val="20"/>
          <w:lang w:bidi="ar"/>
        </w:rPr>
        <w:t xml:space="preserve">ions when comparable GAAP financial measures are not available. </w:t>
      </w:r>
    </w:p>
    <w:p w14:paraId="59E4B1F3"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B1F4"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Reconciliations of each non-GAAP financial measure to its most directly comparable GAAP financial measure are presented below. We encourage you to review the reconciliations in conjunction </w:t>
      </w:r>
      <w:r>
        <w:rPr>
          <w:rFonts w:ascii="Times New Roman" w:eastAsia="宋体" w:hAnsi="Times New Roman" w:cs="Times New Roman"/>
          <w:color w:val="000000"/>
          <w:kern w:val="0"/>
          <w:sz w:val="20"/>
          <w:szCs w:val="20"/>
          <w:lang w:bidi="ar"/>
        </w:rPr>
        <w:t>with the presentation of the non-GAAP financial measures for each of the periods presented. The discussion below includes information on each of the excluded items as well as our reasons for excluding them from our non-GAAP results. In future fiscal period</w:t>
      </w:r>
      <w:r>
        <w:rPr>
          <w:rFonts w:ascii="Times New Roman" w:eastAsia="宋体" w:hAnsi="Times New Roman" w:cs="Times New Roman"/>
          <w:color w:val="000000"/>
          <w:kern w:val="0"/>
          <w:sz w:val="20"/>
          <w:szCs w:val="20"/>
          <w:lang w:bidi="ar"/>
        </w:rPr>
        <w:t>s, we may exclude such items and may incur income and expenses similar to these excluded items. Accordingly, the exclusion of these items and other similar items in our non-GAAP presentation should not be interpreted as implying that these items are non-re</w:t>
      </w:r>
      <w:r>
        <w:rPr>
          <w:rFonts w:ascii="Times New Roman" w:eastAsia="宋体" w:hAnsi="Times New Roman" w:cs="Times New Roman"/>
          <w:color w:val="000000"/>
          <w:kern w:val="0"/>
          <w:sz w:val="20"/>
          <w:szCs w:val="20"/>
          <w:lang w:bidi="ar"/>
        </w:rPr>
        <w:t>curring, infrequent, or unusual.</w:t>
      </w:r>
    </w:p>
    <w:p w14:paraId="59E4B1F5"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B1F6"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The following is a summary of the items excluded from the most comparable GAAP financial measures to calculate our non-GAAP financial measures:</w:t>
      </w:r>
    </w:p>
    <w:p w14:paraId="59E4B1F7"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B1F8" w14:textId="77777777" w:rsidR="00D7560A" w:rsidRDefault="001E3CAB">
      <w:pPr>
        <w:widowControl/>
        <w:ind w:left="360" w:hanging="36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w:t>
      </w:r>
      <w:r>
        <w:rPr>
          <w:rFonts w:ascii="Times New Roman" w:eastAsia="宋体" w:hAnsi="Times New Roman" w:cs="Times New Roman"/>
          <w:i/>
          <w:iCs/>
          <w:color w:val="000000"/>
          <w:kern w:val="0"/>
          <w:sz w:val="20"/>
          <w:szCs w:val="20"/>
          <w:u w:val="single"/>
          <w:lang w:bidi="ar"/>
        </w:rPr>
        <w:t>Amortization of Intangible Assets</w:t>
      </w:r>
      <w:r>
        <w:rPr>
          <w:rFonts w:ascii="Times New Roman" w:eastAsia="宋体" w:hAnsi="Times New Roman" w:cs="Times New Roman"/>
          <w:i/>
          <w:iCs/>
          <w:color w:val="000000"/>
          <w:kern w:val="0"/>
          <w:sz w:val="20"/>
          <w:szCs w:val="20"/>
          <w:lang w:bidi="ar"/>
        </w:rPr>
        <w:t xml:space="preserve"> </w:t>
      </w:r>
      <w:r>
        <w:rPr>
          <w:rFonts w:ascii="Times New Roman" w:eastAsia="宋体" w:hAnsi="Times New Roman" w:cs="Times New Roman"/>
          <w:color w:val="000000"/>
          <w:kern w:val="0"/>
          <w:sz w:val="20"/>
          <w:szCs w:val="20"/>
          <w:lang w:bidi="ar"/>
        </w:rPr>
        <w:t>—</w:t>
      </w:r>
      <w:r>
        <w:rPr>
          <w:rFonts w:ascii="Times New Roman" w:eastAsia="宋体" w:hAnsi="Times New Roman" w:cs="Times New Roman"/>
          <w:i/>
          <w:iCs/>
          <w:color w:val="000000"/>
          <w:kern w:val="0"/>
          <w:sz w:val="20"/>
          <w:szCs w:val="20"/>
          <w:lang w:bidi="ar"/>
        </w:rPr>
        <w:t xml:space="preserve"> </w:t>
      </w:r>
      <w:r>
        <w:rPr>
          <w:rFonts w:ascii="Times New Roman" w:eastAsia="宋体" w:hAnsi="Times New Roman" w:cs="Times New Roman"/>
          <w:color w:val="000000"/>
          <w:kern w:val="0"/>
          <w:sz w:val="20"/>
          <w:szCs w:val="20"/>
          <w:lang w:bidi="ar"/>
        </w:rPr>
        <w:t xml:space="preserve">Amortization of intangible </w:t>
      </w:r>
      <w:r>
        <w:rPr>
          <w:rFonts w:ascii="Times New Roman" w:eastAsia="宋体" w:hAnsi="Times New Roman" w:cs="Times New Roman"/>
          <w:color w:val="000000"/>
          <w:kern w:val="0"/>
          <w:sz w:val="20"/>
          <w:szCs w:val="20"/>
          <w:lang w:bidi="ar"/>
        </w:rPr>
        <w:t>assets primarily consists of amortization of customer relationships, developed technology, and trade names. In connection with our acquisition by merger of EMC on September 7, 2016, referred to as the “EMC merger transaction,” and the acquisition of Dell I</w:t>
      </w:r>
      <w:r>
        <w:rPr>
          <w:rFonts w:ascii="Times New Roman" w:eastAsia="宋体" w:hAnsi="Times New Roman" w:cs="Times New Roman"/>
          <w:color w:val="000000"/>
          <w:kern w:val="0"/>
          <w:sz w:val="20"/>
          <w:szCs w:val="20"/>
          <w:lang w:bidi="ar"/>
        </w:rPr>
        <w:t>nc. by Dell Technologies Inc. on October 29, 2013, referred to as the “going-private transaction,” all of the tangible and intangible assets and liabilities of EMC and Dell, Inc. and its consolidated subsidiaries, respectively, were accounted for and recog</w:t>
      </w:r>
      <w:r>
        <w:rPr>
          <w:rFonts w:ascii="Times New Roman" w:eastAsia="宋体" w:hAnsi="Times New Roman" w:cs="Times New Roman"/>
          <w:color w:val="000000"/>
          <w:kern w:val="0"/>
          <w:sz w:val="20"/>
          <w:szCs w:val="20"/>
          <w:lang w:bidi="ar"/>
        </w:rPr>
        <w:t>nized at fair value on the transaction dates. Accordingly, for the periods presented, amortization of intangible assets represents amortization associated with intangible assets recognized in connection with the EMC merger transaction and the going-private</w:t>
      </w:r>
      <w:r>
        <w:rPr>
          <w:rFonts w:ascii="Times New Roman" w:eastAsia="宋体" w:hAnsi="Times New Roman" w:cs="Times New Roman"/>
          <w:color w:val="000000"/>
          <w:kern w:val="0"/>
          <w:sz w:val="20"/>
          <w:szCs w:val="20"/>
          <w:lang w:bidi="ar"/>
        </w:rPr>
        <w:t xml:space="preserve"> transaction. Amortization charges for purchased intangible assets are significantly impacted by the timing and magnitude of our acquisitions, and these charges may vary in amount from period to period. We exclude these charges for purposes of calculating </w:t>
      </w:r>
      <w:r>
        <w:rPr>
          <w:rFonts w:ascii="Times New Roman" w:eastAsia="宋体" w:hAnsi="Times New Roman" w:cs="Times New Roman"/>
          <w:color w:val="000000"/>
          <w:kern w:val="0"/>
          <w:sz w:val="20"/>
          <w:szCs w:val="20"/>
          <w:lang w:bidi="ar"/>
        </w:rPr>
        <w:t>the non-GAAP financial measures presented below to facilitate an enhanced understanding of our current operating performance and provide more meaningful period to period comparisons.</w:t>
      </w:r>
    </w:p>
    <w:p w14:paraId="59E4B1F9"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B1FA"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65</w:t>
      </w:r>
    </w:p>
    <w:p w14:paraId="59E4B1FB"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B1FC" w14:textId="77777777" w:rsidR="00D7560A" w:rsidRDefault="001E3CAB">
      <w:pPr>
        <w:widowControl/>
        <w:jc w:val="center"/>
      </w:pPr>
      <w:r>
        <w:rPr>
          <w:rFonts w:ascii="宋体" w:eastAsia="宋体" w:hAnsi="宋体" w:cs="宋体"/>
          <w:kern w:val="0"/>
          <w:sz w:val="24"/>
        </w:rPr>
        <w:pict w14:anchorId="59E4C80C">
          <v:rect id="_x0000_i1089" style="width:6in;height:1.5pt" o:hralign="center" o:hrstd="t" o:hr="t" fillcolor="#a0a0a0" stroked="f"/>
        </w:pict>
      </w:r>
    </w:p>
    <w:p w14:paraId="59E4B1FD" w14:textId="77777777" w:rsidR="00D7560A" w:rsidRDefault="001E3CAB">
      <w:pPr>
        <w:widowControl/>
        <w:jc w:val="left"/>
        <w:rPr>
          <w:rFonts w:ascii="宋体" w:eastAsia="宋体" w:hAnsi="宋体" w:cs="宋体"/>
          <w:kern w:val="0"/>
          <w:sz w:val="24"/>
        </w:rPr>
      </w:pPr>
      <w:hyperlink w:anchor="if933dd1d5d004d2495dd7029e3ecad00_13" w:history="1">
        <w:r>
          <w:rPr>
            <w:rStyle w:val="a4"/>
            <w:rFonts w:ascii="Times New Roman" w:eastAsia="宋体" w:hAnsi="Times New Roman" w:cs="Times New Roman"/>
            <w:sz w:val="20"/>
            <w:szCs w:val="20"/>
          </w:rPr>
          <w:t>Table of</w:t>
        </w:r>
        <w:r>
          <w:rPr>
            <w:rStyle w:val="a4"/>
            <w:rFonts w:ascii="Times New Roman" w:eastAsia="宋体" w:hAnsi="Times New Roman" w:cs="Times New Roman"/>
            <w:sz w:val="20"/>
            <w:szCs w:val="20"/>
          </w:rPr>
          <w:t xml:space="preserve"> Contents</w:t>
        </w:r>
      </w:hyperlink>
    </w:p>
    <w:p w14:paraId="59E4B1FE" w14:textId="77777777" w:rsidR="00D7560A" w:rsidRDefault="001E3CAB">
      <w:pPr>
        <w:widowControl/>
        <w:ind w:left="360" w:hanging="36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w:t>
      </w:r>
      <w:r>
        <w:rPr>
          <w:rFonts w:ascii="Times New Roman" w:eastAsia="宋体" w:hAnsi="Times New Roman" w:cs="Times New Roman"/>
          <w:i/>
          <w:iCs/>
          <w:color w:val="000000"/>
          <w:kern w:val="0"/>
          <w:sz w:val="20"/>
          <w:szCs w:val="20"/>
          <w:u w:val="single"/>
          <w:lang w:bidi="ar"/>
        </w:rPr>
        <w:t>Impact of Purchase Accounting</w:t>
      </w:r>
      <w:r>
        <w:rPr>
          <w:rFonts w:ascii="Times New Roman" w:eastAsia="宋体" w:hAnsi="Times New Roman" w:cs="Times New Roman"/>
          <w:i/>
          <w:iCs/>
          <w:color w:val="000000"/>
          <w:kern w:val="0"/>
          <w:sz w:val="20"/>
          <w:szCs w:val="20"/>
          <w:lang w:bidi="ar"/>
        </w:rPr>
        <w:t xml:space="preserve"> </w:t>
      </w:r>
      <w:r>
        <w:rPr>
          <w:rFonts w:ascii="Times New Roman" w:eastAsia="宋体" w:hAnsi="Times New Roman" w:cs="Times New Roman"/>
          <w:color w:val="000000"/>
          <w:kern w:val="0"/>
          <w:sz w:val="20"/>
          <w:szCs w:val="20"/>
          <w:lang w:bidi="ar"/>
        </w:rPr>
        <w:t>—</w:t>
      </w:r>
      <w:r>
        <w:rPr>
          <w:rFonts w:ascii="Times New Roman" w:eastAsia="宋体" w:hAnsi="Times New Roman" w:cs="Times New Roman"/>
          <w:i/>
          <w:iCs/>
          <w:color w:val="000000"/>
          <w:kern w:val="0"/>
          <w:sz w:val="20"/>
          <w:szCs w:val="20"/>
          <w:lang w:bidi="ar"/>
        </w:rPr>
        <w:t xml:space="preserve"> </w:t>
      </w:r>
      <w:r>
        <w:rPr>
          <w:rFonts w:ascii="Times New Roman" w:eastAsia="宋体" w:hAnsi="Times New Roman" w:cs="Times New Roman"/>
          <w:color w:val="000000"/>
          <w:kern w:val="0"/>
          <w:sz w:val="20"/>
          <w:szCs w:val="20"/>
          <w:lang w:bidi="ar"/>
        </w:rPr>
        <w:t xml:space="preserve">The impact of purchase accounting includes purchase accounting adjustments related to the EMC merger transaction and, to a lesser extent, the going-private transaction, recorded under the acquisition </w:t>
      </w:r>
      <w:r>
        <w:rPr>
          <w:rFonts w:ascii="Times New Roman" w:eastAsia="宋体" w:hAnsi="Times New Roman" w:cs="Times New Roman"/>
          <w:color w:val="000000"/>
          <w:kern w:val="0"/>
          <w:sz w:val="20"/>
          <w:szCs w:val="20"/>
          <w:lang w:bidi="ar"/>
        </w:rPr>
        <w:t xml:space="preserve">method of accounting in accordance with the accounting guidance for business combinations. Accordingly, all of the assets and liabilities acquired in such transactions were accounted for and recognized at fair value as of the respective transaction dates, </w:t>
      </w:r>
      <w:r>
        <w:rPr>
          <w:rFonts w:ascii="Times New Roman" w:eastAsia="宋体" w:hAnsi="Times New Roman" w:cs="Times New Roman"/>
          <w:color w:val="000000"/>
          <w:kern w:val="0"/>
          <w:sz w:val="20"/>
          <w:szCs w:val="20"/>
          <w:lang w:bidi="ar"/>
        </w:rPr>
        <w:t>and the fair value adjustments are being amortized over the estimated useful lives in the periods following the transactions. The fair value adjustments that are still amortizing primarily relate to property, plant, and equipment. We believe that excluding</w:t>
      </w:r>
      <w:r>
        <w:rPr>
          <w:rFonts w:ascii="Times New Roman" w:eastAsia="宋体" w:hAnsi="Times New Roman" w:cs="Times New Roman"/>
          <w:color w:val="000000"/>
          <w:kern w:val="0"/>
          <w:sz w:val="20"/>
          <w:szCs w:val="20"/>
          <w:lang w:bidi="ar"/>
        </w:rPr>
        <w:t xml:space="preserve"> the impact of purchase accounting for purposes of calculating the non-GAAP financial measures presented below facilitates an enhanced understanding of our current operating performance and provides more meaningful period to period comparisons.</w:t>
      </w:r>
    </w:p>
    <w:p w14:paraId="59E4B1FF"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B200" w14:textId="77777777" w:rsidR="00D7560A" w:rsidRDefault="001E3CAB">
      <w:pPr>
        <w:widowControl/>
        <w:ind w:left="360" w:hanging="360"/>
        <w:jc w:val="left"/>
        <w:rPr>
          <w:rFonts w:ascii="宋体" w:eastAsia="宋体" w:hAnsi="宋体" w:cs="宋体"/>
          <w:kern w:val="0"/>
          <w:sz w:val="24"/>
        </w:rPr>
      </w:pPr>
      <w:r>
        <w:rPr>
          <w:rFonts w:ascii="Times New Roman" w:eastAsia="宋体" w:hAnsi="Times New Roman" w:cs="Times New Roman"/>
          <w:b/>
          <w:bCs/>
          <w:i/>
          <w:iCs/>
          <w:color w:val="000000"/>
          <w:kern w:val="0"/>
          <w:sz w:val="20"/>
          <w:szCs w:val="20"/>
          <w:lang w:bidi="ar"/>
        </w:rPr>
        <w:t>•</w:t>
      </w:r>
      <w:r>
        <w:rPr>
          <w:rFonts w:ascii="Times New Roman" w:eastAsia="宋体" w:hAnsi="Times New Roman" w:cs="Times New Roman"/>
          <w:i/>
          <w:iCs/>
          <w:color w:val="000000"/>
          <w:kern w:val="0"/>
          <w:sz w:val="20"/>
          <w:szCs w:val="20"/>
          <w:u w:val="single"/>
          <w:lang w:bidi="ar"/>
        </w:rPr>
        <w:t>Transact</w:t>
      </w:r>
      <w:r>
        <w:rPr>
          <w:rFonts w:ascii="Times New Roman" w:eastAsia="宋体" w:hAnsi="Times New Roman" w:cs="Times New Roman"/>
          <w:i/>
          <w:iCs/>
          <w:color w:val="000000"/>
          <w:kern w:val="0"/>
          <w:sz w:val="20"/>
          <w:szCs w:val="20"/>
          <w:u w:val="single"/>
          <w:lang w:bidi="ar"/>
        </w:rPr>
        <w:t>ion-related (income) Expenses</w:t>
      </w:r>
      <w:r>
        <w:rPr>
          <w:rFonts w:ascii="Times New Roman" w:eastAsia="宋体" w:hAnsi="Times New Roman" w:cs="Times New Roman"/>
          <w:i/>
          <w:iCs/>
          <w:color w:val="000000"/>
          <w:kern w:val="0"/>
          <w:sz w:val="20"/>
          <w:szCs w:val="20"/>
          <w:lang w:bidi="ar"/>
        </w:rPr>
        <w:t xml:space="preserve"> — </w:t>
      </w:r>
      <w:r>
        <w:rPr>
          <w:rFonts w:ascii="Times New Roman" w:eastAsia="宋体" w:hAnsi="Times New Roman" w:cs="Times New Roman"/>
          <w:color w:val="000000"/>
          <w:kern w:val="0"/>
          <w:sz w:val="20"/>
          <w:szCs w:val="20"/>
          <w:lang w:bidi="ar"/>
        </w:rPr>
        <w:t>Transaction-related expenses typically consist of acquisition, integration, and divestiture related costs, as well as the costs incurred in the VMware Spin-off, and are expensed as incurred. These expenses primarily represen</w:t>
      </w:r>
      <w:r>
        <w:rPr>
          <w:rFonts w:ascii="Times New Roman" w:eastAsia="宋体" w:hAnsi="Times New Roman" w:cs="Times New Roman"/>
          <w:color w:val="000000"/>
          <w:kern w:val="0"/>
          <w:sz w:val="20"/>
          <w:szCs w:val="20"/>
          <w:lang w:bidi="ar"/>
        </w:rPr>
        <w:t>t costs for legal, banking, consulting, and advisory services.  From time to time, this category also may include transaction-related income related to divestitures of businesses or asset sales. We exclude these items for purposes of calculating the non-GA</w:t>
      </w:r>
      <w:r>
        <w:rPr>
          <w:rFonts w:ascii="Times New Roman" w:eastAsia="宋体" w:hAnsi="Times New Roman" w:cs="Times New Roman"/>
          <w:color w:val="000000"/>
          <w:kern w:val="0"/>
          <w:sz w:val="20"/>
          <w:szCs w:val="20"/>
          <w:lang w:bidi="ar"/>
        </w:rPr>
        <w:t>AP financial measures presented below to facilitate an enhanced understanding of our current operating performance and provide more meaningful period to period comparisons.</w:t>
      </w:r>
    </w:p>
    <w:p w14:paraId="59E4B201"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B202" w14:textId="77777777" w:rsidR="00D7560A" w:rsidRDefault="001E3CAB">
      <w:pPr>
        <w:widowControl/>
        <w:ind w:left="360" w:hanging="360"/>
        <w:jc w:val="left"/>
        <w:rPr>
          <w:rFonts w:ascii="宋体" w:eastAsia="宋体" w:hAnsi="宋体" w:cs="宋体"/>
          <w:kern w:val="0"/>
          <w:sz w:val="24"/>
        </w:rPr>
      </w:pPr>
      <w:r>
        <w:rPr>
          <w:rFonts w:ascii="Times New Roman" w:eastAsia="宋体" w:hAnsi="Times New Roman" w:cs="Times New Roman"/>
          <w:i/>
          <w:iCs/>
          <w:color w:val="000000"/>
          <w:kern w:val="0"/>
          <w:sz w:val="20"/>
          <w:szCs w:val="20"/>
          <w:lang w:bidi="ar"/>
        </w:rPr>
        <w:t>•</w:t>
      </w:r>
      <w:r>
        <w:rPr>
          <w:rFonts w:ascii="Times New Roman" w:eastAsia="宋体" w:hAnsi="Times New Roman" w:cs="Times New Roman"/>
          <w:i/>
          <w:iCs/>
          <w:color w:val="000000"/>
          <w:kern w:val="0"/>
          <w:sz w:val="20"/>
          <w:szCs w:val="20"/>
          <w:u w:val="single"/>
          <w:lang w:bidi="ar"/>
        </w:rPr>
        <w:t>Stock-based Compensation Expense</w:t>
      </w:r>
      <w:r>
        <w:rPr>
          <w:rFonts w:ascii="Times New Roman" w:eastAsia="宋体" w:hAnsi="Times New Roman" w:cs="Times New Roman"/>
          <w:i/>
          <w:iCs/>
          <w:color w:val="000000"/>
          <w:kern w:val="0"/>
          <w:sz w:val="20"/>
          <w:szCs w:val="20"/>
          <w:lang w:bidi="ar"/>
        </w:rPr>
        <w:t xml:space="preserve"> </w:t>
      </w:r>
      <w:r>
        <w:rPr>
          <w:rFonts w:ascii="Times New Roman" w:eastAsia="宋体" w:hAnsi="Times New Roman" w:cs="Times New Roman"/>
          <w:color w:val="000000"/>
          <w:kern w:val="0"/>
          <w:sz w:val="20"/>
          <w:szCs w:val="20"/>
          <w:lang w:bidi="ar"/>
        </w:rPr>
        <w:t xml:space="preserve">— Stock-based compensation expense consists of </w:t>
      </w:r>
      <w:r>
        <w:rPr>
          <w:rFonts w:ascii="Times New Roman" w:eastAsia="宋体" w:hAnsi="Times New Roman" w:cs="Times New Roman"/>
          <w:color w:val="000000"/>
          <w:kern w:val="0"/>
          <w:sz w:val="20"/>
          <w:szCs w:val="20"/>
          <w:lang w:bidi="ar"/>
        </w:rPr>
        <w:t>equity awards granted based on the estimated fair value of those awards at grant date. We estimate the fair value of service-based stock options using the Black-Scholes valuation model. To estimate the fair value of performance-based awards containing a ma</w:t>
      </w:r>
      <w:r>
        <w:rPr>
          <w:rFonts w:ascii="Times New Roman" w:eastAsia="宋体" w:hAnsi="Times New Roman" w:cs="Times New Roman"/>
          <w:color w:val="000000"/>
          <w:kern w:val="0"/>
          <w:sz w:val="20"/>
          <w:szCs w:val="20"/>
          <w:lang w:bidi="ar"/>
        </w:rPr>
        <w:t>rket condition, we use the Monte Carlo valuation model. For all other share-based awards, the fair value is based on the closing price of the Class C Common Stock as reported on the NYSE on the date of grant.  Although stock-based compensation is an import</w:t>
      </w:r>
      <w:r>
        <w:rPr>
          <w:rFonts w:ascii="Times New Roman" w:eastAsia="宋体" w:hAnsi="Times New Roman" w:cs="Times New Roman"/>
          <w:color w:val="000000"/>
          <w:kern w:val="0"/>
          <w:sz w:val="20"/>
          <w:szCs w:val="20"/>
          <w:lang w:bidi="ar"/>
        </w:rPr>
        <w:t>ant aspect of the compensation of our employees and executives, the fair value of the stock-based awards may bear little resemblance to the actual value realized upon the vesting or future exercise of the related stock-based awards. We believe that excludi</w:t>
      </w:r>
      <w:r>
        <w:rPr>
          <w:rFonts w:ascii="Times New Roman" w:eastAsia="宋体" w:hAnsi="Times New Roman" w:cs="Times New Roman"/>
          <w:color w:val="000000"/>
          <w:kern w:val="0"/>
          <w:sz w:val="20"/>
          <w:szCs w:val="20"/>
          <w:lang w:bidi="ar"/>
        </w:rPr>
        <w:t xml:space="preserve">ng stock-based compensation expense for purposes of calculating the non-GAAP financial measures presented below facilitates an enhanced understanding of our current operating performance and provides more meaningful period to period comparisons. </w:t>
      </w:r>
    </w:p>
    <w:p w14:paraId="59E4B203"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B204" w14:textId="77777777" w:rsidR="00D7560A" w:rsidRDefault="001E3CAB">
      <w:pPr>
        <w:widowControl/>
        <w:ind w:left="360" w:hanging="360"/>
        <w:jc w:val="left"/>
        <w:rPr>
          <w:rFonts w:ascii="宋体" w:eastAsia="宋体" w:hAnsi="宋体" w:cs="宋体"/>
          <w:kern w:val="0"/>
          <w:sz w:val="24"/>
        </w:rPr>
      </w:pPr>
      <w:r>
        <w:rPr>
          <w:rFonts w:ascii="Times New Roman" w:eastAsia="宋体" w:hAnsi="Times New Roman" w:cs="Times New Roman"/>
          <w:i/>
          <w:iCs/>
          <w:color w:val="000000"/>
          <w:kern w:val="0"/>
          <w:sz w:val="20"/>
          <w:szCs w:val="20"/>
          <w:lang w:bidi="ar"/>
        </w:rPr>
        <w:t>•</w:t>
      </w:r>
      <w:r>
        <w:rPr>
          <w:rFonts w:ascii="Times New Roman" w:eastAsia="宋体" w:hAnsi="Times New Roman" w:cs="Times New Roman"/>
          <w:i/>
          <w:iCs/>
          <w:color w:val="000000"/>
          <w:kern w:val="0"/>
          <w:sz w:val="20"/>
          <w:szCs w:val="20"/>
          <w:u w:val="single"/>
          <w:lang w:bidi="ar"/>
        </w:rPr>
        <w:t xml:space="preserve">Other </w:t>
      </w:r>
      <w:r>
        <w:rPr>
          <w:rFonts w:ascii="Times New Roman" w:eastAsia="宋体" w:hAnsi="Times New Roman" w:cs="Times New Roman"/>
          <w:i/>
          <w:iCs/>
          <w:color w:val="000000"/>
          <w:kern w:val="0"/>
          <w:sz w:val="20"/>
          <w:szCs w:val="20"/>
          <w:u w:val="single"/>
          <w:lang w:bidi="ar"/>
        </w:rPr>
        <w:t>Corporate Expenses</w:t>
      </w:r>
      <w:r>
        <w:rPr>
          <w:rFonts w:ascii="Times New Roman" w:eastAsia="宋体" w:hAnsi="Times New Roman" w:cs="Times New Roman"/>
          <w:i/>
          <w:iCs/>
          <w:color w:val="000000"/>
          <w:kern w:val="0"/>
          <w:sz w:val="20"/>
          <w:szCs w:val="20"/>
          <w:lang w:bidi="ar"/>
        </w:rPr>
        <w:t xml:space="preserve"> </w:t>
      </w:r>
      <w:r>
        <w:rPr>
          <w:rFonts w:ascii="Times New Roman" w:eastAsia="宋体" w:hAnsi="Times New Roman" w:cs="Times New Roman"/>
          <w:color w:val="000000"/>
          <w:kern w:val="0"/>
          <w:sz w:val="20"/>
          <w:szCs w:val="20"/>
          <w:lang w:bidi="ar"/>
        </w:rPr>
        <w:t xml:space="preserve">— Other corporate expenses consist of impairment charges, incentive charges related to equity investments, severance, facility action, payroll taxes associated with stock-based compensation, and other costs. During the second quarter of </w:t>
      </w:r>
      <w:r>
        <w:rPr>
          <w:rFonts w:ascii="Times New Roman" w:eastAsia="宋体" w:hAnsi="Times New Roman" w:cs="Times New Roman"/>
          <w:color w:val="000000"/>
          <w:kern w:val="0"/>
          <w:sz w:val="20"/>
          <w:szCs w:val="20"/>
          <w:lang w:bidi="ar"/>
        </w:rPr>
        <w:t>Fiscal 2023, we recognized $189 million in costs associated with exiting our business in Russia, primarily related to asset impairments and other exit related costs. Severance costs are primarily related to severance and benefits for employees terminated p</w:t>
      </w:r>
      <w:r>
        <w:rPr>
          <w:rFonts w:ascii="Times New Roman" w:eastAsia="宋体" w:hAnsi="Times New Roman" w:cs="Times New Roman"/>
          <w:color w:val="000000"/>
          <w:kern w:val="0"/>
          <w:sz w:val="20"/>
          <w:szCs w:val="20"/>
          <w:lang w:bidi="ar"/>
        </w:rPr>
        <w:t>ursuant to cost savings initiatives. We continue to optimize our facilities footprint and may incur additional costs as we seek opportunities for operational efficiencies. Other corporate expenses vary from period to period and are significantly impacted b</w:t>
      </w:r>
      <w:r>
        <w:rPr>
          <w:rFonts w:ascii="Times New Roman" w:eastAsia="宋体" w:hAnsi="Times New Roman" w:cs="Times New Roman"/>
          <w:color w:val="000000"/>
          <w:kern w:val="0"/>
          <w:sz w:val="20"/>
          <w:szCs w:val="20"/>
          <w:lang w:bidi="ar"/>
        </w:rPr>
        <w:t>y the timing and nature of these events. Therefore, although we may incur these types of expenses in the future, we believe that eliminating these charges for purposes of calculating the non-GAAP financial measures presented below facilitates an enhanced u</w:t>
      </w:r>
      <w:r>
        <w:rPr>
          <w:rFonts w:ascii="Times New Roman" w:eastAsia="宋体" w:hAnsi="Times New Roman" w:cs="Times New Roman"/>
          <w:color w:val="000000"/>
          <w:kern w:val="0"/>
          <w:sz w:val="20"/>
          <w:szCs w:val="20"/>
          <w:lang w:bidi="ar"/>
        </w:rPr>
        <w:t>nderstanding of our current operating performance and provides more meaningful period to period comparisons.</w:t>
      </w:r>
    </w:p>
    <w:p w14:paraId="59E4B205"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B206" w14:textId="77777777" w:rsidR="00D7560A" w:rsidRDefault="001E3CAB">
      <w:pPr>
        <w:widowControl/>
        <w:ind w:left="360" w:hanging="360"/>
        <w:jc w:val="left"/>
        <w:rPr>
          <w:rFonts w:ascii="宋体" w:eastAsia="宋体" w:hAnsi="宋体" w:cs="宋体"/>
          <w:kern w:val="0"/>
          <w:sz w:val="24"/>
        </w:rPr>
      </w:pPr>
      <w:r>
        <w:rPr>
          <w:rFonts w:ascii="Times New Roman" w:eastAsia="宋体" w:hAnsi="Times New Roman" w:cs="Times New Roman"/>
          <w:b/>
          <w:bCs/>
          <w:i/>
          <w:iCs/>
          <w:color w:val="000000"/>
          <w:kern w:val="0"/>
          <w:sz w:val="20"/>
          <w:szCs w:val="20"/>
          <w:lang w:bidi="ar"/>
        </w:rPr>
        <w:t>•</w:t>
      </w:r>
      <w:r>
        <w:rPr>
          <w:rFonts w:ascii="Times New Roman" w:eastAsia="宋体" w:hAnsi="Times New Roman" w:cs="Times New Roman"/>
          <w:i/>
          <w:iCs/>
          <w:color w:val="000000"/>
          <w:kern w:val="0"/>
          <w:sz w:val="20"/>
          <w:szCs w:val="20"/>
          <w:u w:val="single"/>
          <w:lang w:bidi="ar"/>
        </w:rPr>
        <w:t>Fair Value Adjustments on Equity Investments</w:t>
      </w:r>
      <w:r>
        <w:rPr>
          <w:rFonts w:ascii="Times New Roman" w:eastAsia="宋体" w:hAnsi="Times New Roman" w:cs="Times New Roman"/>
          <w:color w:val="000000"/>
          <w:kern w:val="0"/>
          <w:sz w:val="20"/>
          <w:szCs w:val="20"/>
          <w:lang w:bidi="ar"/>
        </w:rPr>
        <w:t xml:space="preserve"> — Fair value adjustments on equity investments primarily consist of the gain (loss) on strategic investments, which includes the recurring fair value adjustments of investments in publicly-traded companies, as well as those in privately-held companies, wh</w:t>
      </w:r>
      <w:r>
        <w:rPr>
          <w:rFonts w:ascii="Times New Roman" w:eastAsia="宋体" w:hAnsi="Times New Roman" w:cs="Times New Roman"/>
          <w:color w:val="000000"/>
          <w:kern w:val="0"/>
          <w:sz w:val="20"/>
          <w:szCs w:val="20"/>
          <w:lang w:bidi="ar"/>
        </w:rPr>
        <w:t>ich are adjusted for observable price changes and any potential impairments. See Note 3 of the Notes to the Condensed Consolidated Financial Statements included in this report for additional information on our strategic investment activity. Given the volat</w:t>
      </w:r>
      <w:r>
        <w:rPr>
          <w:rFonts w:ascii="Times New Roman" w:eastAsia="宋体" w:hAnsi="Times New Roman" w:cs="Times New Roman"/>
          <w:color w:val="000000"/>
          <w:kern w:val="0"/>
          <w:sz w:val="20"/>
          <w:szCs w:val="20"/>
          <w:lang w:bidi="ar"/>
        </w:rPr>
        <w:t>ility in the ongoing adjustments to the valuation of these strategic investments, we believe that excluding these gains and losses for purposes of calculating non-GAAP net income presented below facilitates an enhanced understanding of our current operatin</w:t>
      </w:r>
      <w:r>
        <w:rPr>
          <w:rFonts w:ascii="Times New Roman" w:eastAsia="宋体" w:hAnsi="Times New Roman" w:cs="Times New Roman"/>
          <w:color w:val="000000"/>
          <w:kern w:val="0"/>
          <w:sz w:val="20"/>
          <w:szCs w:val="20"/>
          <w:lang w:bidi="ar"/>
        </w:rPr>
        <w:t>g performance and provides more meaningful period to period comparisons.</w:t>
      </w:r>
    </w:p>
    <w:p w14:paraId="59E4B207"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B208" w14:textId="77777777" w:rsidR="00D7560A" w:rsidRDefault="001E3CAB">
      <w:pPr>
        <w:widowControl/>
        <w:ind w:left="360" w:hanging="36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w:t>
      </w:r>
      <w:r>
        <w:rPr>
          <w:rFonts w:ascii="Times New Roman" w:eastAsia="宋体" w:hAnsi="Times New Roman" w:cs="Times New Roman"/>
          <w:i/>
          <w:iCs/>
          <w:color w:val="000000"/>
          <w:kern w:val="0"/>
          <w:sz w:val="20"/>
          <w:szCs w:val="20"/>
          <w:u w:val="single"/>
          <w:lang w:bidi="ar"/>
        </w:rPr>
        <w:t>Aggregate Adjustment for Income Taxes</w:t>
      </w:r>
      <w:r>
        <w:rPr>
          <w:rFonts w:ascii="Times New Roman" w:eastAsia="宋体" w:hAnsi="Times New Roman" w:cs="Times New Roman"/>
          <w:color w:val="000000"/>
          <w:kern w:val="0"/>
          <w:sz w:val="20"/>
          <w:szCs w:val="20"/>
          <w:lang w:bidi="ar"/>
        </w:rPr>
        <w:t xml:space="preserve"> — The aggregate adjustment for income taxes is the estimated combined income tax effect for the adjustments described above, as well as an adjustment for discrete tax items. Due to the variability in recognition of discrete tax items from period to period</w:t>
      </w:r>
      <w:r>
        <w:rPr>
          <w:rFonts w:ascii="Times New Roman" w:eastAsia="宋体" w:hAnsi="Times New Roman" w:cs="Times New Roman"/>
          <w:color w:val="000000"/>
          <w:kern w:val="0"/>
          <w:sz w:val="20"/>
          <w:szCs w:val="20"/>
          <w:lang w:bidi="ar"/>
        </w:rPr>
        <w:t xml:space="preserve">, we believe that excluding these benefits or charges for purposes of calculating non-GAAP net income facilitates an enhanced understanding of our current operating performance and provides more meaningful period to period comparisons. The tax effects are </w:t>
      </w:r>
      <w:r>
        <w:rPr>
          <w:rFonts w:ascii="Times New Roman" w:eastAsia="宋体" w:hAnsi="Times New Roman" w:cs="Times New Roman"/>
          <w:color w:val="000000"/>
          <w:kern w:val="0"/>
          <w:sz w:val="20"/>
          <w:szCs w:val="20"/>
          <w:lang w:bidi="ar"/>
        </w:rPr>
        <w:t>determined based on the tax jurisdictions where the above items were incurred. See Note 12 of the Notes to the Condensed Consolidated Financial Statements included in this report for additional information on our income taxes.</w:t>
      </w:r>
    </w:p>
    <w:p w14:paraId="59E4B209"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B20A"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66</w:t>
      </w:r>
    </w:p>
    <w:p w14:paraId="59E4B20B"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B20C" w14:textId="77777777" w:rsidR="00D7560A" w:rsidRDefault="001E3CAB">
      <w:pPr>
        <w:widowControl/>
        <w:jc w:val="center"/>
      </w:pPr>
      <w:r>
        <w:rPr>
          <w:rFonts w:ascii="宋体" w:eastAsia="宋体" w:hAnsi="宋体" w:cs="宋体"/>
          <w:kern w:val="0"/>
          <w:sz w:val="24"/>
        </w:rPr>
        <w:pict w14:anchorId="59E4C80D">
          <v:rect id="_x0000_i1090" style="width:6in;height:1.5pt" o:hralign="center" o:hrstd="t" o:hr="t" fillcolor="#a0a0a0" stroked="f"/>
        </w:pict>
      </w:r>
    </w:p>
    <w:p w14:paraId="59E4B20D" w14:textId="77777777" w:rsidR="00D7560A" w:rsidRDefault="001E3CAB">
      <w:pPr>
        <w:widowControl/>
        <w:jc w:val="left"/>
        <w:rPr>
          <w:rFonts w:ascii="宋体" w:eastAsia="宋体" w:hAnsi="宋体" w:cs="宋体"/>
          <w:kern w:val="0"/>
          <w:sz w:val="24"/>
        </w:rPr>
      </w:pPr>
      <w:hyperlink w:anchor="if933dd1d5d004d2495dd7029e3ecad00_13" w:history="1">
        <w:r>
          <w:rPr>
            <w:rStyle w:val="a4"/>
            <w:rFonts w:ascii="Times New Roman" w:eastAsia="宋体" w:hAnsi="Times New Roman" w:cs="Times New Roman"/>
            <w:sz w:val="20"/>
            <w:szCs w:val="20"/>
          </w:rPr>
          <w:t>Table of Contents</w:t>
        </w:r>
      </w:hyperlink>
    </w:p>
    <w:p w14:paraId="59E4B20E" w14:textId="77777777" w:rsidR="00D7560A" w:rsidRDefault="001E3CAB">
      <w:pPr>
        <w:widowControl/>
        <w:spacing w:after="12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The following table presents a reconciliation of each non-GAAP financial measure to the most directly comparable GAAP measure for </w:t>
      </w:r>
      <w:r>
        <w:rPr>
          <w:rFonts w:ascii="Times New Roman" w:eastAsia="宋体" w:hAnsi="Times New Roman" w:cs="Times New Roman"/>
          <w:color w:val="000000"/>
          <w:kern w:val="0"/>
          <w:sz w:val="20"/>
          <w:szCs w:val="20"/>
          <w:shd w:val="clear" w:color="auto" w:fill="FFFFFF"/>
          <w:lang w:bidi="ar"/>
        </w:rPr>
        <w:t xml:space="preserve">the </w:t>
      </w:r>
      <w:r>
        <w:rPr>
          <w:rFonts w:ascii="Times New Roman" w:eastAsia="宋体" w:hAnsi="Times New Roman" w:cs="Times New Roman"/>
          <w:color w:val="000000"/>
          <w:kern w:val="0"/>
          <w:sz w:val="20"/>
          <w:szCs w:val="20"/>
          <w:lang w:bidi="ar"/>
        </w:rPr>
        <w:t>periods indicated: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4"/>
        <w:gridCol w:w="2386"/>
        <w:gridCol w:w="39"/>
        <w:gridCol w:w="120"/>
        <w:gridCol w:w="721"/>
        <w:gridCol w:w="36"/>
        <w:gridCol w:w="36"/>
        <w:gridCol w:w="36"/>
        <w:gridCol w:w="36"/>
        <w:gridCol w:w="92"/>
        <w:gridCol w:w="595"/>
        <w:gridCol w:w="187"/>
        <w:gridCol w:w="36"/>
        <w:gridCol w:w="36"/>
        <w:gridCol w:w="36"/>
        <w:gridCol w:w="120"/>
        <w:gridCol w:w="600"/>
        <w:gridCol w:w="36"/>
        <w:gridCol w:w="36"/>
        <w:gridCol w:w="36"/>
        <w:gridCol w:w="36"/>
        <w:gridCol w:w="120"/>
        <w:gridCol w:w="600"/>
        <w:gridCol w:w="36"/>
        <w:gridCol w:w="36"/>
        <w:gridCol w:w="36"/>
        <w:gridCol w:w="36"/>
        <w:gridCol w:w="92"/>
        <w:gridCol w:w="595"/>
        <w:gridCol w:w="187"/>
        <w:gridCol w:w="36"/>
        <w:gridCol w:w="36"/>
        <w:gridCol w:w="36"/>
        <w:gridCol w:w="120"/>
        <w:gridCol w:w="602"/>
        <w:gridCol w:w="36"/>
        <w:gridCol w:w="36"/>
        <w:gridCol w:w="36"/>
        <w:gridCol w:w="36"/>
        <w:gridCol w:w="36"/>
        <w:gridCol w:w="36"/>
        <w:gridCol w:w="36"/>
        <w:gridCol w:w="36"/>
        <w:gridCol w:w="36"/>
        <w:gridCol w:w="36"/>
        <w:gridCol w:w="36"/>
        <w:gridCol w:w="36"/>
        <w:gridCol w:w="36"/>
      </w:tblGrid>
      <w:tr w:rsidR="00D7560A" w14:paraId="59E4B237" w14:textId="77777777">
        <w:trPr>
          <w:jc w:val="center"/>
        </w:trPr>
        <w:tc>
          <w:tcPr>
            <w:tcW w:w="50" w:type="pct"/>
            <w:tcBorders>
              <w:top w:val="nil"/>
              <w:left w:val="nil"/>
              <w:bottom w:val="nil"/>
              <w:right w:val="nil"/>
            </w:tcBorders>
            <w:shd w:val="clear" w:color="auto" w:fill="auto"/>
            <w:vAlign w:val="bottom"/>
          </w:tcPr>
          <w:p w14:paraId="59E4B20F" w14:textId="77777777" w:rsidR="00D7560A" w:rsidRDefault="00D7560A">
            <w:pPr>
              <w:widowControl/>
              <w:jc w:val="left"/>
              <w:rPr>
                <w:rFonts w:ascii="Times New Roman" w:eastAsia="宋体" w:hAnsi="宋体" w:cs="宋体"/>
                <w:kern w:val="0"/>
                <w:sz w:val="24"/>
              </w:rPr>
            </w:pPr>
          </w:p>
        </w:tc>
        <w:tc>
          <w:tcPr>
            <w:tcW w:w="1648" w:type="pct"/>
            <w:tcBorders>
              <w:top w:val="nil"/>
              <w:left w:val="nil"/>
              <w:bottom w:val="nil"/>
              <w:right w:val="nil"/>
            </w:tcBorders>
            <w:shd w:val="clear" w:color="auto" w:fill="auto"/>
            <w:vAlign w:val="bottom"/>
          </w:tcPr>
          <w:p w14:paraId="59E4B210"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B211"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B212" w14:textId="77777777" w:rsidR="00D7560A" w:rsidRDefault="00D7560A">
            <w:pPr>
              <w:widowControl/>
              <w:jc w:val="left"/>
              <w:rPr>
                <w:rFonts w:ascii="Times New Roman" w:eastAsia="宋体" w:hAnsi="宋体" w:cs="宋体"/>
                <w:kern w:val="0"/>
                <w:sz w:val="24"/>
              </w:rPr>
            </w:pPr>
          </w:p>
        </w:tc>
        <w:tc>
          <w:tcPr>
            <w:tcW w:w="537" w:type="pct"/>
            <w:tcBorders>
              <w:top w:val="nil"/>
              <w:left w:val="nil"/>
              <w:bottom w:val="nil"/>
              <w:right w:val="nil"/>
            </w:tcBorders>
            <w:shd w:val="clear" w:color="auto" w:fill="auto"/>
            <w:vAlign w:val="bottom"/>
          </w:tcPr>
          <w:p w14:paraId="59E4B213"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B214"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B215" w14:textId="77777777" w:rsidR="00D7560A" w:rsidRDefault="00D7560A">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59E4B216"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B217"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B218" w14:textId="77777777" w:rsidR="00D7560A" w:rsidRDefault="00D7560A">
            <w:pPr>
              <w:widowControl/>
              <w:jc w:val="left"/>
              <w:rPr>
                <w:rFonts w:ascii="Times New Roman" w:eastAsia="宋体" w:hAnsi="宋体" w:cs="宋体"/>
                <w:kern w:val="0"/>
                <w:sz w:val="24"/>
              </w:rPr>
            </w:pPr>
          </w:p>
        </w:tc>
        <w:tc>
          <w:tcPr>
            <w:tcW w:w="325" w:type="pct"/>
            <w:tcBorders>
              <w:top w:val="nil"/>
              <w:left w:val="nil"/>
              <w:bottom w:val="nil"/>
              <w:right w:val="nil"/>
            </w:tcBorders>
            <w:shd w:val="clear" w:color="auto" w:fill="auto"/>
            <w:vAlign w:val="bottom"/>
          </w:tcPr>
          <w:p w14:paraId="59E4B219"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B21A"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B21B" w14:textId="77777777" w:rsidR="00D7560A" w:rsidRDefault="00D7560A">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59E4B21C"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B21D"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B21E" w14:textId="77777777" w:rsidR="00D7560A" w:rsidRDefault="00D7560A">
            <w:pPr>
              <w:widowControl/>
              <w:jc w:val="left"/>
              <w:rPr>
                <w:rFonts w:ascii="Times New Roman" w:eastAsia="宋体" w:hAnsi="宋体" w:cs="宋体"/>
                <w:kern w:val="0"/>
                <w:sz w:val="24"/>
              </w:rPr>
            </w:pPr>
          </w:p>
        </w:tc>
        <w:tc>
          <w:tcPr>
            <w:tcW w:w="537" w:type="pct"/>
            <w:tcBorders>
              <w:top w:val="nil"/>
              <w:left w:val="nil"/>
              <w:bottom w:val="nil"/>
              <w:right w:val="nil"/>
            </w:tcBorders>
            <w:shd w:val="clear" w:color="auto" w:fill="auto"/>
            <w:vAlign w:val="bottom"/>
          </w:tcPr>
          <w:p w14:paraId="59E4B21F"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B220"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B221" w14:textId="77777777" w:rsidR="00D7560A" w:rsidRDefault="00D7560A">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59E4B222"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B223"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B224" w14:textId="77777777" w:rsidR="00D7560A" w:rsidRDefault="00D7560A">
            <w:pPr>
              <w:widowControl/>
              <w:jc w:val="left"/>
              <w:rPr>
                <w:rFonts w:ascii="Times New Roman" w:eastAsia="宋体" w:hAnsi="宋体" w:cs="宋体"/>
                <w:kern w:val="0"/>
                <w:sz w:val="24"/>
              </w:rPr>
            </w:pPr>
          </w:p>
        </w:tc>
        <w:tc>
          <w:tcPr>
            <w:tcW w:w="537" w:type="pct"/>
            <w:tcBorders>
              <w:top w:val="nil"/>
              <w:left w:val="nil"/>
              <w:bottom w:val="nil"/>
              <w:right w:val="nil"/>
            </w:tcBorders>
            <w:shd w:val="clear" w:color="auto" w:fill="auto"/>
            <w:vAlign w:val="bottom"/>
          </w:tcPr>
          <w:p w14:paraId="59E4B225"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B226"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B227" w14:textId="77777777" w:rsidR="00D7560A" w:rsidRDefault="00D7560A">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59E4B228"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B229"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B22A" w14:textId="77777777" w:rsidR="00D7560A" w:rsidRDefault="00D7560A">
            <w:pPr>
              <w:widowControl/>
              <w:jc w:val="left"/>
              <w:rPr>
                <w:rFonts w:ascii="Times New Roman" w:eastAsia="宋体" w:hAnsi="宋体" w:cs="宋体"/>
                <w:kern w:val="0"/>
                <w:sz w:val="24"/>
              </w:rPr>
            </w:pPr>
          </w:p>
        </w:tc>
        <w:tc>
          <w:tcPr>
            <w:tcW w:w="325" w:type="pct"/>
            <w:tcBorders>
              <w:top w:val="nil"/>
              <w:left w:val="nil"/>
              <w:bottom w:val="nil"/>
              <w:right w:val="nil"/>
            </w:tcBorders>
            <w:shd w:val="clear" w:color="auto" w:fill="auto"/>
            <w:vAlign w:val="bottom"/>
          </w:tcPr>
          <w:p w14:paraId="59E4B22B"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B22C"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B22D" w14:textId="77777777" w:rsidR="00D7560A" w:rsidRDefault="00D7560A">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59E4B22E"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B22F"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B230" w14:textId="77777777" w:rsidR="00D7560A" w:rsidRDefault="00D7560A">
            <w:pPr>
              <w:widowControl/>
              <w:jc w:val="left"/>
              <w:rPr>
                <w:rFonts w:ascii="Times New Roman" w:eastAsia="宋体" w:hAnsi="宋体" w:cs="宋体"/>
                <w:kern w:val="0"/>
                <w:sz w:val="24"/>
              </w:rPr>
            </w:pPr>
          </w:p>
        </w:tc>
        <w:tc>
          <w:tcPr>
            <w:tcW w:w="537" w:type="pct"/>
            <w:tcBorders>
              <w:top w:val="nil"/>
              <w:left w:val="nil"/>
              <w:bottom w:val="nil"/>
              <w:right w:val="nil"/>
            </w:tcBorders>
            <w:shd w:val="clear" w:color="auto" w:fill="auto"/>
            <w:vAlign w:val="bottom"/>
          </w:tcPr>
          <w:p w14:paraId="59E4B231"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B232"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59E4B233"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234"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235"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236" w14:textId="77777777" w:rsidR="00D7560A" w:rsidRDefault="00D7560A">
            <w:pPr>
              <w:widowControl/>
              <w:jc w:val="left"/>
              <w:rPr>
                <w:rFonts w:ascii="Times New Roman" w:eastAsia="宋体" w:hAnsi="宋体" w:cs="宋体"/>
                <w:vanish/>
                <w:kern w:val="0"/>
                <w:sz w:val="24"/>
              </w:rPr>
            </w:pPr>
          </w:p>
        </w:tc>
      </w:tr>
      <w:tr w:rsidR="00D7560A" w14:paraId="59E4B248"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B238" w14:textId="77777777" w:rsidR="00D7560A" w:rsidRDefault="00D7560A">
            <w:pPr>
              <w:widowControl/>
              <w:jc w:val="left"/>
              <w:rPr>
                <w:rFonts w:ascii="Times New Roman" w:eastAsia="宋体" w:hAnsi="宋体" w:cs="宋体"/>
                <w:kern w:val="0"/>
                <w:sz w:val="24"/>
              </w:rPr>
            </w:pPr>
          </w:p>
        </w:tc>
        <w:tc>
          <w:tcPr>
            <w:tcW w:w="0" w:type="auto"/>
            <w:gridSpan w:val="15"/>
            <w:tcBorders>
              <w:top w:val="nil"/>
              <w:left w:val="nil"/>
              <w:bottom w:val="nil"/>
              <w:right w:val="nil"/>
            </w:tcBorders>
            <w:shd w:val="clear" w:color="auto" w:fill="auto"/>
            <w:tcMar>
              <w:top w:w="40" w:type="dxa"/>
              <w:left w:w="20" w:type="dxa"/>
              <w:bottom w:w="40" w:type="dxa"/>
              <w:right w:w="20" w:type="dxa"/>
            </w:tcMar>
            <w:vAlign w:val="bottom"/>
          </w:tcPr>
          <w:p w14:paraId="59E4B239"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Three Months Ended</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B23A" w14:textId="77777777" w:rsidR="00D7560A" w:rsidRDefault="00D7560A">
            <w:pPr>
              <w:widowControl/>
              <w:jc w:val="left"/>
              <w:rPr>
                <w:rFonts w:ascii="Times New Roman" w:eastAsia="宋体" w:hAnsi="宋体" w:cs="宋体"/>
                <w:kern w:val="0"/>
                <w:sz w:val="24"/>
              </w:rPr>
            </w:pPr>
          </w:p>
        </w:tc>
        <w:tc>
          <w:tcPr>
            <w:tcW w:w="0" w:type="auto"/>
            <w:gridSpan w:val="15"/>
            <w:tcBorders>
              <w:top w:val="nil"/>
              <w:left w:val="nil"/>
              <w:bottom w:val="nil"/>
              <w:right w:val="nil"/>
            </w:tcBorders>
            <w:shd w:val="clear" w:color="auto" w:fill="auto"/>
            <w:tcMar>
              <w:top w:w="40" w:type="dxa"/>
              <w:left w:w="20" w:type="dxa"/>
              <w:bottom w:w="40" w:type="dxa"/>
              <w:right w:w="20" w:type="dxa"/>
            </w:tcMar>
            <w:vAlign w:val="bottom"/>
          </w:tcPr>
          <w:p w14:paraId="59E4B23B"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Six Months Ended</w:t>
            </w:r>
          </w:p>
        </w:tc>
        <w:tc>
          <w:tcPr>
            <w:tcW w:w="0" w:type="auto"/>
            <w:tcBorders>
              <w:top w:val="nil"/>
              <w:left w:val="nil"/>
              <w:bottom w:val="nil"/>
              <w:right w:val="nil"/>
            </w:tcBorders>
            <w:shd w:val="clear" w:color="auto" w:fill="auto"/>
            <w:vAlign w:val="bottom"/>
          </w:tcPr>
          <w:p w14:paraId="59E4B23C"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B23D"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B23E"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B23F"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B240"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B241"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B242"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B243"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B244"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B245"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B246"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B247" w14:textId="77777777" w:rsidR="00D7560A" w:rsidRDefault="00D7560A">
            <w:pPr>
              <w:widowControl/>
              <w:jc w:val="left"/>
              <w:rPr>
                <w:rFonts w:ascii="Times New Roman" w:eastAsia="宋体" w:hAnsi="宋体" w:cs="宋体"/>
                <w:kern w:val="0"/>
                <w:sz w:val="24"/>
              </w:rPr>
            </w:pPr>
          </w:p>
        </w:tc>
      </w:tr>
      <w:tr w:rsidR="00D7560A" w14:paraId="59E4B259"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9E4B249"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59E4B24A"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29,</w:t>
            </w:r>
            <w:r>
              <w:rPr>
                <w:rFonts w:ascii="Times New Roman" w:eastAsia="宋体" w:hAnsi="Times New Roman" w:cs="Times New Roman"/>
                <w:b/>
                <w:bCs/>
                <w:color w:val="000000"/>
                <w:kern w:val="0"/>
                <w:sz w:val="20"/>
                <w:szCs w:val="20"/>
                <w:lang w:bidi="ar"/>
              </w:rPr>
              <w:br/>
              <w:t>2022</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59E4B24B"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59E4B24C"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 Change</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59E4B24D"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59E4B24E"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30,</w:t>
            </w:r>
            <w:r>
              <w:rPr>
                <w:rFonts w:ascii="Times New Roman" w:eastAsia="宋体" w:hAnsi="Times New Roman" w:cs="Times New Roman"/>
                <w:b/>
                <w:bCs/>
                <w:color w:val="000000"/>
                <w:kern w:val="0"/>
                <w:sz w:val="20"/>
                <w:szCs w:val="20"/>
                <w:lang w:bidi="ar"/>
              </w:rPr>
              <w:br/>
              <w:t>2021</w:t>
            </w: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59E4B24F"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59E4B250"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29,</w:t>
            </w:r>
            <w:r>
              <w:rPr>
                <w:rFonts w:ascii="Times New Roman" w:eastAsia="宋体" w:hAnsi="Times New Roman" w:cs="Times New Roman"/>
                <w:b/>
                <w:bCs/>
                <w:color w:val="000000"/>
                <w:kern w:val="0"/>
                <w:sz w:val="20"/>
                <w:szCs w:val="20"/>
                <w:lang w:bidi="ar"/>
              </w:rPr>
              <w:br/>
              <w:t>2022</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59E4B251"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59E4B252"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 Change</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59E4B253"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59E4B254"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30,</w:t>
            </w:r>
            <w:r>
              <w:rPr>
                <w:rFonts w:ascii="Times New Roman" w:eastAsia="宋体" w:hAnsi="Times New Roman" w:cs="Times New Roman"/>
                <w:b/>
                <w:bCs/>
                <w:color w:val="000000"/>
                <w:kern w:val="0"/>
                <w:sz w:val="20"/>
                <w:szCs w:val="20"/>
                <w:lang w:bidi="ar"/>
              </w:rPr>
              <w:br/>
              <w:t>2021</w:t>
            </w:r>
          </w:p>
        </w:tc>
        <w:tc>
          <w:tcPr>
            <w:tcW w:w="0" w:type="auto"/>
            <w:gridSpan w:val="3"/>
            <w:tcBorders>
              <w:top w:val="nil"/>
              <w:left w:val="nil"/>
              <w:bottom w:val="nil"/>
              <w:right w:val="nil"/>
            </w:tcBorders>
            <w:shd w:val="clear" w:color="auto" w:fill="auto"/>
            <w:vAlign w:val="bottom"/>
          </w:tcPr>
          <w:p w14:paraId="59E4B255"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256"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257"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258" w14:textId="77777777" w:rsidR="00D7560A" w:rsidRDefault="00D7560A">
            <w:pPr>
              <w:widowControl/>
              <w:jc w:val="left"/>
              <w:rPr>
                <w:rFonts w:ascii="Times New Roman" w:eastAsia="宋体" w:hAnsi="宋体" w:cs="宋体"/>
                <w:vanish/>
                <w:kern w:val="0"/>
                <w:sz w:val="24"/>
              </w:rPr>
            </w:pPr>
          </w:p>
        </w:tc>
      </w:tr>
      <w:tr w:rsidR="00D7560A" w14:paraId="59E4B268"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B25A" w14:textId="77777777" w:rsidR="00D7560A" w:rsidRDefault="00D7560A">
            <w:pPr>
              <w:widowControl/>
              <w:jc w:val="left"/>
              <w:rPr>
                <w:rFonts w:ascii="Times New Roman" w:eastAsia="宋体" w:hAnsi="宋体" w:cs="宋体"/>
                <w:kern w:val="0"/>
                <w:sz w:val="24"/>
              </w:rPr>
            </w:pPr>
          </w:p>
        </w:tc>
        <w:tc>
          <w:tcPr>
            <w:tcW w:w="0" w:type="auto"/>
            <w:gridSpan w:val="3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59E4B25B"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(in millions, except percentages)</w:t>
            </w:r>
          </w:p>
        </w:tc>
        <w:tc>
          <w:tcPr>
            <w:tcW w:w="0" w:type="auto"/>
            <w:tcBorders>
              <w:top w:val="nil"/>
              <w:left w:val="nil"/>
              <w:bottom w:val="nil"/>
              <w:right w:val="nil"/>
            </w:tcBorders>
            <w:shd w:val="clear" w:color="auto" w:fill="auto"/>
            <w:vAlign w:val="bottom"/>
          </w:tcPr>
          <w:p w14:paraId="59E4B25C"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B25D"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B25E"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B25F"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B260"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B261"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B262"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B263"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B264"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B265"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B266"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B267" w14:textId="77777777" w:rsidR="00D7560A" w:rsidRDefault="00D7560A">
            <w:pPr>
              <w:widowControl/>
              <w:jc w:val="left"/>
              <w:rPr>
                <w:rFonts w:ascii="Times New Roman" w:eastAsia="宋体" w:hAnsi="宋体" w:cs="宋体"/>
                <w:kern w:val="0"/>
                <w:sz w:val="24"/>
              </w:rPr>
            </w:pPr>
          </w:p>
        </w:tc>
      </w:tr>
      <w:tr w:rsidR="00D7560A" w14:paraId="59E4B283"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9E4B269"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Product net revenue</w:t>
            </w: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9E4B26A"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9E4B26B"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20,810 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26C"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26D"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B26E"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26F"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270"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9E4B271"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9E4B272"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18,895 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273"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274"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9E4B275"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9E4B276"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41,274 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277"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278"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B279"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27A"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27B"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9E4B27C"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9E4B27D"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36,382 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27E"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59E4B27F"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280"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281"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282" w14:textId="77777777" w:rsidR="00D7560A" w:rsidRDefault="00D7560A">
            <w:pPr>
              <w:widowControl/>
              <w:jc w:val="left"/>
              <w:rPr>
                <w:rFonts w:ascii="Times New Roman" w:eastAsia="宋体" w:hAnsi="宋体" w:cs="宋体"/>
                <w:vanish/>
                <w:kern w:val="0"/>
                <w:sz w:val="24"/>
              </w:rPr>
            </w:pPr>
          </w:p>
        </w:tc>
      </w:tr>
      <w:tr w:rsidR="00D7560A" w14:paraId="59E4B294" w14:textId="77777777">
        <w:trPr>
          <w:jc w:val="center"/>
        </w:trPr>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59E4B284"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Non-GAAP a</w:t>
            </w:r>
            <w:r>
              <w:rPr>
                <w:rFonts w:ascii="Times New Roman" w:eastAsia="宋体" w:hAnsi="Times New Roman" w:cs="Times New Roman"/>
                <w:color w:val="000000"/>
                <w:kern w:val="0"/>
                <w:sz w:val="20"/>
                <w:szCs w:val="20"/>
                <w:lang w:bidi="ar"/>
              </w:rPr>
              <w:t>djustments:</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285"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286"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287"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288"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289"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28A"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28B"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28C"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28D"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28E"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28F"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59E4B290"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291"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292"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293" w14:textId="77777777" w:rsidR="00D7560A" w:rsidRDefault="00D7560A">
            <w:pPr>
              <w:widowControl/>
              <w:jc w:val="left"/>
              <w:rPr>
                <w:rFonts w:ascii="Times New Roman" w:eastAsia="宋体" w:hAnsi="宋体" w:cs="宋体"/>
                <w:vanish/>
                <w:kern w:val="0"/>
                <w:sz w:val="24"/>
              </w:rPr>
            </w:pPr>
          </w:p>
        </w:tc>
      </w:tr>
      <w:tr w:rsidR="00D7560A" w14:paraId="59E4B2A9" w14:textId="77777777">
        <w:trPr>
          <w:jc w:val="center"/>
        </w:trPr>
        <w:tc>
          <w:tcPr>
            <w:tcW w:w="0" w:type="auto"/>
            <w:gridSpan w:val="3"/>
            <w:tcBorders>
              <w:top w:val="nil"/>
              <w:left w:val="nil"/>
              <w:bottom w:val="nil"/>
              <w:right w:val="nil"/>
            </w:tcBorders>
            <w:shd w:val="clear" w:color="auto" w:fill="CCEEFF"/>
            <w:tcMar>
              <w:top w:w="40" w:type="dxa"/>
              <w:left w:w="245" w:type="dxa"/>
              <w:bottom w:w="40" w:type="dxa"/>
              <w:right w:w="20" w:type="dxa"/>
            </w:tcMar>
            <w:vAlign w:val="bottom"/>
          </w:tcPr>
          <w:p w14:paraId="59E4B295"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Impact of purchase accounting</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B296"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297"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298"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299"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29A"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B29B"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29C"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29D"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B29E"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29F"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2A0"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2A1"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2A2"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B2A3"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2A4"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59E4B2A5"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2A6"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2A7"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2A8" w14:textId="77777777" w:rsidR="00D7560A" w:rsidRDefault="00D7560A">
            <w:pPr>
              <w:widowControl/>
              <w:jc w:val="left"/>
              <w:rPr>
                <w:rFonts w:ascii="Times New Roman" w:eastAsia="宋体" w:hAnsi="宋体" w:cs="宋体"/>
                <w:vanish/>
                <w:kern w:val="0"/>
                <w:sz w:val="24"/>
              </w:rPr>
            </w:pPr>
          </w:p>
        </w:tc>
      </w:tr>
      <w:tr w:rsidR="00D7560A" w14:paraId="59E4B2C4" w14:textId="77777777">
        <w:trPr>
          <w:jc w:val="center"/>
        </w:trPr>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59E4B2AA"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Non-GAAP product net revenue</w:t>
            </w: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59E4B2AB"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59E4B2AC"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20,810 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59E4B2AD"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2AE"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B2AF"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B2B0"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2B1"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59E4B2B2"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59E4B2B3"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18,896 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59E4B2B4"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2B5"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59E4B2B6"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59E4B2B7"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41,274 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59E4B2B8"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2B9"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B2BA"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B2BB"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2BC"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59E4B2BD"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59E4B2BE"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36,382 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59E4B2BF"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59E4B2C0"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2C1"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2C2"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2C3" w14:textId="77777777" w:rsidR="00D7560A" w:rsidRDefault="00D7560A">
            <w:pPr>
              <w:widowControl/>
              <w:jc w:val="left"/>
              <w:rPr>
                <w:rFonts w:ascii="Times New Roman" w:eastAsia="宋体" w:hAnsi="宋体" w:cs="宋体"/>
                <w:vanish/>
                <w:kern w:val="0"/>
                <w:sz w:val="24"/>
              </w:rPr>
            </w:pPr>
          </w:p>
        </w:tc>
      </w:tr>
      <w:tr w:rsidR="00D7560A" w14:paraId="59E4B2D5" w14:textId="77777777">
        <w:trPr>
          <w:trHeight w:val="300"/>
          <w:jc w:val="center"/>
        </w:trPr>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2C5" w14:textId="77777777" w:rsidR="00D7560A" w:rsidRDefault="00D7560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59E4B2C6"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2C7"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2C8"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2C9" w14:textId="77777777" w:rsidR="00D7560A" w:rsidRDefault="00D7560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59E4B2CA"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2CB" w14:textId="77777777" w:rsidR="00D7560A" w:rsidRDefault="00D7560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59E4B2CC"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2CD"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2CE"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2CF" w14:textId="77777777" w:rsidR="00D7560A" w:rsidRDefault="00D7560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59E4B2D0"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59E4B2D1"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2D2"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2D3"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2D4" w14:textId="77777777" w:rsidR="00D7560A" w:rsidRDefault="00D7560A">
            <w:pPr>
              <w:widowControl/>
              <w:jc w:val="left"/>
              <w:rPr>
                <w:rFonts w:ascii="Times New Roman" w:eastAsia="宋体" w:hAnsi="宋体" w:cs="宋体"/>
                <w:vanish/>
                <w:kern w:val="0"/>
                <w:sz w:val="24"/>
              </w:rPr>
            </w:pPr>
          </w:p>
        </w:tc>
      </w:tr>
      <w:tr w:rsidR="00D7560A" w14:paraId="59E4B2F0"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59E4B2D6"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Services net revenue</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9E4B2D7"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9E4B2D8"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5,615 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B2D9"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2DA"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B2DB"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B2DC"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2DD"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9E4B2DE"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9E4B2DF"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5,296 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B2E0"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2E1"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9E4B2E2"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9E4B2E3"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11,267 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B2E4"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2E5"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B2E6"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B2E7"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2E8"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9E4B2E9"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9E4B2EA"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10,399 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B2EB"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59E4B2EC"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2ED"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2EE"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2EF" w14:textId="77777777" w:rsidR="00D7560A" w:rsidRDefault="00D7560A">
            <w:pPr>
              <w:widowControl/>
              <w:jc w:val="left"/>
              <w:rPr>
                <w:rFonts w:ascii="Times New Roman" w:eastAsia="宋体" w:hAnsi="宋体" w:cs="宋体"/>
                <w:vanish/>
                <w:kern w:val="0"/>
                <w:sz w:val="24"/>
              </w:rPr>
            </w:pPr>
          </w:p>
        </w:tc>
      </w:tr>
      <w:tr w:rsidR="00D7560A" w14:paraId="59E4B301" w14:textId="77777777">
        <w:trPr>
          <w:jc w:val="center"/>
        </w:trPr>
        <w:tc>
          <w:tcPr>
            <w:tcW w:w="0" w:type="auto"/>
            <w:gridSpan w:val="3"/>
            <w:tcBorders>
              <w:top w:val="nil"/>
              <w:left w:val="nil"/>
              <w:bottom w:val="nil"/>
              <w:right w:val="nil"/>
            </w:tcBorders>
            <w:shd w:val="clear" w:color="auto" w:fill="CCEEFF"/>
            <w:tcMar>
              <w:top w:w="40" w:type="dxa"/>
              <w:left w:w="155" w:type="dxa"/>
              <w:bottom w:w="40" w:type="dxa"/>
              <w:right w:w="20" w:type="dxa"/>
            </w:tcMar>
            <w:vAlign w:val="bottom"/>
          </w:tcPr>
          <w:p w14:paraId="59E4B2F1"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Non-GAAP a</w:t>
            </w:r>
            <w:r>
              <w:rPr>
                <w:rFonts w:ascii="Times New Roman" w:eastAsia="宋体" w:hAnsi="Times New Roman" w:cs="Times New Roman"/>
                <w:color w:val="000000"/>
                <w:kern w:val="0"/>
                <w:sz w:val="20"/>
                <w:szCs w:val="20"/>
                <w:lang w:bidi="ar"/>
              </w:rPr>
              <w:t>djustments:</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2F2"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2F3"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2F4"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2F5"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2F6"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2F7"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2F8"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2F9"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2FA"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2FB"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2FC"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59E4B2FD"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2FE"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2FF"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300" w14:textId="77777777" w:rsidR="00D7560A" w:rsidRDefault="00D7560A">
            <w:pPr>
              <w:widowControl/>
              <w:jc w:val="left"/>
              <w:rPr>
                <w:rFonts w:ascii="Times New Roman" w:eastAsia="宋体" w:hAnsi="宋体" w:cs="宋体"/>
                <w:vanish/>
                <w:kern w:val="0"/>
                <w:sz w:val="24"/>
              </w:rPr>
            </w:pPr>
          </w:p>
        </w:tc>
      </w:tr>
      <w:tr w:rsidR="00D7560A" w14:paraId="59E4B316" w14:textId="77777777">
        <w:trPr>
          <w:jc w:val="center"/>
        </w:trPr>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59E4B302"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Impact of purchase accounting</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B303"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B304"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305"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306"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307"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B308"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B309"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30A"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B30B"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B30C"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30D"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30E"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30F"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B310"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B311"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59E4B312"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313"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314"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315" w14:textId="77777777" w:rsidR="00D7560A" w:rsidRDefault="00D7560A">
            <w:pPr>
              <w:widowControl/>
              <w:jc w:val="left"/>
              <w:rPr>
                <w:rFonts w:ascii="Times New Roman" w:eastAsia="宋体" w:hAnsi="宋体" w:cs="宋体"/>
                <w:vanish/>
                <w:kern w:val="0"/>
                <w:sz w:val="24"/>
              </w:rPr>
            </w:pPr>
          </w:p>
        </w:tc>
      </w:tr>
      <w:tr w:rsidR="00D7560A" w14:paraId="59E4B331" w14:textId="77777777">
        <w:trPr>
          <w:jc w:val="center"/>
        </w:trPr>
        <w:tc>
          <w:tcPr>
            <w:tcW w:w="0" w:type="auto"/>
            <w:gridSpan w:val="3"/>
            <w:tcBorders>
              <w:top w:val="nil"/>
              <w:left w:val="nil"/>
              <w:bottom w:val="nil"/>
              <w:right w:val="nil"/>
            </w:tcBorders>
            <w:shd w:val="clear" w:color="auto" w:fill="CCEEFF"/>
            <w:tcMar>
              <w:top w:w="40" w:type="dxa"/>
              <w:left w:w="380" w:type="dxa"/>
              <w:bottom w:w="40" w:type="dxa"/>
              <w:right w:w="20" w:type="dxa"/>
            </w:tcMar>
            <w:vAlign w:val="bottom"/>
          </w:tcPr>
          <w:p w14:paraId="59E4B317"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Non-GAAP services net revenue</w:t>
            </w: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59E4B318"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59E4B319"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5,615 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59E4B31A"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31B"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B31C"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31D"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31E"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59E4B31F"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59E4B320"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5,303 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59E4B321"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322"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59E4B323"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59E4B324"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11,267 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59E4B325"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326"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B327"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328"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329"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59E4B32A"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59E4B32B"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10,415 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59E4B32C"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59E4B32D"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32E"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32F"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330" w14:textId="77777777" w:rsidR="00D7560A" w:rsidRDefault="00D7560A">
            <w:pPr>
              <w:widowControl/>
              <w:jc w:val="left"/>
              <w:rPr>
                <w:rFonts w:ascii="Times New Roman" w:eastAsia="宋体" w:hAnsi="宋体" w:cs="宋体"/>
                <w:vanish/>
                <w:kern w:val="0"/>
                <w:sz w:val="24"/>
              </w:rPr>
            </w:pPr>
          </w:p>
        </w:tc>
      </w:tr>
      <w:tr w:rsidR="00D7560A" w14:paraId="59E4B342" w14:textId="77777777">
        <w:trPr>
          <w:trHeight w:val="300"/>
          <w:jc w:val="center"/>
        </w:trPr>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332" w14:textId="77777777" w:rsidR="00D7560A" w:rsidRDefault="00D7560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59E4B333"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334"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335"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336" w14:textId="77777777" w:rsidR="00D7560A" w:rsidRDefault="00D7560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59E4B337"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338" w14:textId="77777777" w:rsidR="00D7560A" w:rsidRDefault="00D7560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59E4B339"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33A"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33B"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33C" w14:textId="77777777" w:rsidR="00D7560A" w:rsidRDefault="00D7560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59E4B33D"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59E4B33E"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33F"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340"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341" w14:textId="77777777" w:rsidR="00D7560A" w:rsidRDefault="00D7560A">
            <w:pPr>
              <w:widowControl/>
              <w:jc w:val="left"/>
              <w:rPr>
                <w:rFonts w:ascii="Times New Roman" w:eastAsia="宋体" w:hAnsi="宋体" w:cs="宋体"/>
                <w:vanish/>
                <w:kern w:val="0"/>
                <w:sz w:val="24"/>
              </w:rPr>
            </w:pPr>
          </w:p>
        </w:tc>
      </w:tr>
      <w:tr w:rsidR="00D7560A" w14:paraId="59E4B35D"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9E4B343"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Net revenue</w:t>
            </w: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9E4B344"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9E4B345"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26,425 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346"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347"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B348"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349"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34A"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9E4B34B"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9E4B34C"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24,191 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34D"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34E"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9E4B34F"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9E4B350"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52,541 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351"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352"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B353"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354"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355"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9E4B356"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9E4B357"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46,781 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358"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59E4B359"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35A"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35B"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35C" w14:textId="77777777" w:rsidR="00D7560A" w:rsidRDefault="00D7560A">
            <w:pPr>
              <w:widowControl/>
              <w:jc w:val="left"/>
              <w:rPr>
                <w:rFonts w:ascii="Times New Roman" w:eastAsia="宋体" w:hAnsi="宋体" w:cs="宋体"/>
                <w:vanish/>
                <w:kern w:val="0"/>
                <w:sz w:val="24"/>
              </w:rPr>
            </w:pPr>
          </w:p>
        </w:tc>
      </w:tr>
      <w:tr w:rsidR="00D7560A" w14:paraId="59E4B36E" w14:textId="77777777">
        <w:trPr>
          <w:jc w:val="center"/>
        </w:trPr>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59E4B35E"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Non-GAAP a</w:t>
            </w:r>
            <w:r>
              <w:rPr>
                <w:rFonts w:ascii="Times New Roman" w:eastAsia="宋体" w:hAnsi="Times New Roman" w:cs="Times New Roman"/>
                <w:color w:val="000000"/>
                <w:kern w:val="0"/>
                <w:sz w:val="20"/>
                <w:szCs w:val="20"/>
                <w:lang w:bidi="ar"/>
              </w:rPr>
              <w:t>djustments:</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35F"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360"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361"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362"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363"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364"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365"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366"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367"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368"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369"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59E4B36A"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36B"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36C"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36D" w14:textId="77777777" w:rsidR="00D7560A" w:rsidRDefault="00D7560A">
            <w:pPr>
              <w:widowControl/>
              <w:jc w:val="left"/>
              <w:rPr>
                <w:rFonts w:ascii="Times New Roman" w:eastAsia="宋体" w:hAnsi="宋体" w:cs="宋体"/>
                <w:vanish/>
                <w:kern w:val="0"/>
                <w:sz w:val="24"/>
              </w:rPr>
            </w:pPr>
          </w:p>
        </w:tc>
      </w:tr>
      <w:tr w:rsidR="00D7560A" w14:paraId="59E4B383" w14:textId="77777777">
        <w:trPr>
          <w:jc w:val="center"/>
        </w:trPr>
        <w:tc>
          <w:tcPr>
            <w:tcW w:w="0" w:type="auto"/>
            <w:gridSpan w:val="3"/>
            <w:tcBorders>
              <w:top w:val="nil"/>
              <w:left w:val="nil"/>
              <w:bottom w:val="nil"/>
              <w:right w:val="nil"/>
            </w:tcBorders>
            <w:shd w:val="clear" w:color="auto" w:fill="CCEEFF"/>
            <w:tcMar>
              <w:top w:w="40" w:type="dxa"/>
              <w:left w:w="245" w:type="dxa"/>
              <w:bottom w:w="40" w:type="dxa"/>
              <w:right w:w="20" w:type="dxa"/>
            </w:tcMar>
            <w:vAlign w:val="bottom"/>
          </w:tcPr>
          <w:p w14:paraId="59E4B36F"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Impact of purchase accounting</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B370"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371"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372"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373"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374"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B375"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376"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377"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B378"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379"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37A"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37B"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37C"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B37D"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37E"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59E4B37F"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380"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381"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382" w14:textId="77777777" w:rsidR="00D7560A" w:rsidRDefault="00D7560A">
            <w:pPr>
              <w:widowControl/>
              <w:jc w:val="left"/>
              <w:rPr>
                <w:rFonts w:ascii="Times New Roman" w:eastAsia="宋体" w:hAnsi="宋体" w:cs="宋体"/>
                <w:vanish/>
                <w:kern w:val="0"/>
                <w:sz w:val="24"/>
              </w:rPr>
            </w:pPr>
          </w:p>
        </w:tc>
      </w:tr>
      <w:tr w:rsidR="00D7560A" w14:paraId="59E4B39E" w14:textId="77777777">
        <w:trPr>
          <w:jc w:val="center"/>
        </w:trPr>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59E4B384"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Non-GAAP net revenue</w:t>
            </w: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59E4B385"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59E4B386"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26,425 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59E4B387"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388"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B389"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B38A"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38B"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59E4B38C"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59E4B38D"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24,199 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59E4B38E"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38F"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59E4B390"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59E4B391"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52,541 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59E4B392"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393"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B394"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B395"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396"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59E4B397"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59E4B398"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46,797 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59E4B399"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59E4B39A"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39B"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39C"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39D" w14:textId="77777777" w:rsidR="00D7560A" w:rsidRDefault="00D7560A">
            <w:pPr>
              <w:widowControl/>
              <w:jc w:val="left"/>
              <w:rPr>
                <w:rFonts w:ascii="Times New Roman" w:eastAsia="宋体" w:hAnsi="宋体" w:cs="宋体"/>
                <w:vanish/>
                <w:kern w:val="0"/>
                <w:sz w:val="24"/>
              </w:rPr>
            </w:pPr>
          </w:p>
        </w:tc>
      </w:tr>
      <w:tr w:rsidR="00D7560A" w14:paraId="59E4B3AF" w14:textId="77777777">
        <w:trPr>
          <w:trHeight w:val="300"/>
          <w:jc w:val="center"/>
        </w:trPr>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39F" w14:textId="77777777" w:rsidR="00D7560A" w:rsidRDefault="00D7560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59E4B3A0"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3A1"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3A2"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3A3" w14:textId="77777777" w:rsidR="00D7560A" w:rsidRDefault="00D7560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59E4B3A4"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3A5" w14:textId="77777777" w:rsidR="00D7560A" w:rsidRDefault="00D7560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59E4B3A6"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3A7"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3A8"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3A9" w14:textId="77777777" w:rsidR="00D7560A" w:rsidRDefault="00D7560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59E4B3AA"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59E4B3AB"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3AC"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3AD"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3AE" w14:textId="77777777" w:rsidR="00D7560A" w:rsidRDefault="00D7560A">
            <w:pPr>
              <w:widowControl/>
              <w:jc w:val="left"/>
              <w:rPr>
                <w:rFonts w:ascii="Times New Roman" w:eastAsia="宋体" w:hAnsi="宋体" w:cs="宋体"/>
                <w:vanish/>
                <w:kern w:val="0"/>
                <w:sz w:val="24"/>
              </w:rPr>
            </w:pPr>
          </w:p>
        </w:tc>
      </w:tr>
      <w:tr w:rsidR="00D7560A" w14:paraId="59E4B3CA"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59E4B3B0"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Product gross m</w:t>
            </w:r>
            <w:r>
              <w:rPr>
                <w:rFonts w:ascii="Times New Roman" w:eastAsia="宋体" w:hAnsi="Times New Roman" w:cs="Times New Roman"/>
                <w:color w:val="000000"/>
                <w:kern w:val="0"/>
                <w:sz w:val="20"/>
                <w:szCs w:val="20"/>
                <w:lang w:bidi="ar"/>
              </w:rPr>
              <w:t>argin</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9E4B3B1"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9E4B3B2"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3,139 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B3B3"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3B4"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B3B5"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B3B6"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3B7"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9E4B3B8"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9E4B3B9"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3,203 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B3BA"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3BB"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9E4B3BC"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9E4B3BD"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6,594 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B3BE"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3BF"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B3C0"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B3C1"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3C2"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9E4B3C3"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9E4B3C4"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6,256 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B3C5"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59E4B3C6"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3C7"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3C8"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3C9" w14:textId="77777777" w:rsidR="00D7560A" w:rsidRDefault="00D7560A">
            <w:pPr>
              <w:widowControl/>
              <w:jc w:val="left"/>
              <w:rPr>
                <w:rFonts w:ascii="Times New Roman" w:eastAsia="宋体" w:hAnsi="宋体" w:cs="宋体"/>
                <w:vanish/>
                <w:kern w:val="0"/>
                <w:sz w:val="24"/>
              </w:rPr>
            </w:pPr>
          </w:p>
        </w:tc>
      </w:tr>
      <w:tr w:rsidR="00D7560A" w14:paraId="59E4B3DB" w14:textId="77777777">
        <w:trPr>
          <w:jc w:val="center"/>
        </w:trPr>
        <w:tc>
          <w:tcPr>
            <w:tcW w:w="0" w:type="auto"/>
            <w:gridSpan w:val="3"/>
            <w:tcBorders>
              <w:top w:val="nil"/>
              <w:left w:val="nil"/>
              <w:bottom w:val="nil"/>
              <w:right w:val="nil"/>
            </w:tcBorders>
            <w:shd w:val="clear" w:color="auto" w:fill="CCEEFF"/>
            <w:tcMar>
              <w:top w:w="40" w:type="dxa"/>
              <w:left w:w="155" w:type="dxa"/>
              <w:bottom w:w="40" w:type="dxa"/>
              <w:right w:w="20" w:type="dxa"/>
            </w:tcMar>
            <w:vAlign w:val="bottom"/>
          </w:tcPr>
          <w:p w14:paraId="59E4B3CB"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Non-GAAP a</w:t>
            </w:r>
            <w:r>
              <w:rPr>
                <w:rFonts w:ascii="Times New Roman" w:eastAsia="宋体" w:hAnsi="Times New Roman" w:cs="Times New Roman"/>
                <w:color w:val="000000"/>
                <w:kern w:val="0"/>
                <w:sz w:val="20"/>
                <w:szCs w:val="20"/>
                <w:lang w:bidi="ar"/>
              </w:rPr>
              <w:t>djustments:</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3CC"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3CD"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3CE"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3CF"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3D0"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3D1"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3D2"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3D3"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3D4"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3D5"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3D6"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59E4B3D7"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3D8"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3D9"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3DA" w14:textId="77777777" w:rsidR="00D7560A" w:rsidRDefault="00D7560A">
            <w:pPr>
              <w:widowControl/>
              <w:jc w:val="left"/>
              <w:rPr>
                <w:rFonts w:ascii="Times New Roman" w:eastAsia="宋体" w:hAnsi="宋体" w:cs="宋体"/>
                <w:vanish/>
                <w:kern w:val="0"/>
                <w:sz w:val="24"/>
              </w:rPr>
            </w:pPr>
          </w:p>
        </w:tc>
      </w:tr>
      <w:tr w:rsidR="00D7560A" w14:paraId="59E4B3F0" w14:textId="77777777">
        <w:trPr>
          <w:jc w:val="center"/>
        </w:trPr>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59E4B3DC"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Amortization of intangibles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B3DD"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105 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B3DE"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3DF"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3E0"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3E1"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B3E2"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149 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B3E3"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3E4"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B3E5"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209 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B3E6"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3E7"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3E8"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3E9"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B3EA"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300 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B3EB"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59E4B3EC"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3ED"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3EE"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3EF" w14:textId="77777777" w:rsidR="00D7560A" w:rsidRDefault="00D7560A">
            <w:pPr>
              <w:widowControl/>
              <w:jc w:val="left"/>
              <w:rPr>
                <w:rFonts w:ascii="Times New Roman" w:eastAsia="宋体" w:hAnsi="宋体" w:cs="宋体"/>
                <w:vanish/>
                <w:kern w:val="0"/>
                <w:sz w:val="24"/>
              </w:rPr>
            </w:pPr>
          </w:p>
        </w:tc>
      </w:tr>
      <w:tr w:rsidR="00D7560A" w14:paraId="59E4B405" w14:textId="77777777">
        <w:trPr>
          <w:jc w:val="center"/>
        </w:trPr>
        <w:tc>
          <w:tcPr>
            <w:tcW w:w="0" w:type="auto"/>
            <w:gridSpan w:val="3"/>
            <w:tcBorders>
              <w:top w:val="nil"/>
              <w:left w:val="nil"/>
              <w:bottom w:val="nil"/>
              <w:right w:val="nil"/>
            </w:tcBorders>
            <w:shd w:val="clear" w:color="auto" w:fill="CCEEFF"/>
            <w:tcMar>
              <w:top w:w="40" w:type="dxa"/>
              <w:left w:w="245" w:type="dxa"/>
              <w:bottom w:w="40" w:type="dxa"/>
              <w:right w:w="20" w:type="dxa"/>
            </w:tcMar>
            <w:vAlign w:val="bottom"/>
          </w:tcPr>
          <w:p w14:paraId="59E4B3F1"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Impact of purchase accounting</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B3F2"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3F3"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3F4"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3F5"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3F6"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B3F7"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3F8"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3F9"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B3FA"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3FB"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3FC"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3FD"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3FE"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B3FF"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400"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59E4B401"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402"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403"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404" w14:textId="77777777" w:rsidR="00D7560A" w:rsidRDefault="00D7560A">
            <w:pPr>
              <w:widowControl/>
              <w:jc w:val="left"/>
              <w:rPr>
                <w:rFonts w:ascii="Times New Roman" w:eastAsia="宋体" w:hAnsi="宋体" w:cs="宋体"/>
                <w:vanish/>
                <w:kern w:val="0"/>
                <w:sz w:val="24"/>
              </w:rPr>
            </w:pPr>
          </w:p>
        </w:tc>
      </w:tr>
      <w:tr w:rsidR="00D7560A" w14:paraId="59E4B416" w14:textId="77777777">
        <w:trPr>
          <w:jc w:val="center"/>
          <w:hidden/>
        </w:trPr>
        <w:tc>
          <w:tcPr>
            <w:tcW w:w="0" w:type="auto"/>
            <w:gridSpan w:val="3"/>
            <w:tcBorders>
              <w:top w:val="nil"/>
              <w:left w:val="nil"/>
              <w:bottom w:val="nil"/>
              <w:right w:val="nil"/>
            </w:tcBorders>
            <w:shd w:val="clear" w:color="auto" w:fill="auto"/>
            <w:vAlign w:val="bottom"/>
          </w:tcPr>
          <w:p w14:paraId="59E4B406"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407"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408"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409"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40A"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40B"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40C"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40D"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40E"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40F"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410"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411"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412"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413"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414"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415" w14:textId="77777777" w:rsidR="00D7560A" w:rsidRDefault="00D7560A">
            <w:pPr>
              <w:widowControl/>
              <w:jc w:val="left"/>
              <w:rPr>
                <w:rFonts w:ascii="Times New Roman" w:eastAsia="宋体" w:hAnsi="宋体" w:cs="宋体"/>
                <w:vanish/>
                <w:kern w:val="0"/>
                <w:sz w:val="24"/>
              </w:rPr>
            </w:pPr>
          </w:p>
        </w:tc>
      </w:tr>
      <w:tr w:rsidR="00D7560A" w14:paraId="59E4B42B" w14:textId="77777777">
        <w:trPr>
          <w:jc w:val="center"/>
        </w:trPr>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59E4B417"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Stock-based compensation expense</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B418"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B419"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41A"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41B"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41C"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B41D"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B41E"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41F"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B420"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B421"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422"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423"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424"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B425"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B426"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59E4B427"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428"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429"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42A" w14:textId="77777777" w:rsidR="00D7560A" w:rsidRDefault="00D7560A">
            <w:pPr>
              <w:widowControl/>
              <w:jc w:val="left"/>
              <w:rPr>
                <w:rFonts w:ascii="Times New Roman" w:eastAsia="宋体" w:hAnsi="宋体" w:cs="宋体"/>
                <w:vanish/>
                <w:kern w:val="0"/>
                <w:sz w:val="24"/>
              </w:rPr>
            </w:pPr>
          </w:p>
        </w:tc>
      </w:tr>
      <w:tr w:rsidR="00D7560A" w14:paraId="59E4B440" w14:textId="77777777">
        <w:trPr>
          <w:jc w:val="center"/>
        </w:trPr>
        <w:tc>
          <w:tcPr>
            <w:tcW w:w="0" w:type="auto"/>
            <w:gridSpan w:val="3"/>
            <w:tcBorders>
              <w:top w:val="nil"/>
              <w:left w:val="nil"/>
              <w:bottom w:val="nil"/>
              <w:right w:val="nil"/>
            </w:tcBorders>
            <w:shd w:val="clear" w:color="auto" w:fill="CCEEFF"/>
            <w:tcMar>
              <w:top w:w="40" w:type="dxa"/>
              <w:left w:w="245" w:type="dxa"/>
              <w:bottom w:w="40" w:type="dxa"/>
              <w:right w:w="20" w:type="dxa"/>
            </w:tcMar>
            <w:vAlign w:val="bottom"/>
          </w:tcPr>
          <w:p w14:paraId="59E4B42C"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Other corporate expenses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B42D"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42E"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42F"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430"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431"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B432"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433"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434"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B435"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436"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437"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438"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439"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B43A"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43B"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59E4B43C"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43D"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43E"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43F" w14:textId="77777777" w:rsidR="00D7560A" w:rsidRDefault="00D7560A">
            <w:pPr>
              <w:widowControl/>
              <w:jc w:val="left"/>
              <w:rPr>
                <w:rFonts w:ascii="Times New Roman" w:eastAsia="宋体" w:hAnsi="宋体" w:cs="宋体"/>
                <w:vanish/>
                <w:kern w:val="0"/>
                <w:sz w:val="24"/>
              </w:rPr>
            </w:pPr>
          </w:p>
        </w:tc>
      </w:tr>
      <w:tr w:rsidR="00D7560A" w14:paraId="59E4B45B" w14:textId="77777777">
        <w:trPr>
          <w:jc w:val="center"/>
        </w:trPr>
        <w:tc>
          <w:tcPr>
            <w:tcW w:w="0" w:type="auto"/>
            <w:gridSpan w:val="3"/>
            <w:tcBorders>
              <w:top w:val="nil"/>
              <w:left w:val="nil"/>
              <w:bottom w:val="nil"/>
              <w:right w:val="nil"/>
            </w:tcBorders>
            <w:shd w:val="clear" w:color="auto" w:fill="FFFFFF"/>
            <w:tcMar>
              <w:top w:w="40" w:type="dxa"/>
              <w:left w:w="515" w:type="dxa"/>
              <w:bottom w:w="40" w:type="dxa"/>
              <w:right w:w="20" w:type="dxa"/>
            </w:tcMar>
            <w:vAlign w:val="bottom"/>
          </w:tcPr>
          <w:p w14:paraId="59E4B441"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Non-GAAP product gross margin </w:t>
            </w: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59E4B442"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59E4B443"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3,270 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59E4B444"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445"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B446"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B447"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448"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59E4B449"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59E4B44A"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3,366 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59E4B44B"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44C"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59E4B44D"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59E4B44E"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6,847 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59E4B44F"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450"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B451"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B452"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453"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59E4B454"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59E4B455"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6,582 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59E4B456"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59E4B457"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458"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459"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45A" w14:textId="77777777" w:rsidR="00D7560A" w:rsidRDefault="00D7560A">
            <w:pPr>
              <w:widowControl/>
              <w:jc w:val="left"/>
              <w:rPr>
                <w:rFonts w:ascii="Times New Roman" w:eastAsia="宋体" w:hAnsi="宋体" w:cs="宋体"/>
                <w:vanish/>
                <w:kern w:val="0"/>
                <w:sz w:val="24"/>
              </w:rPr>
            </w:pPr>
          </w:p>
        </w:tc>
      </w:tr>
      <w:tr w:rsidR="00D7560A" w14:paraId="59E4B46C" w14:textId="77777777">
        <w:trPr>
          <w:trHeight w:val="300"/>
          <w:jc w:val="center"/>
        </w:trPr>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45C" w14:textId="77777777" w:rsidR="00D7560A" w:rsidRDefault="00D7560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59E4B45D"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45E"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45F"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460" w14:textId="77777777" w:rsidR="00D7560A" w:rsidRDefault="00D7560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59E4B461"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462" w14:textId="77777777" w:rsidR="00D7560A" w:rsidRDefault="00D7560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59E4B463"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464"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465"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466" w14:textId="77777777" w:rsidR="00D7560A" w:rsidRDefault="00D7560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59E4B467"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59E4B468"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469"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46A"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46B" w14:textId="77777777" w:rsidR="00D7560A" w:rsidRDefault="00D7560A">
            <w:pPr>
              <w:widowControl/>
              <w:jc w:val="left"/>
              <w:rPr>
                <w:rFonts w:ascii="Times New Roman" w:eastAsia="宋体" w:hAnsi="宋体" w:cs="宋体"/>
                <w:vanish/>
                <w:kern w:val="0"/>
                <w:sz w:val="24"/>
              </w:rPr>
            </w:pPr>
          </w:p>
        </w:tc>
      </w:tr>
      <w:tr w:rsidR="00D7560A" w14:paraId="59E4B487"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59E4B46D"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Services gross </w:t>
            </w:r>
            <w:r>
              <w:rPr>
                <w:rFonts w:ascii="Times New Roman" w:eastAsia="宋体" w:hAnsi="Times New Roman" w:cs="Times New Roman"/>
                <w:color w:val="000000"/>
                <w:kern w:val="0"/>
                <w:sz w:val="20"/>
                <w:szCs w:val="20"/>
                <w:lang w:bidi="ar"/>
              </w:rPr>
              <w:t xml:space="preserve">margin </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9E4B46E"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9E4B46F"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2,300 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B470"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471"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B472"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B473"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474"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9E4B475"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9E4B476"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2,272 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B477"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478"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9E4B479"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9E4B47A"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4,629 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B47B"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47C"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B47D"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B47E"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47F"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9E4B480"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9E4B481"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4,483 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B482"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59E4B483"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484"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485"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486" w14:textId="77777777" w:rsidR="00D7560A" w:rsidRDefault="00D7560A">
            <w:pPr>
              <w:widowControl/>
              <w:jc w:val="left"/>
              <w:rPr>
                <w:rFonts w:ascii="Times New Roman" w:eastAsia="宋体" w:hAnsi="宋体" w:cs="宋体"/>
                <w:vanish/>
                <w:kern w:val="0"/>
                <w:sz w:val="24"/>
              </w:rPr>
            </w:pPr>
          </w:p>
        </w:tc>
      </w:tr>
      <w:tr w:rsidR="00D7560A" w14:paraId="59E4B498" w14:textId="77777777">
        <w:trPr>
          <w:jc w:val="center"/>
        </w:trPr>
        <w:tc>
          <w:tcPr>
            <w:tcW w:w="0" w:type="auto"/>
            <w:gridSpan w:val="3"/>
            <w:tcBorders>
              <w:top w:val="nil"/>
              <w:left w:val="nil"/>
              <w:bottom w:val="nil"/>
              <w:right w:val="nil"/>
            </w:tcBorders>
            <w:shd w:val="clear" w:color="auto" w:fill="CCEEFF"/>
            <w:tcMar>
              <w:top w:w="40" w:type="dxa"/>
              <w:left w:w="155" w:type="dxa"/>
              <w:bottom w:w="40" w:type="dxa"/>
              <w:right w:w="20" w:type="dxa"/>
            </w:tcMar>
            <w:vAlign w:val="bottom"/>
          </w:tcPr>
          <w:p w14:paraId="59E4B488"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Non-GAAP a</w:t>
            </w:r>
            <w:r>
              <w:rPr>
                <w:rFonts w:ascii="Times New Roman" w:eastAsia="宋体" w:hAnsi="Times New Roman" w:cs="Times New Roman"/>
                <w:color w:val="000000"/>
                <w:kern w:val="0"/>
                <w:sz w:val="20"/>
                <w:szCs w:val="20"/>
                <w:lang w:bidi="ar"/>
              </w:rPr>
              <w:t>djustments:</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489"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48A"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48B"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48C"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48D"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48E"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48F"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490"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491"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492"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493"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59E4B494"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495"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496"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497" w14:textId="77777777" w:rsidR="00D7560A" w:rsidRDefault="00D7560A">
            <w:pPr>
              <w:widowControl/>
              <w:jc w:val="left"/>
              <w:rPr>
                <w:rFonts w:ascii="Times New Roman" w:eastAsia="宋体" w:hAnsi="宋体" w:cs="宋体"/>
                <w:vanish/>
                <w:kern w:val="0"/>
                <w:sz w:val="24"/>
              </w:rPr>
            </w:pPr>
          </w:p>
        </w:tc>
      </w:tr>
      <w:tr w:rsidR="00D7560A" w14:paraId="59E4B4AD" w14:textId="77777777">
        <w:trPr>
          <w:jc w:val="center"/>
        </w:trPr>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59E4B499"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Amortization of intangibles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B49A"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B49B"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49C"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49D"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49E"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B49F"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B4A0"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4A1"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B4A2"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B4A3"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4A4"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4A5"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4A6"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B4A7"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B4A8"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59E4B4A9"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4AA"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4AB"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4AC" w14:textId="77777777" w:rsidR="00D7560A" w:rsidRDefault="00D7560A">
            <w:pPr>
              <w:widowControl/>
              <w:jc w:val="left"/>
              <w:rPr>
                <w:rFonts w:ascii="Times New Roman" w:eastAsia="宋体" w:hAnsi="宋体" w:cs="宋体"/>
                <w:vanish/>
                <w:kern w:val="0"/>
                <w:sz w:val="24"/>
              </w:rPr>
            </w:pPr>
          </w:p>
        </w:tc>
      </w:tr>
      <w:tr w:rsidR="00D7560A" w14:paraId="59E4B4C2" w14:textId="77777777">
        <w:trPr>
          <w:jc w:val="center"/>
        </w:trPr>
        <w:tc>
          <w:tcPr>
            <w:tcW w:w="0" w:type="auto"/>
            <w:gridSpan w:val="3"/>
            <w:tcBorders>
              <w:top w:val="nil"/>
              <w:left w:val="nil"/>
              <w:bottom w:val="nil"/>
              <w:right w:val="nil"/>
            </w:tcBorders>
            <w:shd w:val="clear" w:color="auto" w:fill="CCEEFF"/>
            <w:tcMar>
              <w:top w:w="40" w:type="dxa"/>
              <w:left w:w="245" w:type="dxa"/>
              <w:bottom w:w="40" w:type="dxa"/>
              <w:right w:w="20" w:type="dxa"/>
            </w:tcMar>
            <w:vAlign w:val="bottom"/>
          </w:tcPr>
          <w:p w14:paraId="59E4B4AE"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Impact of purchase accounting</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B4AF"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4B0"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4B1"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4B2"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4B3"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B4B4"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4B5"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4B6"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B4B7"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4B8"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4B9"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4BA"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4BB"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B4BC"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4BD"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59E4B4BE"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4BF"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4C0"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4C1" w14:textId="77777777" w:rsidR="00D7560A" w:rsidRDefault="00D7560A">
            <w:pPr>
              <w:widowControl/>
              <w:jc w:val="left"/>
              <w:rPr>
                <w:rFonts w:ascii="Times New Roman" w:eastAsia="宋体" w:hAnsi="宋体" w:cs="宋体"/>
                <w:vanish/>
                <w:kern w:val="0"/>
                <w:sz w:val="24"/>
              </w:rPr>
            </w:pPr>
          </w:p>
        </w:tc>
      </w:tr>
      <w:tr w:rsidR="00D7560A" w14:paraId="59E4B4D3" w14:textId="77777777">
        <w:trPr>
          <w:jc w:val="center"/>
          <w:hidden/>
        </w:trPr>
        <w:tc>
          <w:tcPr>
            <w:tcW w:w="0" w:type="auto"/>
            <w:gridSpan w:val="3"/>
            <w:tcBorders>
              <w:top w:val="nil"/>
              <w:left w:val="nil"/>
              <w:bottom w:val="nil"/>
              <w:right w:val="nil"/>
            </w:tcBorders>
            <w:shd w:val="clear" w:color="auto" w:fill="auto"/>
            <w:vAlign w:val="bottom"/>
          </w:tcPr>
          <w:p w14:paraId="59E4B4C3"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4C4"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4C5"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4C6"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4C7"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4C8"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4C9"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4CA"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4CB"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4CC"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4CD"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4CE"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4CF"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4D0"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4D1"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4D2" w14:textId="77777777" w:rsidR="00D7560A" w:rsidRDefault="00D7560A">
            <w:pPr>
              <w:widowControl/>
              <w:jc w:val="left"/>
              <w:rPr>
                <w:rFonts w:ascii="Times New Roman" w:eastAsia="宋体" w:hAnsi="宋体" w:cs="宋体"/>
                <w:vanish/>
                <w:kern w:val="0"/>
                <w:sz w:val="24"/>
              </w:rPr>
            </w:pPr>
          </w:p>
        </w:tc>
      </w:tr>
      <w:tr w:rsidR="00D7560A" w14:paraId="59E4B4E8" w14:textId="77777777">
        <w:trPr>
          <w:jc w:val="center"/>
        </w:trPr>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59E4B4D4"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Stock-based compensation expense</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B4D5"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B4D6"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4D7"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4D8"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4D9"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B4DA"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B4DB"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4DC"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B4DD"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B4DE"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4DF"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4E0"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4E1"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B4E2"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B4E3"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59E4B4E4"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4E5"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4E6"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4E7" w14:textId="77777777" w:rsidR="00D7560A" w:rsidRDefault="00D7560A">
            <w:pPr>
              <w:widowControl/>
              <w:jc w:val="left"/>
              <w:rPr>
                <w:rFonts w:ascii="Times New Roman" w:eastAsia="宋体" w:hAnsi="宋体" w:cs="宋体"/>
                <w:vanish/>
                <w:kern w:val="0"/>
                <w:sz w:val="24"/>
              </w:rPr>
            </w:pPr>
          </w:p>
        </w:tc>
      </w:tr>
      <w:tr w:rsidR="00D7560A" w14:paraId="59E4B4FD" w14:textId="77777777">
        <w:trPr>
          <w:jc w:val="center"/>
        </w:trPr>
        <w:tc>
          <w:tcPr>
            <w:tcW w:w="0" w:type="auto"/>
            <w:gridSpan w:val="3"/>
            <w:tcBorders>
              <w:top w:val="nil"/>
              <w:left w:val="nil"/>
              <w:bottom w:val="nil"/>
              <w:right w:val="nil"/>
            </w:tcBorders>
            <w:shd w:val="clear" w:color="auto" w:fill="CCEEFF"/>
            <w:tcMar>
              <w:top w:w="40" w:type="dxa"/>
              <w:left w:w="245" w:type="dxa"/>
              <w:bottom w:w="40" w:type="dxa"/>
              <w:right w:w="20" w:type="dxa"/>
            </w:tcMar>
            <w:vAlign w:val="bottom"/>
          </w:tcPr>
          <w:p w14:paraId="59E4B4E9"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Other corporate expenses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B4EA"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4EB"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4EC"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4ED"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4EE"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B4EF"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4F0"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4F1"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B4F2"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4F3"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4F4"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4F5"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4F6"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B4F7"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4F8"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59E4B4F9"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4FA"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4FB"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4FC" w14:textId="77777777" w:rsidR="00D7560A" w:rsidRDefault="00D7560A">
            <w:pPr>
              <w:widowControl/>
              <w:jc w:val="left"/>
              <w:rPr>
                <w:rFonts w:ascii="Times New Roman" w:eastAsia="宋体" w:hAnsi="宋体" w:cs="宋体"/>
                <w:vanish/>
                <w:kern w:val="0"/>
                <w:sz w:val="24"/>
              </w:rPr>
            </w:pPr>
          </w:p>
        </w:tc>
      </w:tr>
      <w:tr w:rsidR="00D7560A" w14:paraId="59E4B518" w14:textId="77777777">
        <w:trPr>
          <w:jc w:val="center"/>
        </w:trPr>
        <w:tc>
          <w:tcPr>
            <w:tcW w:w="0" w:type="auto"/>
            <w:gridSpan w:val="3"/>
            <w:tcBorders>
              <w:top w:val="nil"/>
              <w:left w:val="nil"/>
              <w:bottom w:val="nil"/>
              <w:right w:val="nil"/>
            </w:tcBorders>
            <w:shd w:val="clear" w:color="auto" w:fill="FFFFFF"/>
            <w:tcMar>
              <w:top w:w="40" w:type="dxa"/>
              <w:left w:w="515" w:type="dxa"/>
              <w:bottom w:w="40" w:type="dxa"/>
              <w:right w:w="20" w:type="dxa"/>
            </w:tcMar>
            <w:vAlign w:val="bottom"/>
          </w:tcPr>
          <w:p w14:paraId="59E4B4FE"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Non-GAAP services gross margin</w:t>
            </w: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59E4B4FF"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59E4B500"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2,380 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59E4B501"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502"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B503"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B504"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505"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59E4B506"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59E4B507"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2,307 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59E4B508"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509"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59E4B50A"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59E4B50B"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4,744 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59E4B50C"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50D"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B50E"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B50F"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510"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59E4B511"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59E4B512"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4,555 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59E4B513"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59E4B514"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515"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516"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517" w14:textId="77777777" w:rsidR="00D7560A" w:rsidRDefault="00D7560A">
            <w:pPr>
              <w:widowControl/>
              <w:jc w:val="left"/>
              <w:rPr>
                <w:rFonts w:ascii="Times New Roman" w:eastAsia="宋体" w:hAnsi="宋体" w:cs="宋体"/>
                <w:vanish/>
                <w:kern w:val="0"/>
                <w:sz w:val="24"/>
              </w:rPr>
            </w:pPr>
          </w:p>
        </w:tc>
      </w:tr>
    </w:tbl>
    <w:p w14:paraId="59E4B519"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B51A"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67</w:t>
      </w:r>
    </w:p>
    <w:p w14:paraId="59E4B51B"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B51C" w14:textId="77777777" w:rsidR="00D7560A" w:rsidRDefault="001E3CAB">
      <w:pPr>
        <w:widowControl/>
        <w:jc w:val="center"/>
      </w:pPr>
      <w:r>
        <w:rPr>
          <w:rFonts w:ascii="宋体" w:eastAsia="宋体" w:hAnsi="宋体" w:cs="宋体"/>
          <w:kern w:val="0"/>
          <w:sz w:val="24"/>
        </w:rPr>
        <w:pict w14:anchorId="59E4C80E">
          <v:rect id="_x0000_i1091" style="width:6in;height:1.5pt" o:hralign="center" o:hrstd="t" o:hr="t" fillcolor="#a0a0a0" stroked="f"/>
        </w:pict>
      </w:r>
    </w:p>
    <w:p w14:paraId="59E4B51D" w14:textId="77777777" w:rsidR="00D7560A" w:rsidRDefault="001E3CAB">
      <w:pPr>
        <w:widowControl/>
        <w:jc w:val="left"/>
        <w:rPr>
          <w:rFonts w:ascii="宋体" w:eastAsia="宋体" w:hAnsi="宋体" w:cs="宋体"/>
          <w:kern w:val="0"/>
          <w:sz w:val="24"/>
        </w:rPr>
      </w:pPr>
      <w:hyperlink w:anchor="if933dd1d5d004d2495dd7029e3ecad00_13" w:history="1">
        <w:r>
          <w:rPr>
            <w:rStyle w:val="a4"/>
            <w:rFonts w:ascii="Times New Roman" w:eastAsia="宋体" w:hAnsi="Times New Roman" w:cs="Times New Roman"/>
            <w:sz w:val="20"/>
            <w:szCs w:val="20"/>
          </w:rPr>
          <w:t>Table of Contents</w:t>
        </w:r>
      </w:hyperlink>
    </w:p>
    <w:tbl>
      <w:tblPr>
        <w:tblW w:w="5000" w:type="pct"/>
        <w:jc w:val="center"/>
        <w:tblCellMar>
          <w:top w:w="15" w:type="dxa"/>
          <w:left w:w="15" w:type="dxa"/>
          <w:bottom w:w="15" w:type="dxa"/>
          <w:right w:w="15" w:type="dxa"/>
        </w:tblCellMar>
        <w:tblLook w:val="04A0" w:firstRow="1" w:lastRow="0" w:firstColumn="1" w:lastColumn="0" w:noHBand="0" w:noVBand="1"/>
      </w:tblPr>
      <w:tblGrid>
        <w:gridCol w:w="55"/>
        <w:gridCol w:w="2329"/>
        <w:gridCol w:w="40"/>
        <w:gridCol w:w="120"/>
        <w:gridCol w:w="704"/>
        <w:gridCol w:w="36"/>
        <w:gridCol w:w="36"/>
        <w:gridCol w:w="36"/>
        <w:gridCol w:w="36"/>
        <w:gridCol w:w="94"/>
        <w:gridCol w:w="593"/>
        <w:gridCol w:w="187"/>
        <w:gridCol w:w="36"/>
        <w:gridCol w:w="36"/>
        <w:gridCol w:w="36"/>
        <w:gridCol w:w="120"/>
        <w:gridCol w:w="500"/>
        <w:gridCol w:w="36"/>
        <w:gridCol w:w="36"/>
        <w:gridCol w:w="36"/>
        <w:gridCol w:w="36"/>
        <w:gridCol w:w="120"/>
        <w:gridCol w:w="600"/>
        <w:gridCol w:w="36"/>
        <w:gridCol w:w="36"/>
        <w:gridCol w:w="36"/>
        <w:gridCol w:w="36"/>
        <w:gridCol w:w="94"/>
        <w:gridCol w:w="593"/>
        <w:gridCol w:w="187"/>
        <w:gridCol w:w="36"/>
        <w:gridCol w:w="36"/>
        <w:gridCol w:w="36"/>
        <w:gridCol w:w="120"/>
        <w:gridCol w:w="764"/>
        <w:gridCol w:w="36"/>
        <w:gridCol w:w="36"/>
        <w:gridCol w:w="36"/>
        <w:gridCol w:w="36"/>
        <w:gridCol w:w="36"/>
        <w:gridCol w:w="36"/>
        <w:gridCol w:w="36"/>
        <w:gridCol w:w="36"/>
        <w:gridCol w:w="36"/>
        <w:gridCol w:w="36"/>
        <w:gridCol w:w="36"/>
        <w:gridCol w:w="36"/>
        <w:gridCol w:w="36"/>
      </w:tblGrid>
      <w:tr w:rsidR="00D7560A" w14:paraId="59E4B546" w14:textId="77777777">
        <w:trPr>
          <w:jc w:val="center"/>
        </w:trPr>
        <w:tc>
          <w:tcPr>
            <w:tcW w:w="50" w:type="pct"/>
            <w:tcBorders>
              <w:top w:val="nil"/>
              <w:left w:val="nil"/>
              <w:bottom w:val="nil"/>
              <w:right w:val="nil"/>
            </w:tcBorders>
            <w:shd w:val="clear" w:color="auto" w:fill="auto"/>
            <w:vAlign w:val="bottom"/>
          </w:tcPr>
          <w:p w14:paraId="59E4B51E" w14:textId="77777777" w:rsidR="00D7560A" w:rsidRDefault="00D7560A">
            <w:pPr>
              <w:widowControl/>
              <w:jc w:val="left"/>
              <w:rPr>
                <w:rFonts w:ascii="Times New Roman" w:eastAsia="宋体" w:hAnsi="宋体" w:cs="宋体"/>
                <w:kern w:val="0"/>
                <w:sz w:val="24"/>
              </w:rPr>
            </w:pPr>
          </w:p>
        </w:tc>
        <w:tc>
          <w:tcPr>
            <w:tcW w:w="1621" w:type="pct"/>
            <w:tcBorders>
              <w:top w:val="nil"/>
              <w:left w:val="nil"/>
              <w:bottom w:val="nil"/>
              <w:right w:val="nil"/>
            </w:tcBorders>
            <w:shd w:val="clear" w:color="auto" w:fill="auto"/>
            <w:vAlign w:val="bottom"/>
          </w:tcPr>
          <w:p w14:paraId="59E4B51F"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B520"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B521" w14:textId="77777777" w:rsidR="00D7560A" w:rsidRDefault="00D7560A">
            <w:pPr>
              <w:widowControl/>
              <w:jc w:val="left"/>
              <w:rPr>
                <w:rFonts w:ascii="Times New Roman" w:eastAsia="宋体" w:hAnsi="宋体" w:cs="宋体"/>
                <w:kern w:val="0"/>
                <w:sz w:val="24"/>
              </w:rPr>
            </w:pPr>
          </w:p>
        </w:tc>
        <w:tc>
          <w:tcPr>
            <w:tcW w:w="527" w:type="pct"/>
            <w:tcBorders>
              <w:top w:val="nil"/>
              <w:left w:val="nil"/>
              <w:bottom w:val="nil"/>
              <w:right w:val="nil"/>
            </w:tcBorders>
            <w:shd w:val="clear" w:color="auto" w:fill="auto"/>
            <w:vAlign w:val="bottom"/>
          </w:tcPr>
          <w:p w14:paraId="59E4B522"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B523"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B524" w14:textId="77777777" w:rsidR="00D7560A" w:rsidRDefault="00D7560A">
            <w:pPr>
              <w:widowControl/>
              <w:jc w:val="left"/>
              <w:rPr>
                <w:rFonts w:ascii="Times New Roman" w:eastAsia="宋体" w:hAnsi="宋体" w:cs="宋体"/>
                <w:kern w:val="0"/>
                <w:sz w:val="24"/>
              </w:rPr>
            </w:pPr>
          </w:p>
        </w:tc>
        <w:tc>
          <w:tcPr>
            <w:tcW w:w="25" w:type="pct"/>
            <w:tcBorders>
              <w:top w:val="nil"/>
              <w:left w:val="nil"/>
              <w:bottom w:val="nil"/>
              <w:right w:val="nil"/>
            </w:tcBorders>
            <w:shd w:val="clear" w:color="auto" w:fill="auto"/>
            <w:vAlign w:val="bottom"/>
          </w:tcPr>
          <w:p w14:paraId="59E4B525"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B526"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B527" w14:textId="77777777" w:rsidR="00D7560A" w:rsidRDefault="00D7560A">
            <w:pPr>
              <w:widowControl/>
              <w:jc w:val="left"/>
              <w:rPr>
                <w:rFonts w:ascii="Times New Roman" w:eastAsia="宋体" w:hAnsi="宋体" w:cs="宋体"/>
                <w:kern w:val="0"/>
                <w:sz w:val="24"/>
              </w:rPr>
            </w:pPr>
          </w:p>
        </w:tc>
        <w:tc>
          <w:tcPr>
            <w:tcW w:w="319" w:type="pct"/>
            <w:tcBorders>
              <w:top w:val="nil"/>
              <w:left w:val="nil"/>
              <w:bottom w:val="nil"/>
              <w:right w:val="nil"/>
            </w:tcBorders>
            <w:shd w:val="clear" w:color="auto" w:fill="auto"/>
            <w:vAlign w:val="bottom"/>
          </w:tcPr>
          <w:p w14:paraId="59E4B528"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B529"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B52A" w14:textId="77777777" w:rsidR="00D7560A" w:rsidRDefault="00D7560A">
            <w:pPr>
              <w:widowControl/>
              <w:jc w:val="left"/>
              <w:rPr>
                <w:rFonts w:ascii="Times New Roman" w:eastAsia="宋体" w:hAnsi="宋体" w:cs="宋体"/>
                <w:kern w:val="0"/>
                <w:sz w:val="24"/>
              </w:rPr>
            </w:pPr>
          </w:p>
        </w:tc>
        <w:tc>
          <w:tcPr>
            <w:tcW w:w="25" w:type="pct"/>
            <w:tcBorders>
              <w:top w:val="nil"/>
              <w:left w:val="nil"/>
              <w:bottom w:val="nil"/>
              <w:right w:val="nil"/>
            </w:tcBorders>
            <w:shd w:val="clear" w:color="auto" w:fill="auto"/>
            <w:vAlign w:val="bottom"/>
          </w:tcPr>
          <w:p w14:paraId="59E4B52B"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B52C"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B52D" w14:textId="77777777" w:rsidR="00D7560A" w:rsidRDefault="00D7560A">
            <w:pPr>
              <w:widowControl/>
              <w:jc w:val="left"/>
              <w:rPr>
                <w:rFonts w:ascii="Times New Roman" w:eastAsia="宋体" w:hAnsi="宋体" w:cs="宋体"/>
                <w:kern w:val="0"/>
                <w:sz w:val="24"/>
              </w:rPr>
            </w:pPr>
          </w:p>
        </w:tc>
        <w:tc>
          <w:tcPr>
            <w:tcW w:w="527" w:type="pct"/>
            <w:tcBorders>
              <w:top w:val="nil"/>
              <w:left w:val="nil"/>
              <w:bottom w:val="nil"/>
              <w:right w:val="nil"/>
            </w:tcBorders>
            <w:shd w:val="clear" w:color="auto" w:fill="auto"/>
            <w:vAlign w:val="bottom"/>
          </w:tcPr>
          <w:p w14:paraId="59E4B52E"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B52F"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B530" w14:textId="77777777" w:rsidR="00D7560A" w:rsidRDefault="00D7560A">
            <w:pPr>
              <w:widowControl/>
              <w:jc w:val="left"/>
              <w:rPr>
                <w:rFonts w:ascii="Times New Roman" w:eastAsia="宋体" w:hAnsi="宋体" w:cs="宋体"/>
                <w:kern w:val="0"/>
                <w:sz w:val="24"/>
              </w:rPr>
            </w:pPr>
          </w:p>
        </w:tc>
        <w:tc>
          <w:tcPr>
            <w:tcW w:w="25" w:type="pct"/>
            <w:tcBorders>
              <w:top w:val="nil"/>
              <w:left w:val="nil"/>
              <w:bottom w:val="nil"/>
              <w:right w:val="nil"/>
            </w:tcBorders>
            <w:shd w:val="clear" w:color="auto" w:fill="auto"/>
            <w:vAlign w:val="bottom"/>
          </w:tcPr>
          <w:p w14:paraId="59E4B531"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B532"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B533" w14:textId="77777777" w:rsidR="00D7560A" w:rsidRDefault="00D7560A">
            <w:pPr>
              <w:widowControl/>
              <w:jc w:val="left"/>
              <w:rPr>
                <w:rFonts w:ascii="Times New Roman" w:eastAsia="宋体" w:hAnsi="宋体" w:cs="宋体"/>
                <w:kern w:val="0"/>
                <w:sz w:val="24"/>
              </w:rPr>
            </w:pPr>
          </w:p>
        </w:tc>
        <w:tc>
          <w:tcPr>
            <w:tcW w:w="527" w:type="pct"/>
            <w:tcBorders>
              <w:top w:val="nil"/>
              <w:left w:val="nil"/>
              <w:bottom w:val="nil"/>
              <w:right w:val="nil"/>
            </w:tcBorders>
            <w:shd w:val="clear" w:color="auto" w:fill="auto"/>
            <w:vAlign w:val="bottom"/>
          </w:tcPr>
          <w:p w14:paraId="59E4B534"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B535"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B536" w14:textId="77777777" w:rsidR="00D7560A" w:rsidRDefault="00D7560A">
            <w:pPr>
              <w:widowControl/>
              <w:jc w:val="left"/>
              <w:rPr>
                <w:rFonts w:ascii="Times New Roman" w:eastAsia="宋体" w:hAnsi="宋体" w:cs="宋体"/>
                <w:kern w:val="0"/>
                <w:sz w:val="24"/>
              </w:rPr>
            </w:pPr>
          </w:p>
        </w:tc>
        <w:tc>
          <w:tcPr>
            <w:tcW w:w="18" w:type="pct"/>
            <w:tcBorders>
              <w:top w:val="nil"/>
              <w:left w:val="nil"/>
              <w:bottom w:val="nil"/>
              <w:right w:val="nil"/>
            </w:tcBorders>
            <w:shd w:val="clear" w:color="auto" w:fill="auto"/>
            <w:vAlign w:val="bottom"/>
          </w:tcPr>
          <w:p w14:paraId="59E4B537"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B538"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B539" w14:textId="77777777" w:rsidR="00D7560A" w:rsidRDefault="00D7560A">
            <w:pPr>
              <w:widowControl/>
              <w:jc w:val="left"/>
              <w:rPr>
                <w:rFonts w:ascii="Times New Roman" w:eastAsia="宋体" w:hAnsi="宋体" w:cs="宋体"/>
                <w:kern w:val="0"/>
                <w:sz w:val="24"/>
              </w:rPr>
            </w:pPr>
          </w:p>
        </w:tc>
        <w:tc>
          <w:tcPr>
            <w:tcW w:w="319" w:type="pct"/>
            <w:tcBorders>
              <w:top w:val="nil"/>
              <w:left w:val="nil"/>
              <w:bottom w:val="nil"/>
              <w:right w:val="nil"/>
            </w:tcBorders>
            <w:shd w:val="clear" w:color="auto" w:fill="auto"/>
            <w:vAlign w:val="bottom"/>
          </w:tcPr>
          <w:p w14:paraId="59E4B53A"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B53B"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B53C" w14:textId="77777777" w:rsidR="00D7560A" w:rsidRDefault="00D7560A">
            <w:pPr>
              <w:widowControl/>
              <w:jc w:val="left"/>
              <w:rPr>
                <w:rFonts w:ascii="Times New Roman" w:eastAsia="宋体" w:hAnsi="宋体" w:cs="宋体"/>
                <w:kern w:val="0"/>
                <w:sz w:val="24"/>
              </w:rPr>
            </w:pPr>
          </w:p>
        </w:tc>
        <w:tc>
          <w:tcPr>
            <w:tcW w:w="18" w:type="pct"/>
            <w:tcBorders>
              <w:top w:val="nil"/>
              <w:left w:val="nil"/>
              <w:bottom w:val="nil"/>
              <w:right w:val="nil"/>
            </w:tcBorders>
            <w:shd w:val="clear" w:color="auto" w:fill="auto"/>
            <w:vAlign w:val="bottom"/>
          </w:tcPr>
          <w:p w14:paraId="59E4B53D"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B53E"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B53F" w14:textId="77777777" w:rsidR="00D7560A" w:rsidRDefault="00D7560A">
            <w:pPr>
              <w:widowControl/>
              <w:jc w:val="left"/>
              <w:rPr>
                <w:rFonts w:ascii="Times New Roman" w:eastAsia="宋体" w:hAnsi="宋体" w:cs="宋体"/>
                <w:kern w:val="0"/>
                <w:sz w:val="24"/>
              </w:rPr>
            </w:pPr>
          </w:p>
        </w:tc>
        <w:tc>
          <w:tcPr>
            <w:tcW w:w="607" w:type="pct"/>
            <w:tcBorders>
              <w:top w:val="nil"/>
              <w:left w:val="nil"/>
              <w:bottom w:val="nil"/>
              <w:right w:val="nil"/>
            </w:tcBorders>
            <w:shd w:val="clear" w:color="auto" w:fill="auto"/>
            <w:vAlign w:val="bottom"/>
          </w:tcPr>
          <w:p w14:paraId="59E4B540"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B541"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59E4B542"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543"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544"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545" w14:textId="77777777" w:rsidR="00D7560A" w:rsidRDefault="00D7560A">
            <w:pPr>
              <w:widowControl/>
              <w:jc w:val="left"/>
              <w:rPr>
                <w:rFonts w:ascii="Times New Roman" w:eastAsia="宋体" w:hAnsi="宋体" w:cs="宋体"/>
                <w:vanish/>
                <w:kern w:val="0"/>
                <w:sz w:val="24"/>
              </w:rPr>
            </w:pPr>
          </w:p>
        </w:tc>
      </w:tr>
      <w:tr w:rsidR="00D7560A" w14:paraId="59E4B557"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B547" w14:textId="77777777" w:rsidR="00D7560A" w:rsidRDefault="00D7560A">
            <w:pPr>
              <w:widowControl/>
              <w:jc w:val="left"/>
              <w:rPr>
                <w:rFonts w:ascii="Times New Roman" w:eastAsia="宋体" w:hAnsi="宋体" w:cs="宋体"/>
                <w:kern w:val="0"/>
                <w:sz w:val="24"/>
              </w:rPr>
            </w:pPr>
          </w:p>
        </w:tc>
        <w:tc>
          <w:tcPr>
            <w:tcW w:w="0" w:type="auto"/>
            <w:gridSpan w:val="15"/>
            <w:tcBorders>
              <w:top w:val="nil"/>
              <w:left w:val="nil"/>
              <w:bottom w:val="nil"/>
              <w:right w:val="nil"/>
            </w:tcBorders>
            <w:shd w:val="clear" w:color="auto" w:fill="auto"/>
            <w:tcMar>
              <w:top w:w="40" w:type="dxa"/>
              <w:left w:w="20" w:type="dxa"/>
              <w:bottom w:w="40" w:type="dxa"/>
              <w:right w:w="20" w:type="dxa"/>
            </w:tcMar>
            <w:vAlign w:val="bottom"/>
          </w:tcPr>
          <w:p w14:paraId="59E4B548"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Three Months Ended</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B549" w14:textId="77777777" w:rsidR="00D7560A" w:rsidRDefault="00D7560A">
            <w:pPr>
              <w:widowControl/>
              <w:jc w:val="left"/>
              <w:rPr>
                <w:rFonts w:ascii="Times New Roman" w:eastAsia="宋体" w:hAnsi="宋体" w:cs="宋体"/>
                <w:kern w:val="0"/>
                <w:sz w:val="24"/>
              </w:rPr>
            </w:pPr>
          </w:p>
        </w:tc>
        <w:tc>
          <w:tcPr>
            <w:tcW w:w="0" w:type="auto"/>
            <w:gridSpan w:val="15"/>
            <w:tcBorders>
              <w:top w:val="nil"/>
              <w:left w:val="nil"/>
              <w:bottom w:val="nil"/>
              <w:right w:val="nil"/>
            </w:tcBorders>
            <w:shd w:val="clear" w:color="auto" w:fill="auto"/>
            <w:tcMar>
              <w:top w:w="40" w:type="dxa"/>
              <w:left w:w="20" w:type="dxa"/>
              <w:bottom w:w="40" w:type="dxa"/>
              <w:right w:w="20" w:type="dxa"/>
            </w:tcMar>
            <w:vAlign w:val="bottom"/>
          </w:tcPr>
          <w:p w14:paraId="59E4B54A"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Six Months Ended</w:t>
            </w:r>
          </w:p>
        </w:tc>
        <w:tc>
          <w:tcPr>
            <w:tcW w:w="0" w:type="auto"/>
            <w:tcBorders>
              <w:top w:val="nil"/>
              <w:left w:val="nil"/>
              <w:bottom w:val="nil"/>
              <w:right w:val="nil"/>
            </w:tcBorders>
            <w:shd w:val="clear" w:color="auto" w:fill="auto"/>
            <w:vAlign w:val="bottom"/>
          </w:tcPr>
          <w:p w14:paraId="59E4B54B"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B54C"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B54D"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B54E"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B54F"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B550"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B551"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B552"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B553"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B554"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B555"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B556" w14:textId="77777777" w:rsidR="00D7560A" w:rsidRDefault="00D7560A">
            <w:pPr>
              <w:widowControl/>
              <w:jc w:val="left"/>
              <w:rPr>
                <w:rFonts w:ascii="Times New Roman" w:eastAsia="宋体" w:hAnsi="宋体" w:cs="宋体"/>
                <w:kern w:val="0"/>
                <w:sz w:val="24"/>
              </w:rPr>
            </w:pPr>
          </w:p>
        </w:tc>
      </w:tr>
      <w:tr w:rsidR="00D7560A" w14:paraId="59E4B568"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9E4B558"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59E4B559"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 xml:space="preserve">July </w:t>
            </w:r>
            <w:r>
              <w:rPr>
                <w:rFonts w:ascii="Times New Roman" w:eastAsia="宋体" w:hAnsi="Times New Roman" w:cs="Times New Roman"/>
                <w:b/>
                <w:bCs/>
                <w:color w:val="000000"/>
                <w:kern w:val="0"/>
                <w:sz w:val="20"/>
                <w:szCs w:val="20"/>
                <w:lang w:bidi="ar"/>
              </w:rPr>
              <w:t>29,</w:t>
            </w:r>
            <w:r>
              <w:rPr>
                <w:rFonts w:ascii="Times New Roman" w:eastAsia="宋体" w:hAnsi="Times New Roman" w:cs="Times New Roman"/>
                <w:b/>
                <w:bCs/>
                <w:color w:val="000000"/>
                <w:kern w:val="0"/>
                <w:sz w:val="20"/>
                <w:szCs w:val="20"/>
                <w:lang w:bidi="ar"/>
              </w:rPr>
              <w:br/>
              <w:t>2022</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59E4B55A"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59E4B55B"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 Change</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59E4B55C"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59E4B55D"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30,</w:t>
            </w:r>
            <w:r>
              <w:rPr>
                <w:rFonts w:ascii="Times New Roman" w:eastAsia="宋体" w:hAnsi="Times New Roman" w:cs="Times New Roman"/>
                <w:b/>
                <w:bCs/>
                <w:color w:val="000000"/>
                <w:kern w:val="0"/>
                <w:sz w:val="20"/>
                <w:szCs w:val="20"/>
                <w:lang w:bidi="ar"/>
              </w:rPr>
              <w:br/>
              <w:t>2021</w:t>
            </w: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59E4B55E"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59E4B55F"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29,</w:t>
            </w:r>
            <w:r>
              <w:rPr>
                <w:rFonts w:ascii="Times New Roman" w:eastAsia="宋体" w:hAnsi="Times New Roman" w:cs="Times New Roman"/>
                <w:b/>
                <w:bCs/>
                <w:color w:val="000000"/>
                <w:kern w:val="0"/>
                <w:sz w:val="20"/>
                <w:szCs w:val="20"/>
                <w:lang w:bidi="ar"/>
              </w:rPr>
              <w:br/>
              <w:t>2022</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59E4B560"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59E4B561"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 Change</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59E4B562"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59E4B563"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30,</w:t>
            </w:r>
            <w:r>
              <w:rPr>
                <w:rFonts w:ascii="Times New Roman" w:eastAsia="宋体" w:hAnsi="Times New Roman" w:cs="Times New Roman"/>
                <w:b/>
                <w:bCs/>
                <w:color w:val="000000"/>
                <w:kern w:val="0"/>
                <w:sz w:val="20"/>
                <w:szCs w:val="20"/>
                <w:lang w:bidi="ar"/>
              </w:rPr>
              <w:br/>
              <w:t>2021</w:t>
            </w:r>
          </w:p>
        </w:tc>
        <w:tc>
          <w:tcPr>
            <w:tcW w:w="0" w:type="auto"/>
            <w:gridSpan w:val="3"/>
            <w:tcBorders>
              <w:top w:val="nil"/>
              <w:left w:val="nil"/>
              <w:bottom w:val="nil"/>
              <w:right w:val="nil"/>
            </w:tcBorders>
            <w:shd w:val="clear" w:color="auto" w:fill="auto"/>
            <w:vAlign w:val="bottom"/>
          </w:tcPr>
          <w:p w14:paraId="59E4B564"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565"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566"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567" w14:textId="77777777" w:rsidR="00D7560A" w:rsidRDefault="00D7560A">
            <w:pPr>
              <w:widowControl/>
              <w:jc w:val="left"/>
              <w:rPr>
                <w:rFonts w:ascii="Times New Roman" w:eastAsia="宋体" w:hAnsi="宋体" w:cs="宋体"/>
                <w:vanish/>
                <w:kern w:val="0"/>
                <w:sz w:val="24"/>
              </w:rPr>
            </w:pPr>
          </w:p>
        </w:tc>
      </w:tr>
      <w:tr w:rsidR="00D7560A" w14:paraId="59E4B577"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B569" w14:textId="77777777" w:rsidR="00D7560A" w:rsidRDefault="00D7560A">
            <w:pPr>
              <w:widowControl/>
              <w:jc w:val="left"/>
              <w:rPr>
                <w:rFonts w:ascii="Times New Roman" w:eastAsia="宋体" w:hAnsi="宋体" w:cs="宋体"/>
                <w:kern w:val="0"/>
                <w:sz w:val="24"/>
              </w:rPr>
            </w:pPr>
          </w:p>
        </w:tc>
        <w:tc>
          <w:tcPr>
            <w:tcW w:w="0" w:type="auto"/>
            <w:gridSpan w:val="3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59E4B56A"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(in millions, except percentages)</w:t>
            </w:r>
          </w:p>
        </w:tc>
        <w:tc>
          <w:tcPr>
            <w:tcW w:w="0" w:type="auto"/>
            <w:tcBorders>
              <w:top w:val="nil"/>
              <w:left w:val="nil"/>
              <w:bottom w:val="nil"/>
              <w:right w:val="nil"/>
            </w:tcBorders>
            <w:shd w:val="clear" w:color="auto" w:fill="auto"/>
            <w:vAlign w:val="bottom"/>
          </w:tcPr>
          <w:p w14:paraId="59E4B56B"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B56C"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B56D"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B56E"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B56F"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B570"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B571"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B572"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B573"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B574"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B575"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B576" w14:textId="77777777" w:rsidR="00D7560A" w:rsidRDefault="00D7560A">
            <w:pPr>
              <w:widowControl/>
              <w:jc w:val="left"/>
              <w:rPr>
                <w:rFonts w:ascii="Times New Roman" w:eastAsia="宋体" w:hAnsi="宋体" w:cs="宋体"/>
                <w:kern w:val="0"/>
                <w:sz w:val="24"/>
              </w:rPr>
            </w:pPr>
          </w:p>
        </w:tc>
      </w:tr>
      <w:tr w:rsidR="00D7560A" w14:paraId="59E4B592"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9E4B578"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Gross margin</w:t>
            </w: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9E4B579"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9E4B57A"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5,439 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57B"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57C"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B57D"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57E"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57F"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9E4B580"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9E4B581"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5,475 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582"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583"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9E4B584"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9E4B585"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11,223 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586"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587"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B588"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589"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58A"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9E4B58B"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9E4B58C"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10,739 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58D"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59E4B58E"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58F"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590"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591" w14:textId="77777777" w:rsidR="00D7560A" w:rsidRDefault="00D7560A">
            <w:pPr>
              <w:widowControl/>
              <w:jc w:val="left"/>
              <w:rPr>
                <w:rFonts w:ascii="Times New Roman" w:eastAsia="宋体" w:hAnsi="宋体" w:cs="宋体"/>
                <w:vanish/>
                <w:kern w:val="0"/>
                <w:sz w:val="24"/>
              </w:rPr>
            </w:pPr>
          </w:p>
        </w:tc>
      </w:tr>
      <w:tr w:rsidR="00D7560A" w14:paraId="59E4B5A3" w14:textId="77777777">
        <w:trPr>
          <w:jc w:val="center"/>
        </w:trPr>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59E4B593"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Non-GAAP adju</w:t>
            </w:r>
            <w:r>
              <w:rPr>
                <w:rFonts w:ascii="Times New Roman" w:eastAsia="宋体" w:hAnsi="Times New Roman" w:cs="Times New Roman"/>
                <w:color w:val="000000"/>
                <w:kern w:val="0"/>
                <w:sz w:val="20"/>
                <w:szCs w:val="20"/>
                <w:lang w:bidi="ar"/>
              </w:rPr>
              <w:t>stments:</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594"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595"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596"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597"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598"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599"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59A"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59B"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59C"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59D"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59E"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59E4B59F"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5A0"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5A1"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5A2" w14:textId="77777777" w:rsidR="00D7560A" w:rsidRDefault="00D7560A">
            <w:pPr>
              <w:widowControl/>
              <w:jc w:val="left"/>
              <w:rPr>
                <w:rFonts w:ascii="Times New Roman" w:eastAsia="宋体" w:hAnsi="宋体" w:cs="宋体"/>
                <w:vanish/>
                <w:kern w:val="0"/>
                <w:sz w:val="24"/>
              </w:rPr>
            </w:pPr>
          </w:p>
        </w:tc>
      </w:tr>
      <w:tr w:rsidR="00D7560A" w14:paraId="59E4B5B8" w14:textId="77777777">
        <w:trPr>
          <w:jc w:val="center"/>
        </w:trPr>
        <w:tc>
          <w:tcPr>
            <w:tcW w:w="0" w:type="auto"/>
            <w:gridSpan w:val="3"/>
            <w:tcBorders>
              <w:top w:val="nil"/>
              <w:left w:val="nil"/>
              <w:bottom w:val="nil"/>
              <w:right w:val="nil"/>
            </w:tcBorders>
            <w:shd w:val="clear" w:color="auto" w:fill="CCEEFF"/>
            <w:tcMar>
              <w:top w:w="40" w:type="dxa"/>
              <w:left w:w="245" w:type="dxa"/>
              <w:bottom w:w="40" w:type="dxa"/>
              <w:right w:w="20" w:type="dxa"/>
            </w:tcMar>
            <w:vAlign w:val="bottom"/>
          </w:tcPr>
          <w:p w14:paraId="59E4B5A4"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Amortization of intangibles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B5A5"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105 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5A6"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5A7"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5A8"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5A9"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B5AA"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150 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5AB"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5AC"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B5AD"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209 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5AE"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5AF"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5B0"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5B1"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B5B2"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300 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5B3"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59E4B5B4"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5B5"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5B6"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5B7" w14:textId="77777777" w:rsidR="00D7560A" w:rsidRDefault="00D7560A">
            <w:pPr>
              <w:widowControl/>
              <w:jc w:val="left"/>
              <w:rPr>
                <w:rFonts w:ascii="Times New Roman" w:eastAsia="宋体" w:hAnsi="宋体" w:cs="宋体"/>
                <w:vanish/>
                <w:kern w:val="0"/>
                <w:sz w:val="24"/>
              </w:rPr>
            </w:pPr>
          </w:p>
        </w:tc>
      </w:tr>
      <w:tr w:rsidR="00D7560A" w14:paraId="59E4B5CD" w14:textId="77777777">
        <w:trPr>
          <w:jc w:val="center"/>
        </w:trPr>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59E4B5B9"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Impact of purchase accounting</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B5BA"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B5BB"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5BC"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5BD"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5BE"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B5BF"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B5C0"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5C1"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B5C2"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B5C3"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5C4"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5C5"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5C6"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B5C7"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B5C8"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59E4B5C9"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5CA"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5CB"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5CC" w14:textId="77777777" w:rsidR="00D7560A" w:rsidRDefault="00D7560A">
            <w:pPr>
              <w:widowControl/>
              <w:jc w:val="left"/>
              <w:rPr>
                <w:rFonts w:ascii="Times New Roman" w:eastAsia="宋体" w:hAnsi="宋体" w:cs="宋体"/>
                <w:vanish/>
                <w:kern w:val="0"/>
                <w:sz w:val="24"/>
              </w:rPr>
            </w:pPr>
          </w:p>
        </w:tc>
      </w:tr>
      <w:tr w:rsidR="00D7560A" w14:paraId="59E4B5DE" w14:textId="77777777">
        <w:trPr>
          <w:jc w:val="center"/>
          <w:hidden/>
        </w:trPr>
        <w:tc>
          <w:tcPr>
            <w:tcW w:w="0" w:type="auto"/>
            <w:gridSpan w:val="3"/>
            <w:tcBorders>
              <w:top w:val="nil"/>
              <w:left w:val="nil"/>
              <w:bottom w:val="nil"/>
              <w:right w:val="nil"/>
            </w:tcBorders>
            <w:shd w:val="clear" w:color="auto" w:fill="auto"/>
            <w:vAlign w:val="bottom"/>
          </w:tcPr>
          <w:p w14:paraId="59E4B5CE"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5CF"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5D0"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5D1"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5D2"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5D3"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5D4"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5D5"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5D6"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5D7"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5D8"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5D9"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5DA"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5DB"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5DC"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5DD" w14:textId="77777777" w:rsidR="00D7560A" w:rsidRDefault="00D7560A">
            <w:pPr>
              <w:widowControl/>
              <w:jc w:val="left"/>
              <w:rPr>
                <w:rFonts w:ascii="Times New Roman" w:eastAsia="宋体" w:hAnsi="宋体" w:cs="宋体"/>
                <w:vanish/>
                <w:kern w:val="0"/>
                <w:sz w:val="24"/>
              </w:rPr>
            </w:pPr>
          </w:p>
        </w:tc>
      </w:tr>
      <w:tr w:rsidR="00D7560A" w14:paraId="59E4B5F3" w14:textId="77777777">
        <w:trPr>
          <w:jc w:val="center"/>
        </w:trPr>
        <w:tc>
          <w:tcPr>
            <w:tcW w:w="0" w:type="auto"/>
            <w:gridSpan w:val="3"/>
            <w:tcBorders>
              <w:top w:val="nil"/>
              <w:left w:val="nil"/>
              <w:bottom w:val="nil"/>
              <w:right w:val="nil"/>
            </w:tcBorders>
            <w:shd w:val="clear" w:color="auto" w:fill="CCEEFF"/>
            <w:tcMar>
              <w:top w:w="40" w:type="dxa"/>
              <w:left w:w="245" w:type="dxa"/>
              <w:bottom w:w="40" w:type="dxa"/>
              <w:right w:w="20" w:type="dxa"/>
            </w:tcMar>
            <w:vAlign w:val="bottom"/>
          </w:tcPr>
          <w:p w14:paraId="59E4B5DF"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Stock-based compensation expense</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B5E0"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5E1"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5E2"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5E3"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5E4"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B5E5"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5E6"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5E7"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B5E8"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5E9"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5EA"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5EB"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5EC"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B5ED"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5EE"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59E4B5EF"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5F0"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5F1"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5F2" w14:textId="77777777" w:rsidR="00D7560A" w:rsidRDefault="00D7560A">
            <w:pPr>
              <w:widowControl/>
              <w:jc w:val="left"/>
              <w:rPr>
                <w:rFonts w:ascii="Times New Roman" w:eastAsia="宋体" w:hAnsi="宋体" w:cs="宋体"/>
                <w:vanish/>
                <w:kern w:val="0"/>
                <w:sz w:val="24"/>
              </w:rPr>
            </w:pPr>
          </w:p>
        </w:tc>
      </w:tr>
      <w:tr w:rsidR="00D7560A" w14:paraId="59E4B608" w14:textId="77777777">
        <w:trPr>
          <w:jc w:val="center"/>
        </w:trPr>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59E4B5F4"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Other corporate expenses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B5F5"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B5F6"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5F7"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5F8"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5F9"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B5FA"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B5FB"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5FC"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B5FD"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82 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B5FE"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5FF"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600"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601"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B602"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B603"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59E4B604"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605"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606"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607" w14:textId="77777777" w:rsidR="00D7560A" w:rsidRDefault="00D7560A">
            <w:pPr>
              <w:widowControl/>
              <w:jc w:val="left"/>
              <w:rPr>
                <w:rFonts w:ascii="Times New Roman" w:eastAsia="宋体" w:hAnsi="宋体" w:cs="宋体"/>
                <w:vanish/>
                <w:kern w:val="0"/>
                <w:sz w:val="24"/>
              </w:rPr>
            </w:pPr>
          </w:p>
        </w:tc>
      </w:tr>
      <w:tr w:rsidR="00D7560A" w14:paraId="59E4B623" w14:textId="77777777">
        <w:trPr>
          <w:jc w:val="center"/>
        </w:trPr>
        <w:tc>
          <w:tcPr>
            <w:tcW w:w="0" w:type="auto"/>
            <w:gridSpan w:val="3"/>
            <w:tcBorders>
              <w:top w:val="nil"/>
              <w:left w:val="nil"/>
              <w:bottom w:val="nil"/>
              <w:right w:val="nil"/>
            </w:tcBorders>
            <w:shd w:val="clear" w:color="auto" w:fill="CCEEFF"/>
            <w:tcMar>
              <w:top w:w="40" w:type="dxa"/>
              <w:left w:w="515" w:type="dxa"/>
              <w:bottom w:w="40" w:type="dxa"/>
              <w:right w:w="20" w:type="dxa"/>
            </w:tcMar>
            <w:vAlign w:val="bottom"/>
          </w:tcPr>
          <w:p w14:paraId="59E4B609"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Non-GAAP gross margin</w:t>
            </w: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59E4B60A"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59E4B60B"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5,650 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59E4B60C"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60D"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B60E"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60F"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610"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59E4B611"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59E4B612"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5,673 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59E4B613"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614"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59E4B615"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59E4B616"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11,591 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59E4B617"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618"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B619"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61A"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61B"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59E4B61C"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59E4B61D"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11,137 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59E4B61E"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59E4B61F"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620"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621"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622" w14:textId="77777777" w:rsidR="00D7560A" w:rsidRDefault="00D7560A">
            <w:pPr>
              <w:widowControl/>
              <w:jc w:val="left"/>
              <w:rPr>
                <w:rFonts w:ascii="Times New Roman" w:eastAsia="宋体" w:hAnsi="宋体" w:cs="宋体"/>
                <w:vanish/>
                <w:kern w:val="0"/>
                <w:sz w:val="24"/>
              </w:rPr>
            </w:pPr>
          </w:p>
        </w:tc>
      </w:tr>
      <w:tr w:rsidR="00D7560A" w14:paraId="59E4B634" w14:textId="77777777">
        <w:trPr>
          <w:trHeight w:val="300"/>
          <w:jc w:val="center"/>
        </w:trPr>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624" w14:textId="77777777" w:rsidR="00D7560A" w:rsidRDefault="00D7560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59E4B625"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626"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627"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628" w14:textId="77777777" w:rsidR="00D7560A" w:rsidRDefault="00D7560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59E4B629"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62A" w14:textId="77777777" w:rsidR="00D7560A" w:rsidRDefault="00D7560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59E4B62B"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62C"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62D"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62E" w14:textId="77777777" w:rsidR="00D7560A" w:rsidRDefault="00D7560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59E4B62F"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59E4B630"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631"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632"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633" w14:textId="77777777" w:rsidR="00D7560A" w:rsidRDefault="00D7560A">
            <w:pPr>
              <w:widowControl/>
              <w:jc w:val="left"/>
              <w:rPr>
                <w:rFonts w:ascii="Times New Roman" w:eastAsia="宋体" w:hAnsi="宋体" w:cs="宋体"/>
                <w:vanish/>
                <w:kern w:val="0"/>
                <w:sz w:val="24"/>
              </w:rPr>
            </w:pPr>
          </w:p>
        </w:tc>
      </w:tr>
      <w:tr w:rsidR="00D7560A" w14:paraId="59E4B64F"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9E4B635"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Operating expenses</w:t>
            </w: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9E4B636"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9E4B637"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4,169 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638"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639"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B63A"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63B"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63C"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9E4B63D"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9E4B63E"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4,458 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63F"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640"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9E4B641"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9E4B642"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8,403 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643"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644"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B645"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646"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647"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9E4B648"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9E4B649"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8,735 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64A"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59E4B64B"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64C"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64D"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64E" w14:textId="77777777" w:rsidR="00D7560A" w:rsidRDefault="00D7560A">
            <w:pPr>
              <w:widowControl/>
              <w:jc w:val="left"/>
              <w:rPr>
                <w:rFonts w:ascii="Times New Roman" w:eastAsia="宋体" w:hAnsi="宋体" w:cs="宋体"/>
                <w:vanish/>
                <w:kern w:val="0"/>
                <w:sz w:val="24"/>
              </w:rPr>
            </w:pPr>
          </w:p>
        </w:tc>
      </w:tr>
      <w:tr w:rsidR="00D7560A" w14:paraId="59E4B660" w14:textId="77777777">
        <w:trPr>
          <w:jc w:val="center"/>
        </w:trPr>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59E4B650"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Non-GAAP adju</w:t>
            </w:r>
            <w:r>
              <w:rPr>
                <w:rFonts w:ascii="Times New Roman" w:eastAsia="宋体" w:hAnsi="Times New Roman" w:cs="Times New Roman"/>
                <w:color w:val="000000"/>
                <w:kern w:val="0"/>
                <w:sz w:val="20"/>
                <w:szCs w:val="20"/>
                <w:lang w:bidi="ar"/>
              </w:rPr>
              <w:t>stments:</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651"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652"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653"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654"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655"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656"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657"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658"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659"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65A"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65B"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59E4B65C"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65D"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65E"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65F" w14:textId="77777777" w:rsidR="00D7560A" w:rsidRDefault="00D7560A">
            <w:pPr>
              <w:widowControl/>
              <w:jc w:val="left"/>
              <w:rPr>
                <w:rFonts w:ascii="Times New Roman" w:eastAsia="宋体" w:hAnsi="宋体" w:cs="宋体"/>
                <w:vanish/>
                <w:kern w:val="0"/>
                <w:sz w:val="24"/>
              </w:rPr>
            </w:pPr>
          </w:p>
        </w:tc>
      </w:tr>
      <w:tr w:rsidR="00D7560A" w14:paraId="59E4B675" w14:textId="77777777">
        <w:trPr>
          <w:jc w:val="center"/>
        </w:trPr>
        <w:tc>
          <w:tcPr>
            <w:tcW w:w="0" w:type="auto"/>
            <w:gridSpan w:val="3"/>
            <w:tcBorders>
              <w:top w:val="nil"/>
              <w:left w:val="nil"/>
              <w:bottom w:val="nil"/>
              <w:right w:val="nil"/>
            </w:tcBorders>
            <w:shd w:val="clear" w:color="auto" w:fill="CCEEFF"/>
            <w:tcMar>
              <w:top w:w="40" w:type="dxa"/>
              <w:left w:w="245" w:type="dxa"/>
              <w:bottom w:w="40" w:type="dxa"/>
              <w:right w:w="20" w:type="dxa"/>
            </w:tcMar>
            <w:vAlign w:val="bottom"/>
          </w:tcPr>
          <w:p w14:paraId="59E4B661"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Amortization of intangibles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B662"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(139)</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663"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664"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665"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666"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B667"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(292)</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668"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669"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B66A"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(278)</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66B"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66C"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66D"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66E"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B66F"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(587)</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670"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59E4B671"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672"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673"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674" w14:textId="77777777" w:rsidR="00D7560A" w:rsidRDefault="00D7560A">
            <w:pPr>
              <w:widowControl/>
              <w:jc w:val="left"/>
              <w:rPr>
                <w:rFonts w:ascii="Times New Roman" w:eastAsia="宋体" w:hAnsi="宋体" w:cs="宋体"/>
                <w:vanish/>
                <w:kern w:val="0"/>
                <w:sz w:val="24"/>
              </w:rPr>
            </w:pPr>
          </w:p>
        </w:tc>
      </w:tr>
      <w:tr w:rsidR="00D7560A" w14:paraId="59E4B68A" w14:textId="77777777">
        <w:trPr>
          <w:jc w:val="center"/>
        </w:trPr>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59E4B676"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Impact of purchase accounting</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B677"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B678"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679"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67A"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67B"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B67C"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B67D"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67E"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B67F"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B680"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681"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682"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683"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B684"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(17)</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B685"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59E4B686"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687"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688"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689" w14:textId="77777777" w:rsidR="00D7560A" w:rsidRDefault="00D7560A">
            <w:pPr>
              <w:widowControl/>
              <w:jc w:val="left"/>
              <w:rPr>
                <w:rFonts w:ascii="Times New Roman" w:eastAsia="宋体" w:hAnsi="宋体" w:cs="宋体"/>
                <w:vanish/>
                <w:kern w:val="0"/>
                <w:sz w:val="24"/>
              </w:rPr>
            </w:pPr>
          </w:p>
        </w:tc>
      </w:tr>
      <w:tr w:rsidR="00D7560A" w14:paraId="59E4B69F" w14:textId="77777777">
        <w:trPr>
          <w:jc w:val="center"/>
        </w:trPr>
        <w:tc>
          <w:tcPr>
            <w:tcW w:w="0" w:type="auto"/>
            <w:gridSpan w:val="3"/>
            <w:tcBorders>
              <w:top w:val="nil"/>
              <w:left w:val="nil"/>
              <w:bottom w:val="nil"/>
              <w:right w:val="nil"/>
            </w:tcBorders>
            <w:shd w:val="clear" w:color="auto" w:fill="CCEEFF"/>
            <w:tcMar>
              <w:top w:w="40" w:type="dxa"/>
              <w:left w:w="245" w:type="dxa"/>
              <w:bottom w:w="40" w:type="dxa"/>
              <w:right w:w="20" w:type="dxa"/>
            </w:tcMar>
            <w:vAlign w:val="bottom"/>
          </w:tcPr>
          <w:p w14:paraId="59E4B68B"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Transaction-related expenses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B68C"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68D"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68E"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68F"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690"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B691"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(37)</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692"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693"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B694"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(8)</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695"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696"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697"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698"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B699"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(66)</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69A"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59E4B69B"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69C"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69D"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69E" w14:textId="77777777" w:rsidR="00D7560A" w:rsidRDefault="00D7560A">
            <w:pPr>
              <w:widowControl/>
              <w:jc w:val="left"/>
              <w:rPr>
                <w:rFonts w:ascii="Times New Roman" w:eastAsia="宋体" w:hAnsi="宋体" w:cs="宋体"/>
                <w:vanish/>
                <w:kern w:val="0"/>
                <w:sz w:val="24"/>
              </w:rPr>
            </w:pPr>
          </w:p>
        </w:tc>
      </w:tr>
      <w:tr w:rsidR="00D7560A" w14:paraId="59E4B6B4" w14:textId="77777777">
        <w:trPr>
          <w:jc w:val="center"/>
        </w:trPr>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59E4B6A0"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Stock-based compensation expense</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B6A1"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(199)</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B6A2"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6A3"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6A4"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6A5"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B6A6"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(174)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B6A7"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6A8"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B6A9"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(393)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B6AA"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6AB"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6AC"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6AD"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B6AE"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(318)</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B6AF"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59E4B6B0"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6B1"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6B2"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6B3" w14:textId="77777777" w:rsidR="00D7560A" w:rsidRDefault="00D7560A">
            <w:pPr>
              <w:widowControl/>
              <w:jc w:val="left"/>
              <w:rPr>
                <w:rFonts w:ascii="Times New Roman" w:eastAsia="宋体" w:hAnsi="宋体" w:cs="宋体"/>
                <w:vanish/>
                <w:kern w:val="0"/>
                <w:sz w:val="24"/>
              </w:rPr>
            </w:pPr>
          </w:p>
        </w:tc>
      </w:tr>
      <w:tr w:rsidR="00D7560A" w14:paraId="59E4B6C9" w14:textId="77777777">
        <w:trPr>
          <w:jc w:val="center"/>
        </w:trPr>
        <w:tc>
          <w:tcPr>
            <w:tcW w:w="0" w:type="auto"/>
            <w:gridSpan w:val="3"/>
            <w:tcBorders>
              <w:top w:val="nil"/>
              <w:left w:val="nil"/>
              <w:bottom w:val="nil"/>
              <w:right w:val="nil"/>
            </w:tcBorders>
            <w:shd w:val="clear" w:color="auto" w:fill="CCEEFF"/>
            <w:tcMar>
              <w:top w:w="40" w:type="dxa"/>
              <w:left w:w="245" w:type="dxa"/>
              <w:bottom w:w="40" w:type="dxa"/>
              <w:right w:w="20" w:type="dxa"/>
            </w:tcMar>
            <w:vAlign w:val="bottom"/>
          </w:tcPr>
          <w:p w14:paraId="59E4B6B5"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Other corporate expenses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B6B6"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(127)</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6B7"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6B8"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6B9"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6BA"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B6BB"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(144)</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6BC"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6BD"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B6BE"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(210)</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6BF"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6C0"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6C1"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6C2"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B6C3"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(248)</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6C4"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59E4B6C5"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6C6"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6C7"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6C8" w14:textId="77777777" w:rsidR="00D7560A" w:rsidRDefault="00D7560A">
            <w:pPr>
              <w:widowControl/>
              <w:jc w:val="left"/>
              <w:rPr>
                <w:rFonts w:ascii="Times New Roman" w:eastAsia="宋体" w:hAnsi="宋体" w:cs="宋体"/>
                <w:vanish/>
                <w:kern w:val="0"/>
                <w:sz w:val="24"/>
              </w:rPr>
            </w:pPr>
          </w:p>
        </w:tc>
      </w:tr>
      <w:tr w:rsidR="00D7560A" w14:paraId="59E4B6E4" w14:textId="77777777">
        <w:trPr>
          <w:jc w:val="center"/>
        </w:trPr>
        <w:tc>
          <w:tcPr>
            <w:tcW w:w="0" w:type="auto"/>
            <w:gridSpan w:val="3"/>
            <w:tcBorders>
              <w:top w:val="nil"/>
              <w:left w:val="nil"/>
              <w:bottom w:val="nil"/>
              <w:right w:val="nil"/>
            </w:tcBorders>
            <w:shd w:val="clear" w:color="auto" w:fill="FFFFFF"/>
            <w:tcMar>
              <w:top w:w="40" w:type="dxa"/>
              <w:left w:w="515" w:type="dxa"/>
              <w:bottom w:w="40" w:type="dxa"/>
              <w:right w:w="20" w:type="dxa"/>
            </w:tcMar>
            <w:vAlign w:val="bottom"/>
          </w:tcPr>
          <w:p w14:paraId="59E4B6CA"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Non-GAAP operating expenses</w:t>
            </w: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59E4B6CB"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59E4B6CC"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3,698 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59E4B6CD"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6CE"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B6CF"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B6D0"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6D1"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59E4B6D2"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59E4B6D3"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3,805 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59E4B6D4"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6D5"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59E4B6D6"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59E4B6D7"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7,504 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59E4B6D8"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6D9"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B6DA"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B6DB"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6DC"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59E4B6DD"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59E4B6DE"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7,499 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59E4B6DF"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59E4B6E0"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6E1"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6E2"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6E3" w14:textId="77777777" w:rsidR="00D7560A" w:rsidRDefault="00D7560A">
            <w:pPr>
              <w:widowControl/>
              <w:jc w:val="left"/>
              <w:rPr>
                <w:rFonts w:ascii="Times New Roman" w:eastAsia="宋体" w:hAnsi="宋体" w:cs="宋体"/>
                <w:vanish/>
                <w:kern w:val="0"/>
                <w:sz w:val="24"/>
              </w:rPr>
            </w:pPr>
          </w:p>
        </w:tc>
      </w:tr>
      <w:tr w:rsidR="00D7560A" w14:paraId="59E4B6F5" w14:textId="77777777">
        <w:trPr>
          <w:trHeight w:val="300"/>
          <w:jc w:val="center"/>
        </w:trPr>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6E5" w14:textId="77777777" w:rsidR="00D7560A" w:rsidRDefault="00D7560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59E4B6E6"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6E7"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6E8"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6E9" w14:textId="77777777" w:rsidR="00D7560A" w:rsidRDefault="00D7560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59E4B6EA"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6EB" w14:textId="77777777" w:rsidR="00D7560A" w:rsidRDefault="00D7560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59E4B6EC"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6ED"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6EE"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6EF" w14:textId="77777777" w:rsidR="00D7560A" w:rsidRDefault="00D7560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59E4B6F0"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59E4B6F1"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6F2"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6F3"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6F4" w14:textId="77777777" w:rsidR="00D7560A" w:rsidRDefault="00D7560A">
            <w:pPr>
              <w:widowControl/>
              <w:jc w:val="left"/>
              <w:rPr>
                <w:rFonts w:ascii="Times New Roman" w:eastAsia="宋体" w:hAnsi="宋体" w:cs="宋体"/>
                <w:vanish/>
                <w:kern w:val="0"/>
                <w:sz w:val="24"/>
              </w:rPr>
            </w:pPr>
          </w:p>
        </w:tc>
      </w:tr>
      <w:tr w:rsidR="00D7560A" w14:paraId="59E4B710"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59E4B6F6"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Operating income</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9E4B6F7"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9E4B6F8"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1,270 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B6F9"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6FA"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B6FB"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B6FC"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6FD"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9E4B6FE"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9E4B6FF"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1,017 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B700"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701"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9E4B702"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9E4B703"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2,820 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B704"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705"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B706"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B707"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708"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9E4B709"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9E4B70A"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2,004 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B70B"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59E4B70C"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70D"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70E"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70F" w14:textId="77777777" w:rsidR="00D7560A" w:rsidRDefault="00D7560A">
            <w:pPr>
              <w:widowControl/>
              <w:jc w:val="left"/>
              <w:rPr>
                <w:rFonts w:ascii="Times New Roman" w:eastAsia="宋体" w:hAnsi="宋体" w:cs="宋体"/>
                <w:vanish/>
                <w:kern w:val="0"/>
                <w:sz w:val="24"/>
              </w:rPr>
            </w:pPr>
          </w:p>
        </w:tc>
      </w:tr>
      <w:tr w:rsidR="00D7560A" w14:paraId="59E4B721" w14:textId="77777777">
        <w:trPr>
          <w:jc w:val="center"/>
        </w:trPr>
        <w:tc>
          <w:tcPr>
            <w:tcW w:w="0" w:type="auto"/>
            <w:gridSpan w:val="3"/>
            <w:tcBorders>
              <w:top w:val="nil"/>
              <w:left w:val="nil"/>
              <w:bottom w:val="nil"/>
              <w:right w:val="nil"/>
            </w:tcBorders>
            <w:shd w:val="clear" w:color="auto" w:fill="CCEEFF"/>
            <w:tcMar>
              <w:top w:w="40" w:type="dxa"/>
              <w:left w:w="155" w:type="dxa"/>
              <w:bottom w:w="40" w:type="dxa"/>
              <w:right w:w="20" w:type="dxa"/>
            </w:tcMar>
            <w:vAlign w:val="bottom"/>
          </w:tcPr>
          <w:p w14:paraId="59E4B711"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Non-GAAP adju</w:t>
            </w:r>
            <w:r>
              <w:rPr>
                <w:rFonts w:ascii="Times New Roman" w:eastAsia="宋体" w:hAnsi="Times New Roman" w:cs="Times New Roman"/>
                <w:color w:val="000000"/>
                <w:kern w:val="0"/>
                <w:sz w:val="20"/>
                <w:szCs w:val="20"/>
                <w:lang w:bidi="ar"/>
              </w:rPr>
              <w:t>stments:</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712"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713"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714"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715"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716"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717"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718"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719"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71A"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71B"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71C"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59E4B71D"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71E"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71F"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720" w14:textId="77777777" w:rsidR="00D7560A" w:rsidRDefault="00D7560A">
            <w:pPr>
              <w:widowControl/>
              <w:jc w:val="left"/>
              <w:rPr>
                <w:rFonts w:ascii="Times New Roman" w:eastAsia="宋体" w:hAnsi="宋体" w:cs="宋体"/>
                <w:vanish/>
                <w:kern w:val="0"/>
                <w:sz w:val="24"/>
              </w:rPr>
            </w:pPr>
          </w:p>
        </w:tc>
      </w:tr>
      <w:tr w:rsidR="00D7560A" w14:paraId="59E4B736" w14:textId="77777777">
        <w:trPr>
          <w:jc w:val="center"/>
        </w:trPr>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59E4B722"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Amortization of intangibles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B723"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244 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B724"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725"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726"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727"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B728"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442 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B729"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72A"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B72B"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487 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B72C"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72D"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72E"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72F"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B730"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887 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B731"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59E4B732"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733"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734"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735" w14:textId="77777777" w:rsidR="00D7560A" w:rsidRDefault="00D7560A">
            <w:pPr>
              <w:widowControl/>
              <w:jc w:val="left"/>
              <w:rPr>
                <w:rFonts w:ascii="Times New Roman" w:eastAsia="宋体" w:hAnsi="宋体" w:cs="宋体"/>
                <w:vanish/>
                <w:kern w:val="0"/>
                <w:sz w:val="24"/>
              </w:rPr>
            </w:pPr>
          </w:p>
        </w:tc>
      </w:tr>
      <w:tr w:rsidR="00D7560A" w14:paraId="59E4B74B" w14:textId="77777777">
        <w:trPr>
          <w:jc w:val="center"/>
        </w:trPr>
        <w:tc>
          <w:tcPr>
            <w:tcW w:w="0" w:type="auto"/>
            <w:gridSpan w:val="3"/>
            <w:tcBorders>
              <w:top w:val="nil"/>
              <w:left w:val="nil"/>
              <w:bottom w:val="nil"/>
              <w:right w:val="nil"/>
            </w:tcBorders>
            <w:shd w:val="clear" w:color="auto" w:fill="CCEEFF"/>
            <w:tcMar>
              <w:top w:w="40" w:type="dxa"/>
              <w:left w:w="245" w:type="dxa"/>
              <w:bottom w:w="40" w:type="dxa"/>
              <w:right w:w="20" w:type="dxa"/>
            </w:tcMar>
            <w:vAlign w:val="bottom"/>
          </w:tcPr>
          <w:p w14:paraId="59E4B737"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Impact of purchase accounting</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B738"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739"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73A"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73B"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73C"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B73D"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73E"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73F"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B740"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741"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742"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743"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744"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B745"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746"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59E4B747"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748"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749"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74A" w14:textId="77777777" w:rsidR="00D7560A" w:rsidRDefault="00D7560A">
            <w:pPr>
              <w:widowControl/>
              <w:jc w:val="left"/>
              <w:rPr>
                <w:rFonts w:ascii="Times New Roman" w:eastAsia="宋体" w:hAnsi="宋体" w:cs="宋体"/>
                <w:vanish/>
                <w:kern w:val="0"/>
                <w:sz w:val="24"/>
              </w:rPr>
            </w:pPr>
          </w:p>
        </w:tc>
      </w:tr>
      <w:tr w:rsidR="00D7560A" w14:paraId="59E4B760" w14:textId="77777777">
        <w:trPr>
          <w:jc w:val="center"/>
        </w:trPr>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59E4B74C"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Transaction-related expenses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B74D"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B74E"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74F"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750"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751"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B752"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B753"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754"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B755"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B756"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757"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758"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759"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B75A"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B75B"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59E4B75C"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75D"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75E"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75F" w14:textId="77777777" w:rsidR="00D7560A" w:rsidRDefault="00D7560A">
            <w:pPr>
              <w:widowControl/>
              <w:jc w:val="left"/>
              <w:rPr>
                <w:rFonts w:ascii="Times New Roman" w:eastAsia="宋体" w:hAnsi="宋体" w:cs="宋体"/>
                <w:vanish/>
                <w:kern w:val="0"/>
                <w:sz w:val="24"/>
              </w:rPr>
            </w:pPr>
          </w:p>
        </w:tc>
      </w:tr>
      <w:tr w:rsidR="00D7560A" w14:paraId="59E4B775" w14:textId="77777777">
        <w:trPr>
          <w:jc w:val="center"/>
        </w:trPr>
        <w:tc>
          <w:tcPr>
            <w:tcW w:w="0" w:type="auto"/>
            <w:gridSpan w:val="3"/>
            <w:tcBorders>
              <w:top w:val="nil"/>
              <w:left w:val="nil"/>
              <w:bottom w:val="nil"/>
              <w:right w:val="nil"/>
            </w:tcBorders>
            <w:shd w:val="clear" w:color="auto" w:fill="CCEEFF"/>
            <w:tcMar>
              <w:top w:w="40" w:type="dxa"/>
              <w:left w:w="245" w:type="dxa"/>
              <w:bottom w:w="40" w:type="dxa"/>
              <w:right w:w="20" w:type="dxa"/>
            </w:tcMar>
            <w:vAlign w:val="bottom"/>
          </w:tcPr>
          <w:p w14:paraId="59E4B761"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Stock-based compensation expense</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B762"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236 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763"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764"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765"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766"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B767"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206 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768"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769"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B76A"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468 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76B"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76C"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76D"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76E"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B76F"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378 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770"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59E4B771"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772"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773"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774" w14:textId="77777777" w:rsidR="00D7560A" w:rsidRDefault="00D7560A">
            <w:pPr>
              <w:widowControl/>
              <w:jc w:val="left"/>
              <w:rPr>
                <w:rFonts w:ascii="Times New Roman" w:eastAsia="宋体" w:hAnsi="宋体" w:cs="宋体"/>
                <w:vanish/>
                <w:kern w:val="0"/>
                <w:sz w:val="24"/>
              </w:rPr>
            </w:pPr>
          </w:p>
        </w:tc>
      </w:tr>
      <w:tr w:rsidR="00D7560A" w14:paraId="59E4B78A" w14:textId="77777777">
        <w:trPr>
          <w:jc w:val="center"/>
        </w:trPr>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59E4B776"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Other corporate expenses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B777"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196 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B778"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779"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77A"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77B"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B77C"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151 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B77D"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77E"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B77F"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292 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B780"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781"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782"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783"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B784"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268 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B785"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59E4B786"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787"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788"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789" w14:textId="77777777" w:rsidR="00D7560A" w:rsidRDefault="00D7560A">
            <w:pPr>
              <w:widowControl/>
              <w:jc w:val="left"/>
              <w:rPr>
                <w:rFonts w:ascii="Times New Roman" w:eastAsia="宋体" w:hAnsi="宋体" w:cs="宋体"/>
                <w:vanish/>
                <w:kern w:val="0"/>
                <w:sz w:val="24"/>
              </w:rPr>
            </w:pPr>
          </w:p>
        </w:tc>
      </w:tr>
      <w:tr w:rsidR="00D7560A" w14:paraId="59E4B7A5" w14:textId="77777777">
        <w:trPr>
          <w:jc w:val="center"/>
        </w:trPr>
        <w:tc>
          <w:tcPr>
            <w:tcW w:w="0" w:type="auto"/>
            <w:gridSpan w:val="3"/>
            <w:tcBorders>
              <w:top w:val="nil"/>
              <w:left w:val="nil"/>
              <w:bottom w:val="nil"/>
              <w:right w:val="nil"/>
            </w:tcBorders>
            <w:shd w:val="clear" w:color="auto" w:fill="CCEEFF"/>
            <w:tcMar>
              <w:top w:w="40" w:type="dxa"/>
              <w:left w:w="515" w:type="dxa"/>
              <w:bottom w:w="40" w:type="dxa"/>
              <w:right w:w="20" w:type="dxa"/>
            </w:tcMar>
            <w:vAlign w:val="bottom"/>
          </w:tcPr>
          <w:p w14:paraId="59E4B78B"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Non-GAAP operating income</w:t>
            </w: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59E4B78C"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59E4B78D"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1,952 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59E4B78E"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78F"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B790"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791"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792"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59E4B793"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59E4B794"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1,868 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59E4B795"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796"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59E4B797"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59E4B798"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4,087 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59E4B799"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79A"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B79B"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79C"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79D"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59E4B79E"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59E4B79F"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3,638 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59E4B7A0"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59E4B7A1"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7A2"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7A3"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7A4" w14:textId="77777777" w:rsidR="00D7560A" w:rsidRDefault="00D7560A">
            <w:pPr>
              <w:widowControl/>
              <w:jc w:val="left"/>
              <w:rPr>
                <w:rFonts w:ascii="Times New Roman" w:eastAsia="宋体" w:hAnsi="宋体" w:cs="宋体"/>
                <w:vanish/>
                <w:kern w:val="0"/>
                <w:sz w:val="24"/>
              </w:rPr>
            </w:pPr>
          </w:p>
        </w:tc>
      </w:tr>
      <w:tr w:rsidR="00D7560A" w14:paraId="59E4B7B6" w14:textId="77777777">
        <w:trPr>
          <w:trHeight w:val="300"/>
          <w:jc w:val="center"/>
        </w:trPr>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7A6" w14:textId="77777777" w:rsidR="00D7560A" w:rsidRDefault="00D7560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59E4B7A7"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7A8"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7A9"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7AA" w14:textId="77777777" w:rsidR="00D7560A" w:rsidRDefault="00D7560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59E4B7AB"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7AC" w14:textId="77777777" w:rsidR="00D7560A" w:rsidRDefault="00D7560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59E4B7AD"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7AE"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7AF"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7B0" w14:textId="77777777" w:rsidR="00D7560A" w:rsidRDefault="00D7560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59E4B7B1"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59E4B7B2"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7B3"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7B4"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7B5" w14:textId="77777777" w:rsidR="00D7560A" w:rsidRDefault="00D7560A">
            <w:pPr>
              <w:widowControl/>
              <w:jc w:val="left"/>
              <w:rPr>
                <w:rFonts w:ascii="Times New Roman" w:eastAsia="宋体" w:hAnsi="宋体" w:cs="宋体"/>
                <w:vanish/>
                <w:kern w:val="0"/>
                <w:sz w:val="24"/>
              </w:rPr>
            </w:pPr>
          </w:p>
        </w:tc>
      </w:tr>
      <w:tr w:rsidR="00D7560A" w14:paraId="59E4B7D1"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9E4B7B7"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Net income from conti</w:t>
            </w:r>
            <w:r>
              <w:rPr>
                <w:rFonts w:ascii="Times New Roman" w:eastAsia="宋体" w:hAnsi="Times New Roman" w:cs="Times New Roman"/>
                <w:color w:val="000000"/>
                <w:kern w:val="0"/>
                <w:sz w:val="20"/>
                <w:szCs w:val="20"/>
                <w:lang w:bidi="ar"/>
              </w:rPr>
              <w:t>nuing operations</w:t>
            </w: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9E4B7B8"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9E4B7B9"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506 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7BA"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7BB"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B7BC"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(20)</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7BD"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7BE"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9E4B7BF"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9E4B7C0"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629 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7C1"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7C2"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9E4B7C3"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9E4B7C4"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1,575 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7C5"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7C6"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B7C7"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7C8"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7C9"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9E4B7CA"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9E4B7CB"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1,288 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7CC"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59E4B7CD"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7CE"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7CF"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7D0" w14:textId="77777777" w:rsidR="00D7560A" w:rsidRDefault="00D7560A">
            <w:pPr>
              <w:widowControl/>
              <w:jc w:val="left"/>
              <w:rPr>
                <w:rFonts w:ascii="Times New Roman" w:eastAsia="宋体" w:hAnsi="宋体" w:cs="宋体"/>
                <w:vanish/>
                <w:kern w:val="0"/>
                <w:sz w:val="24"/>
              </w:rPr>
            </w:pPr>
          </w:p>
        </w:tc>
      </w:tr>
      <w:tr w:rsidR="00D7560A" w14:paraId="59E4B7E2" w14:textId="77777777">
        <w:trPr>
          <w:jc w:val="center"/>
        </w:trPr>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59E4B7D2"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Non-GAAP adju</w:t>
            </w:r>
            <w:r>
              <w:rPr>
                <w:rFonts w:ascii="Times New Roman" w:eastAsia="宋体" w:hAnsi="Times New Roman" w:cs="Times New Roman"/>
                <w:color w:val="000000"/>
                <w:kern w:val="0"/>
                <w:sz w:val="20"/>
                <w:szCs w:val="20"/>
                <w:lang w:bidi="ar"/>
              </w:rPr>
              <w:t>stments:</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7D3"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7D4"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7D5"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7D6"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7D7"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7D8"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7D9"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7DA"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7DB"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7DC"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7DD"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59E4B7DE"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7DF"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7E0"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7E1" w14:textId="77777777" w:rsidR="00D7560A" w:rsidRDefault="00D7560A">
            <w:pPr>
              <w:widowControl/>
              <w:jc w:val="left"/>
              <w:rPr>
                <w:rFonts w:ascii="Times New Roman" w:eastAsia="宋体" w:hAnsi="宋体" w:cs="宋体"/>
                <w:vanish/>
                <w:kern w:val="0"/>
                <w:sz w:val="24"/>
              </w:rPr>
            </w:pPr>
          </w:p>
        </w:tc>
      </w:tr>
      <w:tr w:rsidR="00D7560A" w14:paraId="59E4B7F7" w14:textId="77777777">
        <w:trPr>
          <w:jc w:val="center"/>
        </w:trPr>
        <w:tc>
          <w:tcPr>
            <w:tcW w:w="0" w:type="auto"/>
            <w:gridSpan w:val="3"/>
            <w:tcBorders>
              <w:top w:val="nil"/>
              <w:left w:val="nil"/>
              <w:bottom w:val="nil"/>
              <w:right w:val="nil"/>
            </w:tcBorders>
            <w:shd w:val="clear" w:color="auto" w:fill="CCEEFF"/>
            <w:tcMar>
              <w:top w:w="40" w:type="dxa"/>
              <w:left w:w="245" w:type="dxa"/>
              <w:bottom w:w="40" w:type="dxa"/>
              <w:right w:w="20" w:type="dxa"/>
            </w:tcMar>
            <w:vAlign w:val="bottom"/>
          </w:tcPr>
          <w:p w14:paraId="59E4B7E3"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Amortization of intangibles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B7E4"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244 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7E5"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7E6"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7E7"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7E8"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B7E9"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442 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7EA"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7EB"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B7EC"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487 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7ED"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7EE"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7EF"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7F0"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B7F1"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887 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7F2"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59E4B7F3"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7F4"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7F5"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7F6" w14:textId="77777777" w:rsidR="00D7560A" w:rsidRDefault="00D7560A">
            <w:pPr>
              <w:widowControl/>
              <w:jc w:val="left"/>
              <w:rPr>
                <w:rFonts w:ascii="Times New Roman" w:eastAsia="宋体" w:hAnsi="宋体" w:cs="宋体"/>
                <w:vanish/>
                <w:kern w:val="0"/>
                <w:sz w:val="24"/>
              </w:rPr>
            </w:pPr>
          </w:p>
        </w:tc>
      </w:tr>
      <w:tr w:rsidR="00D7560A" w14:paraId="59E4B80C" w14:textId="77777777">
        <w:trPr>
          <w:jc w:val="center"/>
        </w:trPr>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59E4B7F8"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Impact of purchase accounting</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B7F9"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B7FA"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7FB"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7FC"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7FD"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B7FE"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B7FF"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800"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B801"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B802"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803"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804"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805"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B806"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B807"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59E4B808"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809"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80A"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80B" w14:textId="77777777" w:rsidR="00D7560A" w:rsidRDefault="00D7560A">
            <w:pPr>
              <w:widowControl/>
              <w:jc w:val="left"/>
              <w:rPr>
                <w:rFonts w:ascii="Times New Roman" w:eastAsia="宋体" w:hAnsi="宋体" w:cs="宋体"/>
                <w:vanish/>
                <w:kern w:val="0"/>
                <w:sz w:val="24"/>
              </w:rPr>
            </w:pPr>
          </w:p>
        </w:tc>
      </w:tr>
      <w:tr w:rsidR="00D7560A" w14:paraId="59E4B821" w14:textId="77777777">
        <w:trPr>
          <w:jc w:val="center"/>
        </w:trPr>
        <w:tc>
          <w:tcPr>
            <w:tcW w:w="0" w:type="auto"/>
            <w:gridSpan w:val="3"/>
            <w:tcBorders>
              <w:top w:val="nil"/>
              <w:left w:val="nil"/>
              <w:bottom w:val="nil"/>
              <w:right w:val="nil"/>
            </w:tcBorders>
            <w:shd w:val="clear" w:color="auto" w:fill="CCEEFF"/>
            <w:tcMar>
              <w:top w:w="40" w:type="dxa"/>
              <w:left w:w="245" w:type="dxa"/>
              <w:bottom w:w="40" w:type="dxa"/>
              <w:right w:w="20" w:type="dxa"/>
            </w:tcMar>
            <w:vAlign w:val="bottom"/>
          </w:tcPr>
          <w:p w14:paraId="59E4B80D"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Transaction-related (income) expenses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B80E"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80F"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810"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811"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812"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B813"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814"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815"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B816"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817"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818"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819"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81A"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B81B"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81C"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59E4B81D"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81E"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81F"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820" w14:textId="77777777" w:rsidR="00D7560A" w:rsidRDefault="00D7560A">
            <w:pPr>
              <w:widowControl/>
              <w:jc w:val="left"/>
              <w:rPr>
                <w:rFonts w:ascii="Times New Roman" w:eastAsia="宋体" w:hAnsi="宋体" w:cs="宋体"/>
                <w:vanish/>
                <w:kern w:val="0"/>
                <w:sz w:val="24"/>
              </w:rPr>
            </w:pPr>
          </w:p>
        </w:tc>
      </w:tr>
      <w:tr w:rsidR="00D7560A" w14:paraId="59E4B836" w14:textId="77777777">
        <w:trPr>
          <w:jc w:val="center"/>
        </w:trPr>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59E4B822"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Stock-based compensation expense</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B823"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236 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B824"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825"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826"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827"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B828"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206 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B829"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82A"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B82B"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468 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B82C"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82D"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82E"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82F"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B830"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378 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B831"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59E4B832"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833"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834"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835" w14:textId="77777777" w:rsidR="00D7560A" w:rsidRDefault="00D7560A">
            <w:pPr>
              <w:widowControl/>
              <w:jc w:val="left"/>
              <w:rPr>
                <w:rFonts w:ascii="Times New Roman" w:eastAsia="宋体" w:hAnsi="宋体" w:cs="宋体"/>
                <w:vanish/>
                <w:kern w:val="0"/>
                <w:sz w:val="24"/>
              </w:rPr>
            </w:pPr>
          </w:p>
        </w:tc>
      </w:tr>
      <w:tr w:rsidR="00D7560A" w14:paraId="59E4B84B" w14:textId="77777777">
        <w:trPr>
          <w:jc w:val="center"/>
        </w:trPr>
        <w:tc>
          <w:tcPr>
            <w:tcW w:w="0" w:type="auto"/>
            <w:gridSpan w:val="3"/>
            <w:tcBorders>
              <w:top w:val="nil"/>
              <w:left w:val="nil"/>
              <w:bottom w:val="nil"/>
              <w:right w:val="nil"/>
            </w:tcBorders>
            <w:shd w:val="clear" w:color="auto" w:fill="CCEEFF"/>
            <w:tcMar>
              <w:top w:w="40" w:type="dxa"/>
              <w:left w:w="245" w:type="dxa"/>
              <w:bottom w:w="40" w:type="dxa"/>
              <w:right w:w="20" w:type="dxa"/>
            </w:tcMar>
            <w:vAlign w:val="bottom"/>
          </w:tcPr>
          <w:p w14:paraId="59E4B837"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Other corporate expenses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B838"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212 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839"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83A"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83B"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83C"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B83D"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151 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83E"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83F"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B840"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308 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841"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842"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843"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844"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B845"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268 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846"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59E4B847"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848"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849"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84A" w14:textId="77777777" w:rsidR="00D7560A" w:rsidRDefault="00D7560A">
            <w:pPr>
              <w:widowControl/>
              <w:jc w:val="left"/>
              <w:rPr>
                <w:rFonts w:ascii="Times New Roman" w:eastAsia="宋体" w:hAnsi="宋体" w:cs="宋体"/>
                <w:vanish/>
                <w:kern w:val="0"/>
                <w:sz w:val="24"/>
              </w:rPr>
            </w:pPr>
          </w:p>
        </w:tc>
      </w:tr>
      <w:tr w:rsidR="00D7560A" w14:paraId="59E4B860" w14:textId="77777777">
        <w:trPr>
          <w:jc w:val="center"/>
        </w:trPr>
        <w:tc>
          <w:tcPr>
            <w:tcW w:w="0" w:type="auto"/>
            <w:gridSpan w:val="3"/>
            <w:tcBorders>
              <w:top w:val="nil"/>
              <w:left w:val="nil"/>
              <w:bottom w:val="nil"/>
              <w:right w:val="nil"/>
            </w:tcBorders>
            <w:shd w:val="clear" w:color="auto" w:fill="FFFFFF"/>
            <w:tcMar>
              <w:top w:w="40" w:type="dxa"/>
              <w:left w:w="245" w:type="dxa"/>
              <w:bottom w:w="40" w:type="dxa"/>
              <w:right w:w="20" w:type="dxa"/>
            </w:tcMar>
            <w:vAlign w:val="center"/>
          </w:tcPr>
          <w:p w14:paraId="59E4B84C" w14:textId="77777777" w:rsidR="00D7560A" w:rsidRDefault="001E3CAB">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Fair value adjustments on equity investments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B84D"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255 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B84E"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84F"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850"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851"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B852"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(168)</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B853"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854"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B855"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241 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B856"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857"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858"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859"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B85A"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(362)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B85B"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59E4B85C"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85D"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85E"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85F" w14:textId="77777777" w:rsidR="00D7560A" w:rsidRDefault="00D7560A">
            <w:pPr>
              <w:widowControl/>
              <w:jc w:val="left"/>
              <w:rPr>
                <w:rFonts w:ascii="Times New Roman" w:eastAsia="宋体" w:hAnsi="宋体" w:cs="宋体"/>
                <w:vanish/>
                <w:kern w:val="0"/>
                <w:sz w:val="24"/>
              </w:rPr>
            </w:pPr>
          </w:p>
        </w:tc>
      </w:tr>
      <w:tr w:rsidR="00D7560A" w14:paraId="59E4B875" w14:textId="77777777">
        <w:trPr>
          <w:jc w:val="center"/>
        </w:trPr>
        <w:tc>
          <w:tcPr>
            <w:tcW w:w="0" w:type="auto"/>
            <w:gridSpan w:val="3"/>
            <w:tcBorders>
              <w:top w:val="nil"/>
              <w:left w:val="nil"/>
              <w:bottom w:val="nil"/>
              <w:right w:val="nil"/>
            </w:tcBorders>
            <w:shd w:val="clear" w:color="auto" w:fill="CCEEFF"/>
            <w:tcMar>
              <w:top w:w="40" w:type="dxa"/>
              <w:left w:w="245" w:type="dxa"/>
              <w:bottom w:w="40" w:type="dxa"/>
              <w:right w:w="20" w:type="dxa"/>
            </w:tcMar>
            <w:vAlign w:val="bottom"/>
          </w:tcPr>
          <w:p w14:paraId="59E4B861"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Aggregate adjustment for income taxes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B862"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(186)</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863"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864"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865"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866"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B867"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(134)</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868"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869"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B86A"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(385)</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86B"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86C"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86D"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86E"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B86F"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(327)</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870"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59E4B871"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872"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873"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874" w14:textId="77777777" w:rsidR="00D7560A" w:rsidRDefault="00D7560A">
            <w:pPr>
              <w:widowControl/>
              <w:jc w:val="left"/>
              <w:rPr>
                <w:rFonts w:ascii="Times New Roman" w:eastAsia="宋体" w:hAnsi="宋体" w:cs="宋体"/>
                <w:vanish/>
                <w:kern w:val="0"/>
                <w:sz w:val="24"/>
              </w:rPr>
            </w:pPr>
          </w:p>
        </w:tc>
      </w:tr>
      <w:tr w:rsidR="00D7560A" w14:paraId="59E4B890"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59E4B876" w14:textId="77777777" w:rsidR="00D7560A" w:rsidRDefault="001E3CAB">
            <w:pPr>
              <w:widowControl/>
              <w:spacing w:after="160"/>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Non-GAAP net income</w:t>
            </w: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59E4B877"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59E4B878"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1,266 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59E4B879"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87A"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B87B"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B87C"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87D"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59E4B87E"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59E4B87F"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1,166 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59E4B880"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881"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59E4B882"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59E4B883"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2,700 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59E4B884"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885"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B886"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B887"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888"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59E4B889"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59E4B88A"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2,221 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59E4B88B"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59E4B88C"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88D"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88E"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88F" w14:textId="77777777" w:rsidR="00D7560A" w:rsidRDefault="00D7560A">
            <w:pPr>
              <w:widowControl/>
              <w:jc w:val="left"/>
              <w:rPr>
                <w:rFonts w:ascii="Times New Roman" w:eastAsia="宋体" w:hAnsi="宋体" w:cs="宋体"/>
                <w:vanish/>
                <w:kern w:val="0"/>
                <w:sz w:val="24"/>
              </w:rPr>
            </w:pPr>
          </w:p>
        </w:tc>
      </w:tr>
    </w:tbl>
    <w:p w14:paraId="59E4B891"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B892"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68</w:t>
      </w:r>
    </w:p>
    <w:p w14:paraId="59E4B893"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B894" w14:textId="77777777" w:rsidR="00D7560A" w:rsidRDefault="001E3CAB">
      <w:pPr>
        <w:widowControl/>
        <w:jc w:val="center"/>
      </w:pPr>
      <w:r>
        <w:rPr>
          <w:rFonts w:ascii="宋体" w:eastAsia="宋体" w:hAnsi="宋体" w:cs="宋体"/>
          <w:kern w:val="0"/>
          <w:sz w:val="24"/>
        </w:rPr>
        <w:pict w14:anchorId="59E4C80F">
          <v:rect id="_x0000_i1092" style="width:6in;height:1.5pt" o:hralign="center" o:hrstd="t" o:hr="t" fillcolor="#a0a0a0" stroked="f"/>
        </w:pict>
      </w:r>
    </w:p>
    <w:p w14:paraId="59E4B895" w14:textId="77777777" w:rsidR="00D7560A" w:rsidRDefault="001E3CAB">
      <w:pPr>
        <w:widowControl/>
        <w:jc w:val="left"/>
        <w:rPr>
          <w:rFonts w:ascii="宋体" w:eastAsia="宋体" w:hAnsi="宋体" w:cs="宋体"/>
          <w:kern w:val="0"/>
          <w:sz w:val="24"/>
        </w:rPr>
      </w:pPr>
      <w:hyperlink w:anchor="if933dd1d5d004d2495dd7029e3ecad00_13" w:history="1">
        <w:r>
          <w:rPr>
            <w:rStyle w:val="a4"/>
            <w:rFonts w:ascii="Times New Roman" w:eastAsia="宋体" w:hAnsi="Times New Roman" w:cs="Times New Roman"/>
            <w:sz w:val="20"/>
            <w:szCs w:val="20"/>
          </w:rPr>
          <w:t>Table of Contents</w:t>
        </w:r>
      </w:hyperlink>
    </w:p>
    <w:p w14:paraId="59E4B896"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In addition to the above measures, we also use EBITDA and adjusted EBITDA to provide additional information for evaluation of our operating performance. Adjusted EBITDA excludes purchase accounting adjustments related to the EMC merger transaction and the </w:t>
      </w:r>
      <w:r>
        <w:rPr>
          <w:rFonts w:ascii="Times New Roman" w:eastAsia="宋体" w:hAnsi="Times New Roman" w:cs="Times New Roman"/>
          <w:color w:val="000000"/>
          <w:kern w:val="0"/>
          <w:sz w:val="20"/>
          <w:szCs w:val="20"/>
          <w:lang w:bidi="ar"/>
        </w:rPr>
        <w:t>going-private transaction, acquisition, integration, and divestiture related costs, impairment charges, and severance, facility action, and other costs, and stock-based compensation expense. We believe that, due to the non-operational nature of the purchas</w:t>
      </w:r>
      <w:r>
        <w:rPr>
          <w:rFonts w:ascii="Times New Roman" w:eastAsia="宋体" w:hAnsi="Times New Roman" w:cs="Times New Roman"/>
          <w:color w:val="000000"/>
          <w:kern w:val="0"/>
          <w:sz w:val="20"/>
          <w:szCs w:val="20"/>
          <w:lang w:bidi="ar"/>
        </w:rPr>
        <w:t xml:space="preserve">e accounting entries, it is appropriate to exclude these adjustments. </w:t>
      </w:r>
    </w:p>
    <w:p w14:paraId="59E4B897"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B898"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As is the case with the non-GAAP measures presented above, users should consider the limitations of using EBITDA and adjusted EBITDA, including the fact that those measures do not pro</w:t>
      </w:r>
      <w:r>
        <w:rPr>
          <w:rFonts w:ascii="Times New Roman" w:eastAsia="宋体" w:hAnsi="Times New Roman" w:cs="Times New Roman"/>
          <w:color w:val="000000"/>
          <w:kern w:val="0"/>
          <w:sz w:val="20"/>
          <w:szCs w:val="20"/>
          <w:lang w:bidi="ar"/>
        </w:rPr>
        <w:t>vide a complete measure of our operating performance. EBITDA and adjusted EBITDA do not purport to be alternatives to net income as measures of operating performance or to cash flows from operating activities as a measure of liquidity. In particular, EBITD</w:t>
      </w:r>
      <w:r>
        <w:rPr>
          <w:rFonts w:ascii="Times New Roman" w:eastAsia="宋体" w:hAnsi="Times New Roman" w:cs="Times New Roman"/>
          <w:color w:val="000000"/>
          <w:kern w:val="0"/>
          <w:sz w:val="20"/>
          <w:szCs w:val="20"/>
          <w:lang w:bidi="ar"/>
        </w:rPr>
        <w:t>A and adjusted EBITDA are not intended to be a measure of free cash flow available for management’s discretionary use, as these measures do not consider certain cash requirements, such as working capital needs, capital expenditures, contractual commitments</w:t>
      </w:r>
      <w:r>
        <w:rPr>
          <w:rFonts w:ascii="Times New Roman" w:eastAsia="宋体" w:hAnsi="Times New Roman" w:cs="Times New Roman"/>
          <w:color w:val="000000"/>
          <w:kern w:val="0"/>
          <w:sz w:val="20"/>
          <w:szCs w:val="20"/>
          <w:lang w:bidi="ar"/>
        </w:rPr>
        <w:t>, interest payments, tax payments, and other debt service requirements.</w:t>
      </w:r>
    </w:p>
    <w:p w14:paraId="59E4B899"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B89A" w14:textId="77777777" w:rsidR="00D7560A" w:rsidRDefault="001E3CAB">
      <w:pPr>
        <w:widowControl/>
        <w:spacing w:after="12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The following table presents a reconciliation of EBITDA and adjusted EBITDA to net income for the periods indicated: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53"/>
        <w:gridCol w:w="2276"/>
        <w:gridCol w:w="40"/>
        <w:gridCol w:w="120"/>
        <w:gridCol w:w="655"/>
        <w:gridCol w:w="36"/>
        <w:gridCol w:w="36"/>
        <w:gridCol w:w="36"/>
        <w:gridCol w:w="36"/>
        <w:gridCol w:w="92"/>
        <w:gridCol w:w="595"/>
        <w:gridCol w:w="187"/>
        <w:gridCol w:w="36"/>
        <w:gridCol w:w="36"/>
        <w:gridCol w:w="36"/>
        <w:gridCol w:w="120"/>
        <w:gridCol w:w="656"/>
        <w:gridCol w:w="36"/>
        <w:gridCol w:w="36"/>
        <w:gridCol w:w="36"/>
        <w:gridCol w:w="36"/>
        <w:gridCol w:w="120"/>
        <w:gridCol w:w="656"/>
        <w:gridCol w:w="36"/>
        <w:gridCol w:w="36"/>
        <w:gridCol w:w="36"/>
        <w:gridCol w:w="36"/>
        <w:gridCol w:w="92"/>
        <w:gridCol w:w="595"/>
        <w:gridCol w:w="187"/>
        <w:gridCol w:w="36"/>
        <w:gridCol w:w="36"/>
        <w:gridCol w:w="36"/>
        <w:gridCol w:w="120"/>
        <w:gridCol w:w="656"/>
        <w:gridCol w:w="36"/>
        <w:gridCol w:w="36"/>
        <w:gridCol w:w="36"/>
        <w:gridCol w:w="36"/>
        <w:gridCol w:w="36"/>
        <w:gridCol w:w="36"/>
        <w:gridCol w:w="36"/>
        <w:gridCol w:w="36"/>
        <w:gridCol w:w="36"/>
        <w:gridCol w:w="36"/>
        <w:gridCol w:w="36"/>
        <w:gridCol w:w="36"/>
        <w:gridCol w:w="36"/>
      </w:tblGrid>
      <w:tr w:rsidR="00D7560A" w14:paraId="59E4B8C3" w14:textId="77777777">
        <w:trPr>
          <w:jc w:val="center"/>
        </w:trPr>
        <w:tc>
          <w:tcPr>
            <w:tcW w:w="50" w:type="pct"/>
            <w:tcBorders>
              <w:top w:val="nil"/>
              <w:left w:val="nil"/>
              <w:bottom w:val="nil"/>
              <w:right w:val="nil"/>
            </w:tcBorders>
            <w:shd w:val="clear" w:color="auto" w:fill="auto"/>
            <w:vAlign w:val="bottom"/>
          </w:tcPr>
          <w:p w14:paraId="59E4B89B" w14:textId="77777777" w:rsidR="00D7560A" w:rsidRDefault="00D7560A">
            <w:pPr>
              <w:widowControl/>
              <w:jc w:val="left"/>
              <w:rPr>
                <w:rFonts w:ascii="Times New Roman" w:eastAsia="宋体" w:hAnsi="宋体" w:cs="宋体"/>
                <w:kern w:val="0"/>
                <w:sz w:val="24"/>
              </w:rPr>
            </w:pPr>
          </w:p>
        </w:tc>
        <w:tc>
          <w:tcPr>
            <w:tcW w:w="1669" w:type="pct"/>
            <w:tcBorders>
              <w:top w:val="nil"/>
              <w:left w:val="nil"/>
              <w:bottom w:val="nil"/>
              <w:right w:val="nil"/>
            </w:tcBorders>
            <w:shd w:val="clear" w:color="auto" w:fill="auto"/>
            <w:vAlign w:val="bottom"/>
          </w:tcPr>
          <w:p w14:paraId="59E4B89C"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B89D"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B89E" w14:textId="77777777" w:rsidR="00D7560A" w:rsidRDefault="00D7560A">
            <w:pPr>
              <w:widowControl/>
              <w:jc w:val="left"/>
              <w:rPr>
                <w:rFonts w:ascii="Times New Roman" w:eastAsia="宋体" w:hAnsi="宋体" w:cs="宋体"/>
                <w:kern w:val="0"/>
                <w:sz w:val="24"/>
              </w:rPr>
            </w:pPr>
          </w:p>
        </w:tc>
        <w:tc>
          <w:tcPr>
            <w:tcW w:w="537" w:type="pct"/>
            <w:tcBorders>
              <w:top w:val="nil"/>
              <w:left w:val="nil"/>
              <w:bottom w:val="nil"/>
              <w:right w:val="nil"/>
            </w:tcBorders>
            <w:shd w:val="clear" w:color="auto" w:fill="auto"/>
            <w:vAlign w:val="bottom"/>
          </w:tcPr>
          <w:p w14:paraId="59E4B89F"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B8A0"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B8A1" w14:textId="77777777" w:rsidR="00D7560A" w:rsidRDefault="00D7560A">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59E4B8A2"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B8A3"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B8A4" w14:textId="77777777" w:rsidR="00D7560A" w:rsidRDefault="00D7560A">
            <w:pPr>
              <w:widowControl/>
              <w:jc w:val="left"/>
              <w:rPr>
                <w:rFonts w:ascii="Times New Roman" w:eastAsia="宋体" w:hAnsi="宋体" w:cs="宋体"/>
                <w:kern w:val="0"/>
                <w:sz w:val="24"/>
              </w:rPr>
            </w:pPr>
          </w:p>
        </w:tc>
        <w:tc>
          <w:tcPr>
            <w:tcW w:w="325" w:type="pct"/>
            <w:tcBorders>
              <w:top w:val="nil"/>
              <w:left w:val="nil"/>
              <w:bottom w:val="nil"/>
              <w:right w:val="nil"/>
            </w:tcBorders>
            <w:shd w:val="clear" w:color="auto" w:fill="auto"/>
            <w:vAlign w:val="bottom"/>
          </w:tcPr>
          <w:p w14:paraId="59E4B8A5"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B8A6"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B8A7" w14:textId="77777777" w:rsidR="00D7560A" w:rsidRDefault="00D7560A">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59E4B8A8"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B8A9"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B8AA" w14:textId="77777777" w:rsidR="00D7560A" w:rsidRDefault="00D7560A">
            <w:pPr>
              <w:widowControl/>
              <w:jc w:val="left"/>
              <w:rPr>
                <w:rFonts w:ascii="Times New Roman" w:eastAsia="宋体" w:hAnsi="宋体" w:cs="宋体"/>
                <w:kern w:val="0"/>
                <w:sz w:val="24"/>
              </w:rPr>
            </w:pPr>
          </w:p>
        </w:tc>
        <w:tc>
          <w:tcPr>
            <w:tcW w:w="537" w:type="pct"/>
            <w:tcBorders>
              <w:top w:val="nil"/>
              <w:left w:val="nil"/>
              <w:bottom w:val="nil"/>
              <w:right w:val="nil"/>
            </w:tcBorders>
            <w:shd w:val="clear" w:color="auto" w:fill="auto"/>
            <w:vAlign w:val="bottom"/>
          </w:tcPr>
          <w:p w14:paraId="59E4B8AB"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B8AC"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B8AD" w14:textId="77777777" w:rsidR="00D7560A" w:rsidRDefault="00D7560A">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59E4B8AE"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B8AF"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B8B0" w14:textId="77777777" w:rsidR="00D7560A" w:rsidRDefault="00D7560A">
            <w:pPr>
              <w:widowControl/>
              <w:jc w:val="left"/>
              <w:rPr>
                <w:rFonts w:ascii="Times New Roman" w:eastAsia="宋体" w:hAnsi="宋体" w:cs="宋体"/>
                <w:kern w:val="0"/>
                <w:sz w:val="24"/>
              </w:rPr>
            </w:pPr>
          </w:p>
        </w:tc>
        <w:tc>
          <w:tcPr>
            <w:tcW w:w="537" w:type="pct"/>
            <w:tcBorders>
              <w:top w:val="nil"/>
              <w:left w:val="nil"/>
              <w:bottom w:val="nil"/>
              <w:right w:val="nil"/>
            </w:tcBorders>
            <w:shd w:val="clear" w:color="auto" w:fill="auto"/>
            <w:vAlign w:val="bottom"/>
          </w:tcPr>
          <w:p w14:paraId="59E4B8B1"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B8B2"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B8B3" w14:textId="77777777" w:rsidR="00D7560A" w:rsidRDefault="00D7560A">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59E4B8B4"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B8B5"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B8B6" w14:textId="77777777" w:rsidR="00D7560A" w:rsidRDefault="00D7560A">
            <w:pPr>
              <w:widowControl/>
              <w:jc w:val="left"/>
              <w:rPr>
                <w:rFonts w:ascii="Times New Roman" w:eastAsia="宋体" w:hAnsi="宋体" w:cs="宋体"/>
                <w:kern w:val="0"/>
                <w:sz w:val="24"/>
              </w:rPr>
            </w:pPr>
          </w:p>
        </w:tc>
        <w:tc>
          <w:tcPr>
            <w:tcW w:w="325" w:type="pct"/>
            <w:tcBorders>
              <w:top w:val="nil"/>
              <w:left w:val="nil"/>
              <w:bottom w:val="nil"/>
              <w:right w:val="nil"/>
            </w:tcBorders>
            <w:shd w:val="clear" w:color="auto" w:fill="auto"/>
            <w:vAlign w:val="bottom"/>
          </w:tcPr>
          <w:p w14:paraId="59E4B8B7"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B8B8"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B8B9" w14:textId="77777777" w:rsidR="00D7560A" w:rsidRDefault="00D7560A">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59E4B8BA"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B8BB"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B8BC" w14:textId="77777777" w:rsidR="00D7560A" w:rsidRDefault="00D7560A">
            <w:pPr>
              <w:widowControl/>
              <w:jc w:val="left"/>
              <w:rPr>
                <w:rFonts w:ascii="Times New Roman" w:eastAsia="宋体" w:hAnsi="宋体" w:cs="宋体"/>
                <w:kern w:val="0"/>
                <w:sz w:val="24"/>
              </w:rPr>
            </w:pPr>
          </w:p>
        </w:tc>
        <w:tc>
          <w:tcPr>
            <w:tcW w:w="537" w:type="pct"/>
            <w:tcBorders>
              <w:top w:val="nil"/>
              <w:left w:val="nil"/>
              <w:bottom w:val="nil"/>
              <w:right w:val="nil"/>
            </w:tcBorders>
            <w:shd w:val="clear" w:color="auto" w:fill="auto"/>
            <w:vAlign w:val="bottom"/>
          </w:tcPr>
          <w:p w14:paraId="59E4B8BD"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B8BE"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59E4B8BF"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8C0"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8C1"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8C2" w14:textId="77777777" w:rsidR="00D7560A" w:rsidRDefault="00D7560A">
            <w:pPr>
              <w:widowControl/>
              <w:jc w:val="left"/>
              <w:rPr>
                <w:rFonts w:ascii="Times New Roman" w:eastAsia="宋体" w:hAnsi="宋体" w:cs="宋体"/>
                <w:vanish/>
                <w:kern w:val="0"/>
                <w:sz w:val="24"/>
              </w:rPr>
            </w:pPr>
          </w:p>
        </w:tc>
      </w:tr>
      <w:tr w:rsidR="00D7560A" w14:paraId="59E4B8D4"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B8C4" w14:textId="77777777" w:rsidR="00D7560A" w:rsidRDefault="00D7560A">
            <w:pPr>
              <w:widowControl/>
              <w:jc w:val="left"/>
              <w:rPr>
                <w:rFonts w:ascii="Times New Roman" w:eastAsia="宋体" w:hAnsi="宋体" w:cs="宋体"/>
                <w:kern w:val="0"/>
                <w:sz w:val="24"/>
              </w:rPr>
            </w:pPr>
          </w:p>
        </w:tc>
        <w:tc>
          <w:tcPr>
            <w:tcW w:w="0" w:type="auto"/>
            <w:gridSpan w:val="15"/>
            <w:tcBorders>
              <w:top w:val="nil"/>
              <w:left w:val="nil"/>
              <w:bottom w:val="nil"/>
              <w:right w:val="nil"/>
            </w:tcBorders>
            <w:shd w:val="clear" w:color="auto" w:fill="auto"/>
            <w:tcMar>
              <w:top w:w="40" w:type="dxa"/>
              <w:left w:w="20" w:type="dxa"/>
              <w:bottom w:w="40" w:type="dxa"/>
              <w:right w:w="20" w:type="dxa"/>
            </w:tcMar>
            <w:vAlign w:val="bottom"/>
          </w:tcPr>
          <w:p w14:paraId="59E4B8C5"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Three Months Ended</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B8C6" w14:textId="77777777" w:rsidR="00D7560A" w:rsidRDefault="00D7560A">
            <w:pPr>
              <w:widowControl/>
              <w:jc w:val="left"/>
              <w:rPr>
                <w:rFonts w:ascii="Times New Roman" w:eastAsia="宋体" w:hAnsi="宋体" w:cs="宋体"/>
                <w:kern w:val="0"/>
                <w:sz w:val="24"/>
              </w:rPr>
            </w:pPr>
          </w:p>
        </w:tc>
        <w:tc>
          <w:tcPr>
            <w:tcW w:w="0" w:type="auto"/>
            <w:gridSpan w:val="15"/>
            <w:tcBorders>
              <w:top w:val="nil"/>
              <w:left w:val="nil"/>
              <w:bottom w:val="nil"/>
              <w:right w:val="nil"/>
            </w:tcBorders>
            <w:shd w:val="clear" w:color="auto" w:fill="auto"/>
            <w:tcMar>
              <w:top w:w="40" w:type="dxa"/>
              <w:left w:w="20" w:type="dxa"/>
              <w:bottom w:w="40" w:type="dxa"/>
              <w:right w:w="20" w:type="dxa"/>
            </w:tcMar>
            <w:vAlign w:val="bottom"/>
          </w:tcPr>
          <w:p w14:paraId="59E4B8C7"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Six Months Ended</w:t>
            </w:r>
          </w:p>
        </w:tc>
        <w:tc>
          <w:tcPr>
            <w:tcW w:w="0" w:type="auto"/>
            <w:tcBorders>
              <w:top w:val="nil"/>
              <w:left w:val="nil"/>
              <w:bottom w:val="nil"/>
              <w:right w:val="nil"/>
            </w:tcBorders>
            <w:shd w:val="clear" w:color="auto" w:fill="auto"/>
            <w:vAlign w:val="bottom"/>
          </w:tcPr>
          <w:p w14:paraId="59E4B8C8"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B8C9"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B8CA"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B8CB"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B8CC"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B8CD"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B8CE"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B8CF"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B8D0"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B8D1"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B8D2"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B8D3" w14:textId="77777777" w:rsidR="00D7560A" w:rsidRDefault="00D7560A">
            <w:pPr>
              <w:widowControl/>
              <w:jc w:val="left"/>
              <w:rPr>
                <w:rFonts w:ascii="Times New Roman" w:eastAsia="宋体" w:hAnsi="宋体" w:cs="宋体"/>
                <w:kern w:val="0"/>
                <w:sz w:val="24"/>
              </w:rPr>
            </w:pPr>
          </w:p>
        </w:tc>
      </w:tr>
      <w:tr w:rsidR="00D7560A" w14:paraId="59E4B8E5"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B8D5"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59E4B8D6"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29,</w:t>
            </w:r>
            <w:r>
              <w:rPr>
                <w:rFonts w:ascii="Times New Roman" w:eastAsia="宋体" w:hAnsi="Times New Roman" w:cs="Times New Roman"/>
                <w:b/>
                <w:bCs/>
                <w:color w:val="000000"/>
                <w:kern w:val="0"/>
                <w:sz w:val="20"/>
                <w:szCs w:val="20"/>
                <w:lang w:bidi="ar"/>
              </w:rPr>
              <w:br/>
            </w:r>
            <w:r>
              <w:rPr>
                <w:rFonts w:ascii="Times New Roman" w:eastAsia="宋体" w:hAnsi="Times New Roman" w:cs="Times New Roman"/>
                <w:b/>
                <w:bCs/>
                <w:color w:val="000000"/>
                <w:kern w:val="0"/>
                <w:sz w:val="20"/>
                <w:szCs w:val="20"/>
                <w:lang w:bidi="ar"/>
              </w:rPr>
              <w:t>2022</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59E4B8D7"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59E4B8D8"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 Change</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59E4B8D9"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59E4B8DA"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30,</w:t>
            </w:r>
            <w:r>
              <w:rPr>
                <w:rFonts w:ascii="Times New Roman" w:eastAsia="宋体" w:hAnsi="Times New Roman" w:cs="Times New Roman"/>
                <w:b/>
                <w:bCs/>
                <w:color w:val="000000"/>
                <w:kern w:val="0"/>
                <w:sz w:val="20"/>
                <w:szCs w:val="20"/>
                <w:lang w:bidi="ar"/>
              </w:rPr>
              <w:br/>
              <w:t>2021</w:t>
            </w: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59E4B8DB"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59E4B8DC"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29,</w:t>
            </w:r>
            <w:r>
              <w:rPr>
                <w:rFonts w:ascii="Times New Roman" w:eastAsia="宋体" w:hAnsi="Times New Roman" w:cs="Times New Roman"/>
                <w:b/>
                <w:bCs/>
                <w:color w:val="000000"/>
                <w:kern w:val="0"/>
                <w:sz w:val="20"/>
                <w:szCs w:val="20"/>
                <w:lang w:bidi="ar"/>
              </w:rPr>
              <w:br/>
              <w:t>2022</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59E4B8DD"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59E4B8DE"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 Change</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59E4B8DF"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59E4B8E0"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30,</w:t>
            </w:r>
            <w:r>
              <w:rPr>
                <w:rFonts w:ascii="Times New Roman" w:eastAsia="宋体" w:hAnsi="Times New Roman" w:cs="Times New Roman"/>
                <w:b/>
                <w:bCs/>
                <w:color w:val="000000"/>
                <w:kern w:val="0"/>
                <w:sz w:val="20"/>
                <w:szCs w:val="20"/>
                <w:lang w:bidi="ar"/>
              </w:rPr>
              <w:br/>
              <w:t>2021</w:t>
            </w:r>
          </w:p>
        </w:tc>
        <w:tc>
          <w:tcPr>
            <w:tcW w:w="0" w:type="auto"/>
            <w:gridSpan w:val="3"/>
            <w:tcBorders>
              <w:top w:val="nil"/>
              <w:left w:val="nil"/>
              <w:bottom w:val="nil"/>
              <w:right w:val="nil"/>
            </w:tcBorders>
            <w:shd w:val="clear" w:color="auto" w:fill="auto"/>
            <w:vAlign w:val="bottom"/>
          </w:tcPr>
          <w:p w14:paraId="59E4B8E1"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8E2"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8E3"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8E4" w14:textId="77777777" w:rsidR="00D7560A" w:rsidRDefault="00D7560A">
            <w:pPr>
              <w:widowControl/>
              <w:jc w:val="left"/>
              <w:rPr>
                <w:rFonts w:ascii="Times New Roman" w:eastAsia="宋体" w:hAnsi="宋体" w:cs="宋体"/>
                <w:vanish/>
                <w:kern w:val="0"/>
                <w:sz w:val="24"/>
              </w:rPr>
            </w:pPr>
          </w:p>
        </w:tc>
      </w:tr>
      <w:tr w:rsidR="00D7560A" w14:paraId="59E4B8F4"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9E4B8E6"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gridSpan w:val="3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59E4B8E7"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(in millions, except percentages)</w:t>
            </w:r>
          </w:p>
        </w:tc>
        <w:tc>
          <w:tcPr>
            <w:tcW w:w="0" w:type="auto"/>
            <w:tcBorders>
              <w:top w:val="nil"/>
              <w:left w:val="nil"/>
              <w:bottom w:val="nil"/>
              <w:right w:val="nil"/>
            </w:tcBorders>
            <w:shd w:val="clear" w:color="auto" w:fill="auto"/>
            <w:vAlign w:val="bottom"/>
          </w:tcPr>
          <w:p w14:paraId="59E4B8E8"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B8E9"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B8EA"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B8EB"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B8EC"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B8ED"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B8EE"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B8EF"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B8F0"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B8F1"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B8F2"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B8F3" w14:textId="77777777" w:rsidR="00D7560A" w:rsidRDefault="00D7560A">
            <w:pPr>
              <w:widowControl/>
              <w:jc w:val="left"/>
              <w:rPr>
                <w:rFonts w:ascii="Times New Roman" w:eastAsia="宋体" w:hAnsi="宋体" w:cs="宋体"/>
                <w:kern w:val="0"/>
                <w:sz w:val="24"/>
              </w:rPr>
            </w:pPr>
          </w:p>
        </w:tc>
      </w:tr>
      <w:tr w:rsidR="00D7560A" w14:paraId="59E4B90F"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9E4B8F5"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Net income from continuing operations</w:t>
            </w: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9E4B8F6"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9E4B8F7"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506 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8F8"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8F9"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B8FA"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(20)</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8FB"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8FC"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9E4B8FD"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9E4B8FE"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629 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8FF"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900"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9E4B901"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9E4B902"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1,575 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903"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904"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B905"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906"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907"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9E4B908"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9E4B909"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1,288 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90A"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59E4B90B"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90C"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90D"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90E" w14:textId="77777777" w:rsidR="00D7560A" w:rsidRDefault="00D7560A">
            <w:pPr>
              <w:widowControl/>
              <w:jc w:val="left"/>
              <w:rPr>
                <w:rFonts w:ascii="Times New Roman" w:eastAsia="宋体" w:hAnsi="宋体" w:cs="宋体"/>
                <w:vanish/>
                <w:kern w:val="0"/>
                <w:sz w:val="24"/>
              </w:rPr>
            </w:pPr>
          </w:p>
        </w:tc>
      </w:tr>
      <w:tr w:rsidR="00D7560A" w14:paraId="59E4B920" w14:textId="77777777">
        <w:trPr>
          <w:jc w:val="center"/>
        </w:trPr>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59E4B910"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Adjustments:</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911"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912"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913"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914"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915"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916"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917"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918"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919"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91A"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91B"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59E4B91C"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91D"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91E"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91F" w14:textId="77777777" w:rsidR="00D7560A" w:rsidRDefault="00D7560A">
            <w:pPr>
              <w:widowControl/>
              <w:jc w:val="left"/>
              <w:rPr>
                <w:rFonts w:ascii="Times New Roman" w:eastAsia="宋体" w:hAnsi="宋体" w:cs="宋体"/>
                <w:vanish/>
                <w:kern w:val="0"/>
                <w:sz w:val="24"/>
              </w:rPr>
            </w:pPr>
          </w:p>
        </w:tc>
      </w:tr>
      <w:tr w:rsidR="00D7560A" w14:paraId="59E4B935" w14:textId="77777777">
        <w:trPr>
          <w:jc w:val="center"/>
        </w:trPr>
        <w:tc>
          <w:tcPr>
            <w:tcW w:w="0" w:type="auto"/>
            <w:gridSpan w:val="3"/>
            <w:tcBorders>
              <w:top w:val="nil"/>
              <w:left w:val="nil"/>
              <w:bottom w:val="nil"/>
              <w:right w:val="nil"/>
            </w:tcBorders>
            <w:shd w:val="clear" w:color="auto" w:fill="CCEEFF"/>
            <w:tcMar>
              <w:top w:w="40" w:type="dxa"/>
              <w:left w:w="245" w:type="dxa"/>
              <w:bottom w:w="40" w:type="dxa"/>
              <w:right w:w="20" w:type="dxa"/>
            </w:tcMar>
            <w:vAlign w:val="bottom"/>
          </w:tcPr>
          <w:p w14:paraId="59E4B921"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Interest and other, net (a)</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B922"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635 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923"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924"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925"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926"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B927"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292 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928"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929"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B92A"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972 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92B"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92C"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92D"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92E"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B92F"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580 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930"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59E4B931"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932"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933"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934" w14:textId="77777777" w:rsidR="00D7560A" w:rsidRDefault="00D7560A">
            <w:pPr>
              <w:widowControl/>
              <w:jc w:val="left"/>
              <w:rPr>
                <w:rFonts w:ascii="Times New Roman" w:eastAsia="宋体" w:hAnsi="宋体" w:cs="宋体"/>
                <w:vanish/>
                <w:kern w:val="0"/>
                <w:sz w:val="24"/>
              </w:rPr>
            </w:pPr>
          </w:p>
        </w:tc>
      </w:tr>
      <w:tr w:rsidR="00D7560A" w14:paraId="59E4B94A" w14:textId="77777777">
        <w:trPr>
          <w:jc w:val="center"/>
        </w:trPr>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59E4B936"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Income tax expense (benefit)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B937"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129 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B938"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939"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93A"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93B"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B93C"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B93D"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93E"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B93F"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273 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B940"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941"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942"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943"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B944"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136 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B945"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59E4B946"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947"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948"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949" w14:textId="77777777" w:rsidR="00D7560A" w:rsidRDefault="00D7560A">
            <w:pPr>
              <w:widowControl/>
              <w:jc w:val="left"/>
              <w:rPr>
                <w:rFonts w:ascii="Times New Roman" w:eastAsia="宋体" w:hAnsi="宋体" w:cs="宋体"/>
                <w:vanish/>
                <w:kern w:val="0"/>
                <w:sz w:val="24"/>
              </w:rPr>
            </w:pPr>
          </w:p>
        </w:tc>
      </w:tr>
      <w:tr w:rsidR="00D7560A" w14:paraId="59E4B95F" w14:textId="77777777">
        <w:trPr>
          <w:jc w:val="center"/>
        </w:trPr>
        <w:tc>
          <w:tcPr>
            <w:tcW w:w="0" w:type="auto"/>
            <w:gridSpan w:val="3"/>
            <w:tcBorders>
              <w:top w:val="nil"/>
              <w:left w:val="nil"/>
              <w:bottom w:val="nil"/>
              <w:right w:val="nil"/>
            </w:tcBorders>
            <w:shd w:val="clear" w:color="auto" w:fill="CCEEFF"/>
            <w:tcMar>
              <w:top w:w="40" w:type="dxa"/>
              <w:left w:w="245" w:type="dxa"/>
              <w:bottom w:w="40" w:type="dxa"/>
              <w:right w:w="20" w:type="dxa"/>
            </w:tcMar>
            <w:vAlign w:val="bottom"/>
          </w:tcPr>
          <w:p w14:paraId="59E4B94B"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Depreciation and amortization</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B94C"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744 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94D"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94E"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94F"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950"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B951"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904 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952"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953"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B954"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1,470 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955"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956"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957"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958"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B959"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1,809 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95A"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59E4B95B"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95C"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95D"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95E" w14:textId="77777777" w:rsidR="00D7560A" w:rsidRDefault="00D7560A">
            <w:pPr>
              <w:widowControl/>
              <w:jc w:val="left"/>
              <w:rPr>
                <w:rFonts w:ascii="Times New Roman" w:eastAsia="宋体" w:hAnsi="宋体" w:cs="宋体"/>
                <w:vanish/>
                <w:kern w:val="0"/>
                <w:sz w:val="24"/>
              </w:rPr>
            </w:pPr>
          </w:p>
        </w:tc>
      </w:tr>
      <w:tr w:rsidR="00D7560A" w14:paraId="59E4B97A" w14:textId="77777777">
        <w:trPr>
          <w:jc w:val="center"/>
        </w:trPr>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59E4B960"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EBITDA</w:t>
            </w: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59E4B961"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59E4B962"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2,014 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59E4B963"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964"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B965"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B966"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967"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59E4B968"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59E4B969"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1,921 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59E4B96A"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96B"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59E4B96C"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59E4B96D"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4,290 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59E4B96E"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96F"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B970"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B971"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972"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59E4B973"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59E4B974"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3,813 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59E4B975"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59E4B976"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977"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978"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979" w14:textId="77777777" w:rsidR="00D7560A" w:rsidRDefault="00D7560A">
            <w:pPr>
              <w:widowControl/>
              <w:jc w:val="left"/>
              <w:rPr>
                <w:rFonts w:ascii="Times New Roman" w:eastAsia="宋体" w:hAnsi="宋体" w:cs="宋体"/>
                <w:vanish/>
                <w:kern w:val="0"/>
                <w:sz w:val="24"/>
              </w:rPr>
            </w:pPr>
          </w:p>
        </w:tc>
      </w:tr>
      <w:tr w:rsidR="00D7560A" w14:paraId="59E4B98B" w14:textId="77777777">
        <w:trPr>
          <w:trHeight w:val="300"/>
          <w:jc w:val="center"/>
        </w:trPr>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97B" w14:textId="77777777" w:rsidR="00D7560A" w:rsidRDefault="00D7560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59E4B97C"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97D"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97E"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97F" w14:textId="77777777" w:rsidR="00D7560A" w:rsidRDefault="00D7560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59E4B980"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981" w14:textId="77777777" w:rsidR="00D7560A" w:rsidRDefault="00D7560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59E4B982"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983"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984"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985" w14:textId="77777777" w:rsidR="00D7560A" w:rsidRDefault="00D7560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59E4B986"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59E4B987"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988"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989"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98A" w14:textId="77777777" w:rsidR="00D7560A" w:rsidRDefault="00D7560A">
            <w:pPr>
              <w:widowControl/>
              <w:jc w:val="left"/>
              <w:rPr>
                <w:rFonts w:ascii="Times New Roman" w:eastAsia="宋体" w:hAnsi="宋体" w:cs="宋体"/>
                <w:vanish/>
                <w:kern w:val="0"/>
                <w:sz w:val="24"/>
              </w:rPr>
            </w:pPr>
          </w:p>
        </w:tc>
      </w:tr>
      <w:tr w:rsidR="00D7560A" w14:paraId="59E4B9A6"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59E4B98C"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EBITDA</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9E4B98D"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9E4B98E"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2,014 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B98F"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990"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B991"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B992"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993"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9E4B994"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9E4B995"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1,921 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B996"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997"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9E4B998"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9E4B999"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4,290 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B99A"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99B"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B99C"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B99D"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99E"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9E4B99F"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9E4B9A0"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3,813 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B9A1"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59E4B9A2"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9A3"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9A4"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9A5" w14:textId="77777777" w:rsidR="00D7560A" w:rsidRDefault="00D7560A">
            <w:pPr>
              <w:widowControl/>
              <w:jc w:val="left"/>
              <w:rPr>
                <w:rFonts w:ascii="Times New Roman" w:eastAsia="宋体" w:hAnsi="宋体" w:cs="宋体"/>
                <w:vanish/>
                <w:kern w:val="0"/>
                <w:sz w:val="24"/>
              </w:rPr>
            </w:pPr>
          </w:p>
        </w:tc>
      </w:tr>
      <w:tr w:rsidR="00D7560A" w14:paraId="59E4B9B7" w14:textId="77777777">
        <w:trPr>
          <w:jc w:val="center"/>
        </w:trPr>
        <w:tc>
          <w:tcPr>
            <w:tcW w:w="0" w:type="auto"/>
            <w:gridSpan w:val="3"/>
            <w:tcBorders>
              <w:top w:val="nil"/>
              <w:left w:val="nil"/>
              <w:bottom w:val="nil"/>
              <w:right w:val="nil"/>
            </w:tcBorders>
            <w:shd w:val="clear" w:color="auto" w:fill="CCEEFF"/>
            <w:tcMar>
              <w:top w:w="40" w:type="dxa"/>
              <w:left w:w="155" w:type="dxa"/>
              <w:bottom w:w="40" w:type="dxa"/>
              <w:right w:w="20" w:type="dxa"/>
            </w:tcMar>
            <w:vAlign w:val="bottom"/>
          </w:tcPr>
          <w:p w14:paraId="59E4B9A7"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Adjustments:</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9A8"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9A9"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9AA"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9AB"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9AC"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9AD"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9AE"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9AF"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9B0"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9B1"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9B2"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59E4B9B3"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9B4"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9B5"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9B6" w14:textId="77777777" w:rsidR="00D7560A" w:rsidRDefault="00D7560A">
            <w:pPr>
              <w:widowControl/>
              <w:jc w:val="left"/>
              <w:rPr>
                <w:rFonts w:ascii="Times New Roman" w:eastAsia="宋体" w:hAnsi="宋体" w:cs="宋体"/>
                <w:vanish/>
                <w:kern w:val="0"/>
                <w:sz w:val="24"/>
              </w:rPr>
            </w:pPr>
          </w:p>
        </w:tc>
      </w:tr>
      <w:tr w:rsidR="00D7560A" w14:paraId="59E4B9CC" w14:textId="77777777">
        <w:trPr>
          <w:jc w:val="center"/>
        </w:trPr>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59E4B9B8"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Stock-based compensation expense</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B9B9"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236 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B9BA"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9BB"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9BC"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9BD"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B9BE"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206 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B9BF"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9C0"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B9C1"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468 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B9C2"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9C3"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9C4"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9C5"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B9C6"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378 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B9C7"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59E4B9C8"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9C9"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9CA"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9CB" w14:textId="77777777" w:rsidR="00D7560A" w:rsidRDefault="00D7560A">
            <w:pPr>
              <w:widowControl/>
              <w:jc w:val="left"/>
              <w:rPr>
                <w:rFonts w:ascii="Times New Roman" w:eastAsia="宋体" w:hAnsi="宋体" w:cs="宋体"/>
                <w:vanish/>
                <w:kern w:val="0"/>
                <w:sz w:val="24"/>
              </w:rPr>
            </w:pPr>
          </w:p>
        </w:tc>
      </w:tr>
      <w:tr w:rsidR="00D7560A" w14:paraId="59E4B9E1" w14:textId="77777777">
        <w:trPr>
          <w:jc w:val="center"/>
        </w:trPr>
        <w:tc>
          <w:tcPr>
            <w:tcW w:w="0" w:type="auto"/>
            <w:gridSpan w:val="3"/>
            <w:tcBorders>
              <w:top w:val="nil"/>
              <w:left w:val="nil"/>
              <w:bottom w:val="nil"/>
              <w:right w:val="nil"/>
            </w:tcBorders>
            <w:shd w:val="clear" w:color="auto" w:fill="CCEEFF"/>
            <w:tcMar>
              <w:top w:w="40" w:type="dxa"/>
              <w:left w:w="245" w:type="dxa"/>
              <w:bottom w:w="40" w:type="dxa"/>
              <w:right w:w="20" w:type="dxa"/>
            </w:tcMar>
            <w:vAlign w:val="bottom"/>
          </w:tcPr>
          <w:p w14:paraId="59E4B9CD"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Impact of purchase accounting (b)</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B9CE"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9CF"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9D0"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9D1"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9D2"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B9D3"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9D4"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9D5"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B9D6"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9D7"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9D8"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9D9"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9DA"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B9DB"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9DC"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59E4B9DD"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9DE"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9DF"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9E0" w14:textId="77777777" w:rsidR="00D7560A" w:rsidRDefault="00D7560A">
            <w:pPr>
              <w:widowControl/>
              <w:jc w:val="left"/>
              <w:rPr>
                <w:rFonts w:ascii="Times New Roman" w:eastAsia="宋体" w:hAnsi="宋体" w:cs="宋体"/>
                <w:vanish/>
                <w:kern w:val="0"/>
                <w:sz w:val="24"/>
              </w:rPr>
            </w:pPr>
          </w:p>
        </w:tc>
      </w:tr>
      <w:tr w:rsidR="00D7560A" w14:paraId="59E4B9F6" w14:textId="77777777">
        <w:trPr>
          <w:jc w:val="center"/>
        </w:trPr>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59E4B9E2"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Transaction-related expenses (c)</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B9E3"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B9E4"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9E5"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9E6"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9E7"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B9E8"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B9E9"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9EA"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B9EB"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B9EC"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9ED"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9EE"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9EF"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B9F0"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B9F1"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59E4B9F2"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9F3"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9F4"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9F5" w14:textId="77777777" w:rsidR="00D7560A" w:rsidRDefault="00D7560A">
            <w:pPr>
              <w:widowControl/>
              <w:jc w:val="left"/>
              <w:rPr>
                <w:rFonts w:ascii="Times New Roman" w:eastAsia="宋体" w:hAnsi="宋体" w:cs="宋体"/>
                <w:vanish/>
                <w:kern w:val="0"/>
                <w:sz w:val="24"/>
              </w:rPr>
            </w:pPr>
          </w:p>
        </w:tc>
      </w:tr>
      <w:tr w:rsidR="00D7560A" w14:paraId="59E4BA0B" w14:textId="77777777">
        <w:trPr>
          <w:jc w:val="center"/>
        </w:trPr>
        <w:tc>
          <w:tcPr>
            <w:tcW w:w="0" w:type="auto"/>
            <w:gridSpan w:val="3"/>
            <w:tcBorders>
              <w:top w:val="nil"/>
              <w:left w:val="nil"/>
              <w:bottom w:val="nil"/>
              <w:right w:val="nil"/>
            </w:tcBorders>
            <w:shd w:val="clear" w:color="auto" w:fill="CCEEFF"/>
            <w:tcMar>
              <w:top w:w="40" w:type="dxa"/>
              <w:left w:w="245" w:type="dxa"/>
              <w:bottom w:w="40" w:type="dxa"/>
              <w:right w:w="20" w:type="dxa"/>
            </w:tcMar>
            <w:vAlign w:val="bottom"/>
          </w:tcPr>
          <w:p w14:paraId="59E4B9F7"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Other corporate expenses (d)</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B9F8"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196 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9F9"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9FA"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9FB"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9FC"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B9FD"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151 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9FE"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9FF"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BA00"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292 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A01"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A02"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A03"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A04"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BA05"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268 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A06"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59E4BA07"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A08"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A09"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A0A" w14:textId="77777777" w:rsidR="00D7560A" w:rsidRDefault="00D7560A">
            <w:pPr>
              <w:widowControl/>
              <w:jc w:val="left"/>
              <w:rPr>
                <w:rFonts w:ascii="Times New Roman" w:eastAsia="宋体" w:hAnsi="宋体" w:cs="宋体"/>
                <w:vanish/>
                <w:kern w:val="0"/>
                <w:sz w:val="24"/>
              </w:rPr>
            </w:pPr>
          </w:p>
        </w:tc>
      </w:tr>
      <w:tr w:rsidR="00D7560A" w14:paraId="59E4BA26" w14:textId="77777777">
        <w:trPr>
          <w:jc w:val="center"/>
        </w:trPr>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59E4BA0C"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Adjusted EBITDA</w:t>
            </w: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59E4BA0D"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59E4BA0E"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2,449 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59E4BA0F"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A10"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BA11"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BA12"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A13"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59E4BA14"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59E4BA15"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2,323 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59E4BA16"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A17"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59E4BA18"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59E4BA19"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5,058 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59E4BA1A"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A1B"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BA1C"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BA1D"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A1E"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59E4BA1F"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59E4BA20"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4,545 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59E4BA21"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59E4BA22"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A23"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A24"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A25" w14:textId="77777777" w:rsidR="00D7560A" w:rsidRDefault="00D7560A">
            <w:pPr>
              <w:widowControl/>
              <w:jc w:val="left"/>
              <w:rPr>
                <w:rFonts w:ascii="Times New Roman" w:eastAsia="宋体" w:hAnsi="宋体" w:cs="宋体"/>
                <w:vanish/>
                <w:kern w:val="0"/>
                <w:sz w:val="24"/>
              </w:rPr>
            </w:pPr>
          </w:p>
        </w:tc>
      </w:tr>
    </w:tbl>
    <w:p w14:paraId="59E4BA27"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____________________</w:t>
      </w:r>
    </w:p>
    <w:p w14:paraId="59E4BA28" w14:textId="77777777" w:rsidR="00D7560A" w:rsidRDefault="001E3CAB">
      <w:pPr>
        <w:widowControl/>
        <w:ind w:left="360" w:hanging="36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(a)See “Results of Operations — Interest and Other, Net” for more information on the components of inter</w:t>
      </w:r>
      <w:r>
        <w:rPr>
          <w:rFonts w:ascii="Times New Roman" w:eastAsia="宋体" w:hAnsi="Times New Roman" w:cs="Times New Roman"/>
          <w:color w:val="000000"/>
          <w:kern w:val="0"/>
          <w:sz w:val="20"/>
          <w:szCs w:val="20"/>
          <w:lang w:bidi="ar"/>
        </w:rPr>
        <w:t>est and other, net.</w:t>
      </w:r>
    </w:p>
    <w:p w14:paraId="59E4BA29" w14:textId="77777777" w:rsidR="00D7560A" w:rsidRDefault="001E3CAB">
      <w:pPr>
        <w:widowControl/>
        <w:ind w:left="360" w:hanging="36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(b)This amount includes the non-cash purchase accounting adjustments related to the EMC merger transaction and the going-private transaction.</w:t>
      </w:r>
    </w:p>
    <w:p w14:paraId="59E4BA2A" w14:textId="77777777" w:rsidR="00D7560A" w:rsidRDefault="001E3CAB">
      <w:pPr>
        <w:widowControl/>
        <w:ind w:left="360" w:hanging="36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(c)Transaction-related expenses consist of acquisition, integration, and divestiture related c</w:t>
      </w:r>
      <w:r>
        <w:rPr>
          <w:rFonts w:ascii="Times New Roman" w:eastAsia="宋体" w:hAnsi="Times New Roman" w:cs="Times New Roman"/>
          <w:color w:val="000000"/>
          <w:kern w:val="0"/>
          <w:sz w:val="20"/>
          <w:szCs w:val="20"/>
          <w:lang w:bidi="ar"/>
        </w:rPr>
        <w:t>osts, as well as the costs incurred in the VMware Spin-off.</w:t>
      </w:r>
    </w:p>
    <w:p w14:paraId="59E4BA2B" w14:textId="77777777" w:rsidR="00D7560A" w:rsidRDefault="001E3CAB">
      <w:pPr>
        <w:widowControl/>
        <w:ind w:left="360" w:hanging="36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(d)Other corporate expenses includes impairment charges, incentive charges related to equity investments, severance, facility action, payroll taxes associated with stock-based compensation, and ot</w:t>
      </w:r>
      <w:r>
        <w:rPr>
          <w:rFonts w:ascii="Times New Roman" w:eastAsia="宋体" w:hAnsi="Times New Roman" w:cs="Times New Roman"/>
          <w:color w:val="000000"/>
          <w:kern w:val="0"/>
          <w:sz w:val="20"/>
          <w:szCs w:val="20"/>
          <w:lang w:bidi="ar"/>
        </w:rPr>
        <w:t xml:space="preserve">her costs. During the second quarter and first six months of Fiscal 2023, other corporate expenses includes $189 million of costs incurred in connection with exiting our business in Russia. </w:t>
      </w:r>
    </w:p>
    <w:p w14:paraId="59E4BA2C"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BA2D"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69</w:t>
      </w:r>
    </w:p>
    <w:p w14:paraId="59E4BA2E"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BA2F" w14:textId="77777777" w:rsidR="00D7560A" w:rsidRDefault="001E3CAB">
      <w:pPr>
        <w:widowControl/>
        <w:jc w:val="center"/>
      </w:pPr>
      <w:r>
        <w:rPr>
          <w:rFonts w:ascii="宋体" w:eastAsia="宋体" w:hAnsi="宋体" w:cs="宋体"/>
          <w:kern w:val="0"/>
          <w:sz w:val="24"/>
        </w:rPr>
        <w:pict w14:anchorId="59E4C810">
          <v:rect id="_x0000_i1093" style="width:6in;height:1.5pt" o:hralign="center" o:hrstd="t" o:hr="t" fillcolor="#a0a0a0" stroked="f"/>
        </w:pict>
      </w:r>
    </w:p>
    <w:p w14:paraId="59E4BA30" w14:textId="77777777" w:rsidR="00D7560A" w:rsidRDefault="001E3CAB">
      <w:pPr>
        <w:widowControl/>
        <w:jc w:val="left"/>
        <w:rPr>
          <w:rFonts w:ascii="宋体" w:eastAsia="宋体" w:hAnsi="宋体" w:cs="宋体"/>
          <w:kern w:val="0"/>
          <w:sz w:val="24"/>
        </w:rPr>
      </w:pPr>
      <w:hyperlink w:anchor="if933dd1d5d004d2495dd7029e3ecad00_13" w:history="1">
        <w:r>
          <w:rPr>
            <w:rStyle w:val="a4"/>
            <w:rFonts w:ascii="Times New Roman" w:eastAsia="宋体" w:hAnsi="Times New Roman" w:cs="Times New Roman"/>
            <w:sz w:val="20"/>
            <w:szCs w:val="20"/>
          </w:rPr>
          <w:t>Table of Contents</w:t>
        </w:r>
      </w:hyperlink>
    </w:p>
    <w:p w14:paraId="59E4BA31"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RESULTS OF OPERATIONS</w:t>
      </w:r>
    </w:p>
    <w:p w14:paraId="59E4BA32"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BA33"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Consolidated Results</w:t>
      </w:r>
    </w:p>
    <w:p w14:paraId="59E4BA34"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BA35" w14:textId="77777777" w:rsidR="00D7560A" w:rsidRDefault="001E3CAB">
      <w:pPr>
        <w:widowControl/>
        <w:spacing w:after="12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The following table summarizes our consolidated results for the periods indicated. Unless otherwise indicated, all changes identified for the current period results represent comparisons to results for the prior corresponding fiscal period. </w:t>
      </w:r>
    </w:p>
    <w:tbl>
      <w:tblPr>
        <w:tblW w:w="5000" w:type="pct"/>
        <w:jc w:val="center"/>
        <w:tblCellMar>
          <w:top w:w="15" w:type="dxa"/>
          <w:left w:w="15" w:type="dxa"/>
          <w:bottom w:w="15" w:type="dxa"/>
          <w:right w:w="15" w:type="dxa"/>
        </w:tblCellMar>
        <w:tblLook w:val="04A0" w:firstRow="1" w:lastRow="0" w:firstColumn="1" w:lastColumn="0" w:noHBand="0" w:noVBand="1"/>
      </w:tblPr>
      <w:tblGrid>
        <w:gridCol w:w="280"/>
        <w:gridCol w:w="584"/>
        <w:gridCol w:w="37"/>
        <w:gridCol w:w="90"/>
        <w:gridCol w:w="388"/>
        <w:gridCol w:w="35"/>
        <w:gridCol w:w="40"/>
        <w:gridCol w:w="33"/>
        <w:gridCol w:w="35"/>
        <w:gridCol w:w="92"/>
        <w:gridCol w:w="573"/>
        <w:gridCol w:w="130"/>
        <w:gridCol w:w="40"/>
        <w:gridCol w:w="31"/>
        <w:gridCol w:w="34"/>
        <w:gridCol w:w="76"/>
        <w:gridCol w:w="380"/>
        <w:gridCol w:w="128"/>
        <w:gridCol w:w="40"/>
        <w:gridCol w:w="31"/>
        <w:gridCol w:w="34"/>
        <w:gridCol w:w="89"/>
        <w:gridCol w:w="387"/>
        <w:gridCol w:w="34"/>
        <w:gridCol w:w="40"/>
        <w:gridCol w:w="31"/>
        <w:gridCol w:w="34"/>
        <w:gridCol w:w="91"/>
        <w:gridCol w:w="572"/>
        <w:gridCol w:w="130"/>
        <w:gridCol w:w="40"/>
        <w:gridCol w:w="31"/>
        <w:gridCol w:w="34"/>
        <w:gridCol w:w="89"/>
        <w:gridCol w:w="387"/>
        <w:gridCol w:w="34"/>
        <w:gridCol w:w="40"/>
        <w:gridCol w:w="31"/>
        <w:gridCol w:w="34"/>
        <w:gridCol w:w="91"/>
        <w:gridCol w:w="572"/>
        <w:gridCol w:w="130"/>
        <w:gridCol w:w="40"/>
        <w:gridCol w:w="31"/>
        <w:gridCol w:w="34"/>
        <w:gridCol w:w="76"/>
        <w:gridCol w:w="380"/>
        <w:gridCol w:w="128"/>
        <w:gridCol w:w="40"/>
        <w:gridCol w:w="31"/>
        <w:gridCol w:w="34"/>
        <w:gridCol w:w="89"/>
        <w:gridCol w:w="387"/>
        <w:gridCol w:w="34"/>
        <w:gridCol w:w="40"/>
        <w:gridCol w:w="31"/>
        <w:gridCol w:w="34"/>
        <w:gridCol w:w="91"/>
        <w:gridCol w:w="572"/>
        <w:gridCol w:w="130"/>
        <w:gridCol w:w="34"/>
        <w:gridCol w:w="34"/>
        <w:gridCol w:w="34"/>
      </w:tblGrid>
      <w:tr w:rsidR="00D7560A" w14:paraId="59E4BA74" w14:textId="77777777">
        <w:trPr>
          <w:jc w:val="center"/>
        </w:trPr>
        <w:tc>
          <w:tcPr>
            <w:tcW w:w="50" w:type="pct"/>
            <w:tcBorders>
              <w:top w:val="nil"/>
              <w:left w:val="nil"/>
              <w:bottom w:val="nil"/>
              <w:right w:val="nil"/>
            </w:tcBorders>
            <w:shd w:val="clear" w:color="auto" w:fill="auto"/>
            <w:vAlign w:val="bottom"/>
          </w:tcPr>
          <w:p w14:paraId="59E4BA36" w14:textId="77777777" w:rsidR="00D7560A" w:rsidRDefault="00D7560A">
            <w:pPr>
              <w:widowControl/>
              <w:jc w:val="left"/>
              <w:rPr>
                <w:rFonts w:ascii="Times New Roman" w:eastAsia="宋体" w:hAnsi="宋体" w:cs="宋体"/>
                <w:kern w:val="0"/>
                <w:sz w:val="24"/>
              </w:rPr>
            </w:pPr>
          </w:p>
        </w:tc>
        <w:tc>
          <w:tcPr>
            <w:tcW w:w="1003" w:type="pct"/>
            <w:tcBorders>
              <w:top w:val="nil"/>
              <w:left w:val="nil"/>
              <w:bottom w:val="nil"/>
              <w:right w:val="nil"/>
            </w:tcBorders>
            <w:shd w:val="clear" w:color="auto" w:fill="auto"/>
            <w:vAlign w:val="bottom"/>
          </w:tcPr>
          <w:p w14:paraId="59E4BA37"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BA38"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BA39" w14:textId="77777777" w:rsidR="00D7560A" w:rsidRDefault="00D7560A">
            <w:pPr>
              <w:widowControl/>
              <w:jc w:val="left"/>
              <w:rPr>
                <w:rFonts w:ascii="Times New Roman" w:eastAsia="宋体" w:hAnsi="宋体" w:cs="宋体"/>
                <w:kern w:val="0"/>
                <w:sz w:val="24"/>
              </w:rPr>
            </w:pPr>
          </w:p>
        </w:tc>
        <w:tc>
          <w:tcPr>
            <w:tcW w:w="273" w:type="pct"/>
            <w:tcBorders>
              <w:top w:val="nil"/>
              <w:left w:val="nil"/>
              <w:bottom w:val="nil"/>
              <w:right w:val="nil"/>
            </w:tcBorders>
            <w:shd w:val="clear" w:color="auto" w:fill="auto"/>
            <w:vAlign w:val="bottom"/>
          </w:tcPr>
          <w:p w14:paraId="59E4BA3A"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BA3B"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BA3C" w14:textId="77777777" w:rsidR="00D7560A" w:rsidRDefault="00D7560A">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59E4BA3D"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BA3E"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BA3F" w14:textId="77777777" w:rsidR="00D7560A" w:rsidRDefault="00D7560A">
            <w:pPr>
              <w:widowControl/>
              <w:jc w:val="left"/>
              <w:rPr>
                <w:rFonts w:ascii="Times New Roman" w:eastAsia="宋体" w:hAnsi="宋体" w:cs="宋体"/>
                <w:kern w:val="0"/>
                <w:sz w:val="24"/>
              </w:rPr>
            </w:pPr>
          </w:p>
        </w:tc>
        <w:tc>
          <w:tcPr>
            <w:tcW w:w="354" w:type="pct"/>
            <w:tcBorders>
              <w:top w:val="nil"/>
              <w:left w:val="nil"/>
              <w:bottom w:val="nil"/>
              <w:right w:val="nil"/>
            </w:tcBorders>
            <w:shd w:val="clear" w:color="auto" w:fill="auto"/>
            <w:vAlign w:val="bottom"/>
          </w:tcPr>
          <w:p w14:paraId="59E4BA40"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BA41"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BA42" w14:textId="77777777" w:rsidR="00D7560A" w:rsidRDefault="00D7560A">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59E4BA43"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BA44"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BA45" w14:textId="77777777" w:rsidR="00D7560A" w:rsidRDefault="00D7560A">
            <w:pPr>
              <w:widowControl/>
              <w:jc w:val="left"/>
              <w:rPr>
                <w:rFonts w:ascii="Times New Roman" w:eastAsia="宋体" w:hAnsi="宋体" w:cs="宋体"/>
                <w:kern w:val="0"/>
                <w:sz w:val="24"/>
              </w:rPr>
            </w:pPr>
          </w:p>
        </w:tc>
        <w:tc>
          <w:tcPr>
            <w:tcW w:w="288" w:type="pct"/>
            <w:tcBorders>
              <w:top w:val="nil"/>
              <w:left w:val="nil"/>
              <w:bottom w:val="nil"/>
              <w:right w:val="nil"/>
            </w:tcBorders>
            <w:shd w:val="clear" w:color="auto" w:fill="auto"/>
            <w:vAlign w:val="bottom"/>
          </w:tcPr>
          <w:p w14:paraId="59E4BA46"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BA47"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BA48" w14:textId="77777777" w:rsidR="00D7560A" w:rsidRDefault="00D7560A">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59E4BA49"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BA4A"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BA4B" w14:textId="77777777" w:rsidR="00D7560A" w:rsidRDefault="00D7560A">
            <w:pPr>
              <w:widowControl/>
              <w:jc w:val="left"/>
              <w:rPr>
                <w:rFonts w:ascii="Times New Roman" w:eastAsia="宋体" w:hAnsi="宋体" w:cs="宋体"/>
                <w:kern w:val="0"/>
                <w:sz w:val="24"/>
              </w:rPr>
            </w:pPr>
          </w:p>
        </w:tc>
        <w:tc>
          <w:tcPr>
            <w:tcW w:w="273" w:type="pct"/>
            <w:tcBorders>
              <w:top w:val="nil"/>
              <w:left w:val="nil"/>
              <w:bottom w:val="nil"/>
              <w:right w:val="nil"/>
            </w:tcBorders>
            <w:shd w:val="clear" w:color="auto" w:fill="auto"/>
            <w:vAlign w:val="bottom"/>
          </w:tcPr>
          <w:p w14:paraId="59E4BA4C"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BA4D"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BA4E" w14:textId="77777777" w:rsidR="00D7560A" w:rsidRDefault="00D7560A">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59E4BA4F"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BA50"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BA51" w14:textId="77777777" w:rsidR="00D7560A" w:rsidRDefault="00D7560A">
            <w:pPr>
              <w:widowControl/>
              <w:jc w:val="left"/>
              <w:rPr>
                <w:rFonts w:ascii="Times New Roman" w:eastAsia="宋体" w:hAnsi="宋体" w:cs="宋体"/>
                <w:kern w:val="0"/>
                <w:sz w:val="24"/>
              </w:rPr>
            </w:pPr>
          </w:p>
        </w:tc>
        <w:tc>
          <w:tcPr>
            <w:tcW w:w="354" w:type="pct"/>
            <w:tcBorders>
              <w:top w:val="nil"/>
              <w:left w:val="nil"/>
              <w:bottom w:val="nil"/>
              <w:right w:val="nil"/>
            </w:tcBorders>
            <w:shd w:val="clear" w:color="auto" w:fill="auto"/>
            <w:vAlign w:val="bottom"/>
          </w:tcPr>
          <w:p w14:paraId="59E4BA52"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BA53"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BA54" w14:textId="77777777" w:rsidR="00D7560A" w:rsidRDefault="00D7560A">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59E4BA55"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BA56"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BA57" w14:textId="77777777" w:rsidR="00D7560A" w:rsidRDefault="00D7560A">
            <w:pPr>
              <w:widowControl/>
              <w:jc w:val="left"/>
              <w:rPr>
                <w:rFonts w:ascii="Times New Roman" w:eastAsia="宋体" w:hAnsi="宋体" w:cs="宋体"/>
                <w:kern w:val="0"/>
                <w:sz w:val="24"/>
              </w:rPr>
            </w:pPr>
          </w:p>
        </w:tc>
        <w:tc>
          <w:tcPr>
            <w:tcW w:w="273" w:type="pct"/>
            <w:tcBorders>
              <w:top w:val="nil"/>
              <w:left w:val="nil"/>
              <w:bottom w:val="nil"/>
              <w:right w:val="nil"/>
            </w:tcBorders>
            <w:shd w:val="clear" w:color="auto" w:fill="auto"/>
            <w:vAlign w:val="bottom"/>
          </w:tcPr>
          <w:p w14:paraId="59E4BA58"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BA59"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BA5A" w14:textId="77777777" w:rsidR="00D7560A" w:rsidRDefault="00D7560A">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59E4BA5B"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BA5C"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BA5D" w14:textId="77777777" w:rsidR="00D7560A" w:rsidRDefault="00D7560A">
            <w:pPr>
              <w:widowControl/>
              <w:jc w:val="left"/>
              <w:rPr>
                <w:rFonts w:ascii="Times New Roman" w:eastAsia="宋体" w:hAnsi="宋体" w:cs="宋体"/>
                <w:kern w:val="0"/>
                <w:sz w:val="24"/>
              </w:rPr>
            </w:pPr>
          </w:p>
        </w:tc>
        <w:tc>
          <w:tcPr>
            <w:tcW w:w="354" w:type="pct"/>
            <w:tcBorders>
              <w:top w:val="nil"/>
              <w:left w:val="nil"/>
              <w:bottom w:val="nil"/>
              <w:right w:val="nil"/>
            </w:tcBorders>
            <w:shd w:val="clear" w:color="auto" w:fill="auto"/>
            <w:vAlign w:val="bottom"/>
          </w:tcPr>
          <w:p w14:paraId="59E4BA5E"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BA5F"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BA60" w14:textId="77777777" w:rsidR="00D7560A" w:rsidRDefault="00D7560A">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59E4BA61"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BA62"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BA63" w14:textId="77777777" w:rsidR="00D7560A" w:rsidRDefault="00D7560A">
            <w:pPr>
              <w:widowControl/>
              <w:jc w:val="left"/>
              <w:rPr>
                <w:rFonts w:ascii="Times New Roman" w:eastAsia="宋体" w:hAnsi="宋体" w:cs="宋体"/>
                <w:kern w:val="0"/>
                <w:sz w:val="24"/>
              </w:rPr>
            </w:pPr>
          </w:p>
        </w:tc>
        <w:tc>
          <w:tcPr>
            <w:tcW w:w="288" w:type="pct"/>
            <w:tcBorders>
              <w:top w:val="nil"/>
              <w:left w:val="nil"/>
              <w:bottom w:val="nil"/>
              <w:right w:val="nil"/>
            </w:tcBorders>
            <w:shd w:val="clear" w:color="auto" w:fill="auto"/>
            <w:vAlign w:val="bottom"/>
          </w:tcPr>
          <w:p w14:paraId="59E4BA64"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BA65"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BA66" w14:textId="77777777" w:rsidR="00D7560A" w:rsidRDefault="00D7560A">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59E4BA67"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BA68"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BA69" w14:textId="77777777" w:rsidR="00D7560A" w:rsidRDefault="00D7560A">
            <w:pPr>
              <w:widowControl/>
              <w:jc w:val="left"/>
              <w:rPr>
                <w:rFonts w:ascii="Times New Roman" w:eastAsia="宋体" w:hAnsi="宋体" w:cs="宋体"/>
                <w:kern w:val="0"/>
                <w:sz w:val="24"/>
              </w:rPr>
            </w:pPr>
          </w:p>
        </w:tc>
        <w:tc>
          <w:tcPr>
            <w:tcW w:w="273" w:type="pct"/>
            <w:tcBorders>
              <w:top w:val="nil"/>
              <w:left w:val="nil"/>
              <w:bottom w:val="nil"/>
              <w:right w:val="nil"/>
            </w:tcBorders>
            <w:shd w:val="clear" w:color="auto" w:fill="auto"/>
            <w:vAlign w:val="bottom"/>
          </w:tcPr>
          <w:p w14:paraId="59E4BA6A"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BA6B"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BA6C" w14:textId="77777777" w:rsidR="00D7560A" w:rsidRDefault="00D7560A">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59E4BA6D"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BA6E"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BA6F" w14:textId="77777777" w:rsidR="00D7560A" w:rsidRDefault="00D7560A">
            <w:pPr>
              <w:widowControl/>
              <w:jc w:val="left"/>
              <w:rPr>
                <w:rFonts w:ascii="Times New Roman" w:eastAsia="宋体" w:hAnsi="宋体" w:cs="宋体"/>
                <w:kern w:val="0"/>
                <w:sz w:val="24"/>
              </w:rPr>
            </w:pPr>
          </w:p>
        </w:tc>
        <w:tc>
          <w:tcPr>
            <w:tcW w:w="354" w:type="pct"/>
            <w:tcBorders>
              <w:top w:val="nil"/>
              <w:left w:val="nil"/>
              <w:bottom w:val="nil"/>
              <w:right w:val="nil"/>
            </w:tcBorders>
            <w:shd w:val="clear" w:color="auto" w:fill="auto"/>
            <w:vAlign w:val="bottom"/>
          </w:tcPr>
          <w:p w14:paraId="59E4BA70"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BA71"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vAlign w:val="bottom"/>
          </w:tcPr>
          <w:p w14:paraId="59E4BA72" w14:textId="77777777" w:rsidR="00D7560A" w:rsidRDefault="00D7560A">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59E4BA73" w14:textId="77777777" w:rsidR="00D7560A" w:rsidRDefault="00D7560A">
            <w:pPr>
              <w:widowControl/>
              <w:jc w:val="left"/>
              <w:rPr>
                <w:rFonts w:ascii="Times New Roman" w:eastAsia="宋体" w:hAnsi="宋体" w:cs="宋体"/>
                <w:vanish/>
                <w:kern w:val="0"/>
                <w:sz w:val="24"/>
              </w:rPr>
            </w:pPr>
          </w:p>
        </w:tc>
      </w:tr>
      <w:tr w:rsidR="00D7560A" w14:paraId="59E4BA7C"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BA75" w14:textId="77777777" w:rsidR="00D7560A" w:rsidRDefault="00D7560A">
            <w:pPr>
              <w:widowControl/>
              <w:jc w:val="left"/>
              <w:rPr>
                <w:rFonts w:ascii="Times New Roman" w:eastAsia="宋体" w:hAnsi="宋体" w:cs="宋体"/>
                <w:kern w:val="0"/>
                <w:sz w:val="24"/>
              </w:rPr>
            </w:pPr>
          </w:p>
        </w:tc>
        <w:tc>
          <w:tcPr>
            <w:tcW w:w="0" w:type="auto"/>
            <w:gridSpan w:val="27"/>
            <w:tcBorders>
              <w:top w:val="nil"/>
              <w:left w:val="nil"/>
              <w:bottom w:val="single" w:sz="8" w:space="0" w:color="000000"/>
              <w:right w:val="nil"/>
            </w:tcBorders>
            <w:shd w:val="clear" w:color="auto" w:fill="auto"/>
            <w:tcMar>
              <w:top w:w="40" w:type="dxa"/>
              <w:left w:w="20" w:type="dxa"/>
              <w:bottom w:w="40" w:type="dxa"/>
              <w:right w:w="20" w:type="dxa"/>
            </w:tcMar>
            <w:vAlign w:val="bottom"/>
          </w:tcPr>
          <w:p w14:paraId="59E4BA76"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Three Months Ended</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BA77" w14:textId="77777777" w:rsidR="00D7560A" w:rsidRDefault="00D7560A">
            <w:pPr>
              <w:widowControl/>
              <w:jc w:val="left"/>
              <w:rPr>
                <w:rFonts w:ascii="Times New Roman" w:eastAsia="宋体" w:hAnsi="宋体" w:cs="宋体"/>
                <w:kern w:val="0"/>
                <w:sz w:val="24"/>
              </w:rPr>
            </w:pPr>
          </w:p>
        </w:tc>
        <w:tc>
          <w:tcPr>
            <w:tcW w:w="0" w:type="auto"/>
            <w:gridSpan w:val="27"/>
            <w:tcBorders>
              <w:top w:val="nil"/>
              <w:left w:val="nil"/>
              <w:bottom w:val="single" w:sz="8" w:space="0" w:color="000000"/>
              <w:right w:val="nil"/>
            </w:tcBorders>
            <w:shd w:val="clear" w:color="auto" w:fill="auto"/>
            <w:tcMar>
              <w:top w:w="40" w:type="dxa"/>
              <w:left w:w="20" w:type="dxa"/>
              <w:bottom w:w="40" w:type="dxa"/>
              <w:right w:w="20" w:type="dxa"/>
            </w:tcMar>
            <w:vAlign w:val="bottom"/>
          </w:tcPr>
          <w:p w14:paraId="59E4BA78"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Six Months Ended</w:t>
            </w:r>
          </w:p>
        </w:tc>
        <w:tc>
          <w:tcPr>
            <w:tcW w:w="0" w:type="auto"/>
            <w:tcBorders>
              <w:top w:val="nil"/>
              <w:left w:val="nil"/>
              <w:bottom w:val="nil"/>
              <w:right w:val="nil"/>
            </w:tcBorders>
            <w:shd w:val="clear" w:color="auto" w:fill="auto"/>
            <w:vAlign w:val="bottom"/>
          </w:tcPr>
          <w:p w14:paraId="59E4BA79"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BA7A"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BA7B" w14:textId="77777777" w:rsidR="00D7560A" w:rsidRDefault="00D7560A">
            <w:pPr>
              <w:widowControl/>
              <w:jc w:val="left"/>
              <w:rPr>
                <w:rFonts w:ascii="Times New Roman" w:eastAsia="宋体" w:hAnsi="宋体" w:cs="宋体"/>
                <w:kern w:val="0"/>
                <w:sz w:val="24"/>
              </w:rPr>
            </w:pPr>
          </w:p>
        </w:tc>
      </w:tr>
      <w:tr w:rsidR="00D7560A" w14:paraId="59E4BA8B"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9E4BA7D"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i/>
                <w:iCs/>
                <w:color w:val="000000"/>
                <w:kern w:val="0"/>
                <w:sz w:val="18"/>
                <w:szCs w:val="18"/>
                <w:lang w:bidi="ar"/>
              </w:rPr>
              <w:t> </w:t>
            </w:r>
          </w:p>
        </w:tc>
        <w:tc>
          <w:tcPr>
            <w:tcW w:w="0" w:type="auto"/>
            <w:gridSpan w:val="9"/>
            <w:tcBorders>
              <w:top w:val="single" w:sz="8" w:space="0" w:color="000000"/>
              <w:left w:val="nil"/>
              <w:bottom w:val="nil"/>
              <w:right w:val="nil"/>
            </w:tcBorders>
            <w:shd w:val="clear" w:color="auto" w:fill="auto"/>
            <w:tcMar>
              <w:top w:w="40" w:type="dxa"/>
              <w:left w:w="20" w:type="dxa"/>
              <w:bottom w:w="40" w:type="dxa"/>
              <w:right w:w="20" w:type="dxa"/>
            </w:tcMar>
            <w:vAlign w:val="bottom"/>
          </w:tcPr>
          <w:p w14:paraId="59E4BA7E"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July 29, 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59E4BA7F"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59E4BA80"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59E4BA81" w14:textId="77777777" w:rsidR="00D7560A" w:rsidRDefault="00D7560A">
            <w:pPr>
              <w:widowControl/>
              <w:jc w:val="left"/>
              <w:rPr>
                <w:rFonts w:ascii="Times New Roman" w:eastAsia="宋体" w:hAnsi="宋体" w:cs="宋体"/>
                <w:kern w:val="0"/>
                <w:sz w:val="24"/>
              </w:rPr>
            </w:pPr>
          </w:p>
        </w:tc>
        <w:tc>
          <w:tcPr>
            <w:tcW w:w="0" w:type="auto"/>
            <w:gridSpan w:val="9"/>
            <w:tcBorders>
              <w:top w:val="single" w:sz="8" w:space="0" w:color="000000"/>
              <w:left w:val="nil"/>
              <w:bottom w:val="nil"/>
              <w:right w:val="nil"/>
            </w:tcBorders>
            <w:shd w:val="clear" w:color="auto" w:fill="auto"/>
            <w:tcMar>
              <w:top w:w="40" w:type="dxa"/>
              <w:left w:w="20" w:type="dxa"/>
              <w:bottom w:w="40" w:type="dxa"/>
              <w:right w:w="20" w:type="dxa"/>
            </w:tcMar>
            <w:vAlign w:val="bottom"/>
          </w:tcPr>
          <w:p w14:paraId="59E4BA82"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July 30, 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BA83" w14:textId="77777777" w:rsidR="00D7560A" w:rsidRDefault="00D7560A">
            <w:pPr>
              <w:widowControl/>
              <w:jc w:val="left"/>
              <w:rPr>
                <w:rFonts w:ascii="Times New Roman" w:eastAsia="宋体" w:hAnsi="宋体" w:cs="宋体"/>
                <w:kern w:val="0"/>
                <w:sz w:val="24"/>
              </w:rPr>
            </w:pPr>
          </w:p>
        </w:tc>
        <w:tc>
          <w:tcPr>
            <w:tcW w:w="0" w:type="auto"/>
            <w:gridSpan w:val="9"/>
            <w:tcBorders>
              <w:top w:val="single" w:sz="8" w:space="0" w:color="000000"/>
              <w:left w:val="nil"/>
              <w:bottom w:val="nil"/>
              <w:right w:val="nil"/>
            </w:tcBorders>
            <w:shd w:val="clear" w:color="auto" w:fill="auto"/>
            <w:tcMar>
              <w:top w:w="40" w:type="dxa"/>
              <w:left w:w="20" w:type="dxa"/>
              <w:bottom w:w="40" w:type="dxa"/>
              <w:right w:w="20" w:type="dxa"/>
            </w:tcMar>
            <w:vAlign w:val="bottom"/>
          </w:tcPr>
          <w:p w14:paraId="59E4BA84"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July 29, 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59E4BA85"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59E4BA86"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59E4BA87" w14:textId="77777777" w:rsidR="00D7560A" w:rsidRDefault="00D7560A">
            <w:pPr>
              <w:widowControl/>
              <w:jc w:val="left"/>
              <w:rPr>
                <w:rFonts w:ascii="Times New Roman" w:eastAsia="宋体" w:hAnsi="宋体" w:cs="宋体"/>
                <w:kern w:val="0"/>
                <w:sz w:val="24"/>
              </w:rPr>
            </w:pPr>
          </w:p>
        </w:tc>
        <w:tc>
          <w:tcPr>
            <w:tcW w:w="0" w:type="auto"/>
            <w:gridSpan w:val="9"/>
            <w:tcBorders>
              <w:top w:val="single" w:sz="8" w:space="0" w:color="000000"/>
              <w:left w:val="nil"/>
              <w:bottom w:val="nil"/>
              <w:right w:val="nil"/>
            </w:tcBorders>
            <w:shd w:val="clear" w:color="auto" w:fill="auto"/>
            <w:tcMar>
              <w:top w:w="40" w:type="dxa"/>
              <w:left w:w="20" w:type="dxa"/>
              <w:bottom w:w="40" w:type="dxa"/>
              <w:right w:w="20" w:type="dxa"/>
            </w:tcMar>
            <w:vAlign w:val="bottom"/>
          </w:tcPr>
          <w:p w14:paraId="59E4BA88"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July 30, 2021</w:t>
            </w:r>
          </w:p>
        </w:tc>
        <w:tc>
          <w:tcPr>
            <w:tcW w:w="0" w:type="auto"/>
            <w:gridSpan w:val="2"/>
            <w:tcBorders>
              <w:top w:val="nil"/>
              <w:left w:val="nil"/>
              <w:bottom w:val="nil"/>
              <w:right w:val="nil"/>
            </w:tcBorders>
            <w:shd w:val="clear" w:color="auto" w:fill="auto"/>
            <w:vAlign w:val="bottom"/>
          </w:tcPr>
          <w:p w14:paraId="59E4BA89" w14:textId="77777777" w:rsidR="00D7560A" w:rsidRDefault="00D7560A">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59E4BA8A" w14:textId="77777777" w:rsidR="00D7560A" w:rsidRDefault="00D7560A">
            <w:pPr>
              <w:widowControl/>
              <w:jc w:val="left"/>
              <w:rPr>
                <w:rFonts w:ascii="Times New Roman" w:eastAsia="宋体" w:hAnsi="宋体" w:cs="宋体"/>
                <w:vanish/>
                <w:kern w:val="0"/>
                <w:sz w:val="24"/>
              </w:rPr>
            </w:pPr>
          </w:p>
        </w:tc>
      </w:tr>
      <w:tr w:rsidR="00D7560A" w14:paraId="59E4BAA2"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9E4BA8C"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 </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59E4BA8D"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Dollars</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59E4BA8E"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59E4BA8F"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 of</w:t>
            </w:r>
            <w:r>
              <w:rPr>
                <w:rFonts w:ascii="Times New Roman" w:eastAsia="宋体" w:hAnsi="Times New Roman" w:cs="Times New Roman"/>
                <w:b/>
                <w:bCs/>
                <w:color w:val="000000"/>
                <w:kern w:val="0"/>
                <w:sz w:val="18"/>
                <w:szCs w:val="18"/>
                <w:lang w:bidi="ar"/>
              </w:rPr>
              <w:br/>
              <w:t> Net Revenue</w:t>
            </w: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59E4BA90"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auto"/>
            <w:tcMar>
              <w:top w:w="40" w:type="dxa"/>
              <w:left w:w="20" w:type="dxa"/>
              <w:bottom w:w="40" w:type="dxa"/>
              <w:right w:w="20" w:type="dxa"/>
            </w:tcMar>
            <w:vAlign w:val="bottom"/>
          </w:tcPr>
          <w:p w14:paraId="59E4BA91"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w:t>
            </w:r>
            <w:r>
              <w:rPr>
                <w:rFonts w:ascii="Times New Roman" w:eastAsia="宋体" w:hAnsi="Times New Roman" w:cs="Times New Roman"/>
                <w:b/>
                <w:bCs/>
                <w:color w:val="000000"/>
                <w:kern w:val="0"/>
                <w:sz w:val="18"/>
                <w:szCs w:val="18"/>
                <w:lang w:bidi="ar"/>
              </w:rPr>
              <w:br/>
              <w:t>Change</w:t>
            </w: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59E4BA92"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59E4BA93"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Dollars</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59E4BA94"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59E4BA95"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 of</w:t>
            </w:r>
            <w:r>
              <w:rPr>
                <w:rFonts w:ascii="Times New Roman" w:eastAsia="宋体" w:hAnsi="Times New Roman" w:cs="Times New Roman"/>
                <w:b/>
                <w:bCs/>
                <w:color w:val="000000"/>
                <w:kern w:val="0"/>
                <w:sz w:val="18"/>
                <w:szCs w:val="18"/>
                <w:lang w:bidi="ar"/>
              </w:rPr>
              <w:br/>
              <w:t> Net Revenue</w:t>
            </w: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59E4BA96"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59E4BA97"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Dollars</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59E4BA98"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59E4BA99"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 of</w:t>
            </w:r>
            <w:r>
              <w:rPr>
                <w:rFonts w:ascii="Times New Roman" w:eastAsia="宋体" w:hAnsi="Times New Roman" w:cs="Times New Roman"/>
                <w:b/>
                <w:bCs/>
                <w:color w:val="000000"/>
                <w:kern w:val="0"/>
                <w:sz w:val="18"/>
                <w:szCs w:val="18"/>
                <w:lang w:bidi="ar"/>
              </w:rPr>
              <w:br/>
              <w:t>Net Revenue</w:t>
            </w: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59E4BA9A"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auto"/>
            <w:tcMar>
              <w:top w:w="40" w:type="dxa"/>
              <w:left w:w="20" w:type="dxa"/>
              <w:bottom w:w="40" w:type="dxa"/>
              <w:right w:w="20" w:type="dxa"/>
            </w:tcMar>
            <w:vAlign w:val="bottom"/>
          </w:tcPr>
          <w:p w14:paraId="59E4BA9B"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w:t>
            </w:r>
            <w:r>
              <w:rPr>
                <w:rFonts w:ascii="Times New Roman" w:eastAsia="宋体" w:hAnsi="Times New Roman" w:cs="Times New Roman"/>
                <w:b/>
                <w:bCs/>
                <w:color w:val="000000"/>
                <w:kern w:val="0"/>
                <w:sz w:val="18"/>
                <w:szCs w:val="18"/>
                <w:lang w:bidi="ar"/>
              </w:rPr>
              <w:br/>
              <w:t>Change</w:t>
            </w: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59E4BA9C"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59E4BA9D"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Dollars</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59E4BA9E"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59E4BA9F"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 of</w:t>
            </w:r>
            <w:r>
              <w:rPr>
                <w:rFonts w:ascii="Times New Roman" w:eastAsia="宋体" w:hAnsi="Times New Roman" w:cs="Times New Roman"/>
                <w:b/>
                <w:bCs/>
                <w:color w:val="000000"/>
                <w:kern w:val="0"/>
                <w:sz w:val="18"/>
                <w:szCs w:val="18"/>
                <w:lang w:bidi="ar"/>
              </w:rPr>
              <w:br/>
              <w:t>Net Revenue</w:t>
            </w:r>
          </w:p>
        </w:tc>
        <w:tc>
          <w:tcPr>
            <w:tcW w:w="0" w:type="auto"/>
            <w:gridSpan w:val="2"/>
            <w:tcBorders>
              <w:top w:val="nil"/>
              <w:left w:val="nil"/>
              <w:bottom w:val="nil"/>
              <w:right w:val="nil"/>
            </w:tcBorders>
            <w:shd w:val="clear" w:color="auto" w:fill="auto"/>
            <w:vAlign w:val="bottom"/>
          </w:tcPr>
          <w:p w14:paraId="59E4BAA0" w14:textId="77777777" w:rsidR="00D7560A" w:rsidRDefault="00D7560A">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59E4BAA1" w14:textId="77777777" w:rsidR="00D7560A" w:rsidRDefault="00D7560A">
            <w:pPr>
              <w:widowControl/>
              <w:jc w:val="left"/>
              <w:rPr>
                <w:rFonts w:ascii="Times New Roman" w:eastAsia="宋体" w:hAnsi="宋体" w:cs="宋体"/>
                <w:vanish/>
                <w:kern w:val="0"/>
                <w:sz w:val="24"/>
              </w:rPr>
            </w:pPr>
          </w:p>
        </w:tc>
      </w:tr>
      <w:tr w:rsidR="00D7560A" w14:paraId="59E4BAA8"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BAA3" w14:textId="77777777" w:rsidR="00D7560A" w:rsidRDefault="00D7560A">
            <w:pPr>
              <w:widowControl/>
              <w:jc w:val="left"/>
              <w:rPr>
                <w:rFonts w:ascii="Times New Roman" w:eastAsia="宋体" w:hAnsi="宋体" w:cs="宋体"/>
                <w:kern w:val="0"/>
                <w:sz w:val="24"/>
              </w:rPr>
            </w:pPr>
          </w:p>
        </w:tc>
        <w:tc>
          <w:tcPr>
            <w:tcW w:w="0" w:type="auto"/>
            <w:gridSpan w:val="57"/>
            <w:tcBorders>
              <w:top w:val="single" w:sz="8" w:space="0" w:color="000000"/>
              <w:left w:val="nil"/>
              <w:bottom w:val="nil"/>
              <w:right w:val="nil"/>
            </w:tcBorders>
            <w:shd w:val="clear" w:color="auto" w:fill="auto"/>
            <w:tcMar>
              <w:top w:w="40" w:type="dxa"/>
              <w:left w:w="20" w:type="dxa"/>
              <w:bottom w:w="40" w:type="dxa"/>
              <w:right w:w="20" w:type="dxa"/>
            </w:tcMar>
            <w:vAlign w:val="bottom"/>
          </w:tcPr>
          <w:p w14:paraId="59E4BAA4"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(in millions, except percentages)</w:t>
            </w:r>
          </w:p>
        </w:tc>
        <w:tc>
          <w:tcPr>
            <w:tcW w:w="0" w:type="auto"/>
            <w:tcBorders>
              <w:top w:val="nil"/>
              <w:left w:val="nil"/>
              <w:bottom w:val="nil"/>
              <w:right w:val="nil"/>
            </w:tcBorders>
            <w:shd w:val="clear" w:color="auto" w:fill="auto"/>
            <w:vAlign w:val="bottom"/>
          </w:tcPr>
          <w:p w14:paraId="59E4BAA5"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BAA6"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BAA7" w14:textId="77777777" w:rsidR="00D7560A" w:rsidRDefault="00D7560A">
            <w:pPr>
              <w:widowControl/>
              <w:jc w:val="left"/>
              <w:rPr>
                <w:rFonts w:ascii="Times New Roman" w:eastAsia="宋体" w:hAnsi="宋体" w:cs="宋体"/>
                <w:kern w:val="0"/>
                <w:sz w:val="24"/>
              </w:rPr>
            </w:pPr>
          </w:p>
        </w:tc>
      </w:tr>
      <w:tr w:rsidR="00D7560A" w14:paraId="59E4BABF"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9E4BAA9"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i/>
                <w:iCs/>
                <w:color w:val="000000"/>
                <w:kern w:val="0"/>
                <w:sz w:val="18"/>
                <w:szCs w:val="18"/>
                <w:lang w:bidi="ar"/>
              </w:rPr>
              <w:t>Net revenue:</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AAA"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AAB"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AAC"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AAD"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AAE"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AAF"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AB0"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AB1"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AB2"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AB3"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AB4"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AB5"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AB6"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AB7"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AB8"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AB9"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ABA"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ABB"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ABC"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vAlign w:val="bottom"/>
          </w:tcPr>
          <w:p w14:paraId="59E4BABD" w14:textId="77777777" w:rsidR="00D7560A" w:rsidRDefault="00D7560A">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59E4BABE" w14:textId="77777777" w:rsidR="00D7560A" w:rsidRDefault="00D7560A">
            <w:pPr>
              <w:widowControl/>
              <w:jc w:val="left"/>
              <w:rPr>
                <w:rFonts w:ascii="Times New Roman" w:eastAsia="宋体" w:hAnsi="宋体" w:cs="宋体"/>
                <w:vanish/>
                <w:kern w:val="0"/>
                <w:sz w:val="24"/>
              </w:rPr>
            </w:pPr>
          </w:p>
        </w:tc>
      </w:tr>
      <w:tr w:rsidR="001E3CAB" w14:paraId="59E4BAE4" w14:textId="77777777">
        <w:trPr>
          <w:jc w:val="center"/>
        </w:trPr>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59E4BAC0"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Products</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9E4BAC1"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9E4BAC2"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20,810 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BAC3"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AC4"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BAC5"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78.8 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BAC6"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AC7"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BAC8"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10 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BAC9"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ACA"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9E4BACB"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9E4BACC"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18,895 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BACD"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ACE"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BACF"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78.1 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BAD0"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AD1"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9E4BAD2"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9E4BAD3"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41,274 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BAD4"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AD5"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BAD6"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78.6 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BAD7"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AD8"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BAD9"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13 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BADA"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ADB"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9E4BADC"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9E4BADD"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36,382 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BADE"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ADF"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BAE0"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77.8 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BAE1"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gridSpan w:val="2"/>
            <w:tcBorders>
              <w:top w:val="nil"/>
              <w:left w:val="nil"/>
              <w:bottom w:val="nil"/>
              <w:right w:val="nil"/>
            </w:tcBorders>
            <w:shd w:val="clear" w:color="auto" w:fill="auto"/>
            <w:vAlign w:val="bottom"/>
          </w:tcPr>
          <w:p w14:paraId="59E4BAE2" w14:textId="77777777" w:rsidR="00D7560A" w:rsidRDefault="00D7560A">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59E4BAE3" w14:textId="77777777" w:rsidR="00D7560A" w:rsidRDefault="00D7560A">
            <w:pPr>
              <w:widowControl/>
              <w:jc w:val="left"/>
              <w:rPr>
                <w:rFonts w:ascii="Times New Roman" w:eastAsia="宋体" w:hAnsi="宋体" w:cs="宋体"/>
                <w:vanish/>
                <w:kern w:val="0"/>
                <w:sz w:val="24"/>
              </w:rPr>
            </w:pPr>
          </w:p>
        </w:tc>
      </w:tr>
      <w:tr w:rsidR="001E3CAB" w14:paraId="59E4BB05" w14:textId="77777777">
        <w:trPr>
          <w:jc w:val="center"/>
        </w:trPr>
        <w:tc>
          <w:tcPr>
            <w:tcW w:w="0" w:type="auto"/>
            <w:gridSpan w:val="3"/>
            <w:tcBorders>
              <w:top w:val="nil"/>
              <w:left w:val="nil"/>
              <w:bottom w:val="nil"/>
              <w:right w:val="nil"/>
            </w:tcBorders>
            <w:shd w:val="clear" w:color="auto" w:fill="CCEEFF"/>
            <w:tcMar>
              <w:top w:w="40" w:type="dxa"/>
              <w:left w:w="155" w:type="dxa"/>
              <w:bottom w:w="40" w:type="dxa"/>
              <w:right w:w="20" w:type="dxa"/>
            </w:tcMar>
            <w:vAlign w:val="bottom"/>
          </w:tcPr>
          <w:p w14:paraId="59E4BAE5"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Services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BAE6"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5,615 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AE7"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AE8"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BAE9"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21.2 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AEA"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AEB"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BAEC"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AED"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AEE"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BAEF"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5,296 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AF0"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AF1"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BAF2"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21.9 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AF3"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AF4"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BAF5"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11,267 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AF6"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AF7"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BAF8"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21.4 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AF9"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AFA"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BAFB"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AFC"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AFD"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BAFE"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10,399 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AFF"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B00"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BB01"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22.2 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B02"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gridSpan w:val="2"/>
            <w:tcBorders>
              <w:top w:val="nil"/>
              <w:left w:val="nil"/>
              <w:bottom w:val="nil"/>
              <w:right w:val="nil"/>
            </w:tcBorders>
            <w:shd w:val="clear" w:color="auto" w:fill="auto"/>
            <w:vAlign w:val="bottom"/>
          </w:tcPr>
          <w:p w14:paraId="59E4BB03" w14:textId="77777777" w:rsidR="00D7560A" w:rsidRDefault="00D7560A">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59E4BB04" w14:textId="77777777" w:rsidR="00D7560A" w:rsidRDefault="00D7560A">
            <w:pPr>
              <w:widowControl/>
              <w:jc w:val="left"/>
              <w:rPr>
                <w:rFonts w:ascii="Times New Roman" w:eastAsia="宋体" w:hAnsi="宋体" w:cs="宋体"/>
                <w:vanish/>
                <w:kern w:val="0"/>
                <w:sz w:val="24"/>
              </w:rPr>
            </w:pPr>
          </w:p>
        </w:tc>
      </w:tr>
      <w:tr w:rsidR="001E3CAB" w14:paraId="59E4BB2A" w14:textId="77777777">
        <w:trPr>
          <w:jc w:val="center"/>
        </w:trPr>
        <w:tc>
          <w:tcPr>
            <w:tcW w:w="0" w:type="auto"/>
            <w:gridSpan w:val="3"/>
            <w:tcBorders>
              <w:top w:val="nil"/>
              <w:left w:val="nil"/>
              <w:bottom w:val="nil"/>
              <w:right w:val="nil"/>
            </w:tcBorders>
            <w:shd w:val="clear" w:color="auto" w:fill="FFFFFF"/>
            <w:tcMar>
              <w:top w:w="40" w:type="dxa"/>
              <w:left w:w="260" w:type="dxa"/>
              <w:bottom w:w="40" w:type="dxa"/>
              <w:right w:w="20" w:type="dxa"/>
            </w:tcMar>
            <w:vAlign w:val="bottom"/>
          </w:tcPr>
          <w:p w14:paraId="59E4BB06"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Total net revenue</w:t>
            </w: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59E4BB07"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tcBorders>
              <w:top w:val="single" w:sz="8" w:space="0" w:color="000000"/>
              <w:left w:val="nil"/>
              <w:bottom w:val="nil"/>
              <w:right w:val="nil"/>
            </w:tcBorders>
            <w:shd w:val="clear" w:color="auto" w:fill="FFFFFF"/>
            <w:tcMar>
              <w:top w:w="40" w:type="dxa"/>
              <w:left w:w="0" w:type="dxa"/>
              <w:bottom w:w="40" w:type="dxa"/>
              <w:right w:w="0" w:type="dxa"/>
            </w:tcMar>
            <w:vAlign w:val="bottom"/>
          </w:tcPr>
          <w:p w14:paraId="59E4BB08"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26,425 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59E4BB09"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B0A" w14:textId="77777777" w:rsidR="00D7560A" w:rsidRDefault="00D7560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59E4BB0B"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100.0 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59E4BB0C"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B0D"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BB0E"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BB0F"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B10"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59E4BB11"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tcBorders>
              <w:top w:val="single" w:sz="8" w:space="0" w:color="000000"/>
              <w:left w:val="nil"/>
              <w:bottom w:val="nil"/>
              <w:right w:val="nil"/>
            </w:tcBorders>
            <w:shd w:val="clear" w:color="auto" w:fill="FFFFFF"/>
            <w:tcMar>
              <w:top w:w="40" w:type="dxa"/>
              <w:left w:w="0" w:type="dxa"/>
              <w:bottom w:w="40" w:type="dxa"/>
              <w:right w:w="0" w:type="dxa"/>
            </w:tcMar>
            <w:vAlign w:val="bottom"/>
          </w:tcPr>
          <w:p w14:paraId="59E4BB12"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24,191 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59E4BB13"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B14" w14:textId="77777777" w:rsidR="00D7560A" w:rsidRDefault="00D7560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59E4BB15"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100.0 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59E4BB16"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B17"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59E4BB18"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tcBorders>
              <w:top w:val="single" w:sz="8" w:space="0" w:color="000000"/>
              <w:left w:val="nil"/>
              <w:bottom w:val="nil"/>
              <w:right w:val="nil"/>
            </w:tcBorders>
            <w:shd w:val="clear" w:color="auto" w:fill="FFFFFF"/>
            <w:tcMar>
              <w:top w:w="40" w:type="dxa"/>
              <w:left w:w="0" w:type="dxa"/>
              <w:bottom w:w="40" w:type="dxa"/>
              <w:right w:w="0" w:type="dxa"/>
            </w:tcMar>
            <w:vAlign w:val="bottom"/>
          </w:tcPr>
          <w:p w14:paraId="59E4BB19"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52,541 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59E4BB1A"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B1B" w14:textId="77777777" w:rsidR="00D7560A" w:rsidRDefault="00D7560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59E4BB1C"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100.0 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59E4BB1D"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B1E"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BB1F"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12 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BB20"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B21"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59E4BB22"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tcBorders>
              <w:top w:val="single" w:sz="8" w:space="0" w:color="000000"/>
              <w:left w:val="nil"/>
              <w:bottom w:val="nil"/>
              <w:right w:val="nil"/>
            </w:tcBorders>
            <w:shd w:val="clear" w:color="auto" w:fill="FFFFFF"/>
            <w:tcMar>
              <w:top w:w="40" w:type="dxa"/>
              <w:left w:w="0" w:type="dxa"/>
              <w:bottom w:w="40" w:type="dxa"/>
              <w:right w:w="0" w:type="dxa"/>
            </w:tcMar>
            <w:vAlign w:val="bottom"/>
          </w:tcPr>
          <w:p w14:paraId="59E4BB23"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46,781 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59E4BB24"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B25" w14:textId="77777777" w:rsidR="00D7560A" w:rsidRDefault="00D7560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59E4BB26"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100.0 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59E4BB27"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gridSpan w:val="2"/>
            <w:tcBorders>
              <w:top w:val="nil"/>
              <w:left w:val="nil"/>
              <w:bottom w:val="nil"/>
              <w:right w:val="nil"/>
            </w:tcBorders>
            <w:shd w:val="clear" w:color="auto" w:fill="auto"/>
            <w:vAlign w:val="bottom"/>
          </w:tcPr>
          <w:p w14:paraId="59E4BB28" w14:textId="77777777" w:rsidR="00D7560A" w:rsidRDefault="00D7560A">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59E4BB29" w14:textId="77777777" w:rsidR="00D7560A" w:rsidRDefault="00D7560A">
            <w:pPr>
              <w:widowControl/>
              <w:jc w:val="left"/>
              <w:rPr>
                <w:rFonts w:ascii="Times New Roman" w:eastAsia="宋体" w:hAnsi="宋体" w:cs="宋体"/>
                <w:vanish/>
                <w:kern w:val="0"/>
                <w:sz w:val="24"/>
              </w:rPr>
            </w:pPr>
          </w:p>
        </w:tc>
      </w:tr>
      <w:tr w:rsidR="00D7560A" w14:paraId="59E4BB41"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9E4BB2B"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i/>
                <w:iCs/>
                <w:color w:val="000000"/>
                <w:kern w:val="0"/>
                <w:sz w:val="18"/>
                <w:szCs w:val="18"/>
                <w:lang w:bidi="ar"/>
              </w:rPr>
              <w:t>Gross margin:</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B2C"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B2D"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B2E"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B2F"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B30"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B31"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B32"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B33"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B34"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B35"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B36"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B37"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B38"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B39"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B3A"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B3B"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B3C"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B3D"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B3E"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vAlign w:val="bottom"/>
          </w:tcPr>
          <w:p w14:paraId="59E4BB3F" w14:textId="77777777" w:rsidR="00D7560A" w:rsidRDefault="00D7560A">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59E4BB40" w14:textId="77777777" w:rsidR="00D7560A" w:rsidRDefault="00D7560A">
            <w:pPr>
              <w:widowControl/>
              <w:jc w:val="left"/>
              <w:rPr>
                <w:rFonts w:ascii="Times New Roman" w:eastAsia="宋体" w:hAnsi="宋体" w:cs="宋体"/>
                <w:vanish/>
                <w:kern w:val="0"/>
                <w:sz w:val="24"/>
              </w:rPr>
            </w:pPr>
          </w:p>
        </w:tc>
      </w:tr>
      <w:tr w:rsidR="001E3CAB" w14:paraId="59E4BB66" w14:textId="77777777">
        <w:trPr>
          <w:jc w:val="center"/>
        </w:trPr>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59E4BB42"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Products (a)</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9E4BB43"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9E4BB44"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3,139 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BB45"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B46"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BB47"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15.1 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BB48"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B49"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BB4A"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BB4B"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B4C"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9E4BB4D"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9E4BB4E"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3,203 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BB4F"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B50"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BB51"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17.0 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BB52"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B53"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9E4BB54"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9E4BB55"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6,594 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BB56"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B57"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BB58"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16.0 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BB59"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B5A"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BB5B"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BB5C"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B5D"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9E4BB5E"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9E4BB5F"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6,256 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BB60"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B61"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BB62"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17.2 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BB63"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gridSpan w:val="2"/>
            <w:tcBorders>
              <w:top w:val="nil"/>
              <w:left w:val="nil"/>
              <w:bottom w:val="nil"/>
              <w:right w:val="nil"/>
            </w:tcBorders>
            <w:shd w:val="clear" w:color="auto" w:fill="auto"/>
            <w:vAlign w:val="bottom"/>
          </w:tcPr>
          <w:p w14:paraId="59E4BB64" w14:textId="77777777" w:rsidR="00D7560A" w:rsidRDefault="00D7560A">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59E4BB65" w14:textId="77777777" w:rsidR="00D7560A" w:rsidRDefault="00D7560A">
            <w:pPr>
              <w:widowControl/>
              <w:jc w:val="left"/>
              <w:rPr>
                <w:rFonts w:ascii="Times New Roman" w:eastAsia="宋体" w:hAnsi="宋体" w:cs="宋体"/>
                <w:vanish/>
                <w:kern w:val="0"/>
                <w:sz w:val="24"/>
              </w:rPr>
            </w:pPr>
          </w:p>
        </w:tc>
      </w:tr>
      <w:tr w:rsidR="001E3CAB" w14:paraId="59E4BB87" w14:textId="77777777">
        <w:trPr>
          <w:jc w:val="center"/>
        </w:trPr>
        <w:tc>
          <w:tcPr>
            <w:tcW w:w="0" w:type="auto"/>
            <w:gridSpan w:val="3"/>
            <w:tcBorders>
              <w:top w:val="nil"/>
              <w:left w:val="nil"/>
              <w:bottom w:val="nil"/>
              <w:right w:val="nil"/>
            </w:tcBorders>
            <w:shd w:val="clear" w:color="auto" w:fill="CCEEFF"/>
            <w:tcMar>
              <w:top w:w="40" w:type="dxa"/>
              <w:left w:w="155" w:type="dxa"/>
              <w:bottom w:w="40" w:type="dxa"/>
              <w:right w:w="20" w:type="dxa"/>
            </w:tcMar>
            <w:vAlign w:val="bottom"/>
          </w:tcPr>
          <w:p w14:paraId="59E4BB67"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Services (b)</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BB68"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2,300 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B69"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B6A"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BB6B"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41.0 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B6C"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B6D"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BB6E"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B6F"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B70"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BB71"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2,272 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B72"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B73"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BB74"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42.9 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B75"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B76"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BB77"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4,629 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B78"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B79"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BB7A"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41.1 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B7B"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B7C"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BB7D"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B7E"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B7F"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BB80"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4,483 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B81"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B82"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BB83"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43.1 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B84"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gridSpan w:val="2"/>
            <w:tcBorders>
              <w:top w:val="nil"/>
              <w:left w:val="nil"/>
              <w:bottom w:val="nil"/>
              <w:right w:val="nil"/>
            </w:tcBorders>
            <w:shd w:val="clear" w:color="auto" w:fill="auto"/>
            <w:vAlign w:val="bottom"/>
          </w:tcPr>
          <w:p w14:paraId="59E4BB85" w14:textId="77777777" w:rsidR="00D7560A" w:rsidRDefault="00D7560A">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59E4BB86" w14:textId="77777777" w:rsidR="00D7560A" w:rsidRDefault="00D7560A">
            <w:pPr>
              <w:widowControl/>
              <w:jc w:val="left"/>
              <w:rPr>
                <w:rFonts w:ascii="Times New Roman" w:eastAsia="宋体" w:hAnsi="宋体" w:cs="宋体"/>
                <w:vanish/>
                <w:kern w:val="0"/>
                <w:sz w:val="24"/>
              </w:rPr>
            </w:pPr>
          </w:p>
        </w:tc>
      </w:tr>
      <w:tr w:rsidR="001E3CAB" w14:paraId="59E4BBAC" w14:textId="77777777">
        <w:trPr>
          <w:jc w:val="center"/>
        </w:trPr>
        <w:tc>
          <w:tcPr>
            <w:tcW w:w="0" w:type="auto"/>
            <w:gridSpan w:val="3"/>
            <w:tcBorders>
              <w:top w:val="nil"/>
              <w:left w:val="nil"/>
              <w:bottom w:val="nil"/>
              <w:right w:val="nil"/>
            </w:tcBorders>
            <w:shd w:val="clear" w:color="auto" w:fill="FFFFFF"/>
            <w:tcMar>
              <w:top w:w="40" w:type="dxa"/>
              <w:left w:w="260" w:type="dxa"/>
              <w:bottom w:w="40" w:type="dxa"/>
              <w:right w:w="20" w:type="dxa"/>
            </w:tcMar>
            <w:vAlign w:val="bottom"/>
          </w:tcPr>
          <w:p w14:paraId="59E4BB88"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Total gross margin</w:t>
            </w: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59E4BB89"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tcBorders>
              <w:top w:val="single" w:sz="8" w:space="0" w:color="000000"/>
              <w:left w:val="nil"/>
              <w:bottom w:val="nil"/>
              <w:right w:val="nil"/>
            </w:tcBorders>
            <w:shd w:val="clear" w:color="auto" w:fill="FFFFFF"/>
            <w:tcMar>
              <w:top w:w="40" w:type="dxa"/>
              <w:left w:w="0" w:type="dxa"/>
              <w:bottom w:w="40" w:type="dxa"/>
              <w:right w:w="0" w:type="dxa"/>
            </w:tcMar>
            <w:vAlign w:val="bottom"/>
          </w:tcPr>
          <w:p w14:paraId="59E4BB8A"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5,439 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59E4BB8B"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B8C"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BB8D"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20.6 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BB8E"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B8F"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BB90"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BB91"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B92"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59E4BB93"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tcBorders>
              <w:top w:val="single" w:sz="8" w:space="0" w:color="000000"/>
              <w:left w:val="nil"/>
              <w:bottom w:val="nil"/>
              <w:right w:val="nil"/>
            </w:tcBorders>
            <w:shd w:val="clear" w:color="auto" w:fill="FFFFFF"/>
            <w:tcMar>
              <w:top w:w="40" w:type="dxa"/>
              <w:left w:w="0" w:type="dxa"/>
              <w:bottom w:w="40" w:type="dxa"/>
              <w:right w:w="0" w:type="dxa"/>
            </w:tcMar>
            <w:vAlign w:val="bottom"/>
          </w:tcPr>
          <w:p w14:paraId="59E4BB94"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5,475 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59E4BB95"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B96"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BB97"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22.6 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BB98"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B99"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59E4BB9A"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tcBorders>
              <w:top w:val="single" w:sz="8" w:space="0" w:color="000000"/>
              <w:left w:val="nil"/>
              <w:bottom w:val="nil"/>
              <w:right w:val="nil"/>
            </w:tcBorders>
            <w:shd w:val="clear" w:color="auto" w:fill="FFFFFF"/>
            <w:tcMar>
              <w:top w:w="40" w:type="dxa"/>
              <w:left w:w="0" w:type="dxa"/>
              <w:bottom w:w="40" w:type="dxa"/>
              <w:right w:w="0" w:type="dxa"/>
            </w:tcMar>
            <w:vAlign w:val="bottom"/>
          </w:tcPr>
          <w:p w14:paraId="59E4BB9B"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11,223 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59E4BB9C"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B9D"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BB9E"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21.4 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BB9F"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BA0"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BBA1"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BBA2"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BA3"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59E4BBA4"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tcBorders>
              <w:top w:val="single" w:sz="8" w:space="0" w:color="000000"/>
              <w:left w:val="nil"/>
              <w:bottom w:val="nil"/>
              <w:right w:val="nil"/>
            </w:tcBorders>
            <w:shd w:val="clear" w:color="auto" w:fill="FFFFFF"/>
            <w:tcMar>
              <w:top w:w="40" w:type="dxa"/>
              <w:left w:w="0" w:type="dxa"/>
              <w:bottom w:w="40" w:type="dxa"/>
              <w:right w:w="0" w:type="dxa"/>
            </w:tcMar>
            <w:vAlign w:val="bottom"/>
          </w:tcPr>
          <w:p w14:paraId="59E4BBA5"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10,739 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59E4BBA6"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BA7"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BBA8"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23.0 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BBA9"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gridSpan w:val="2"/>
            <w:tcBorders>
              <w:top w:val="nil"/>
              <w:left w:val="nil"/>
              <w:bottom w:val="nil"/>
              <w:right w:val="nil"/>
            </w:tcBorders>
            <w:shd w:val="clear" w:color="auto" w:fill="auto"/>
            <w:vAlign w:val="bottom"/>
          </w:tcPr>
          <w:p w14:paraId="59E4BBAA" w14:textId="77777777" w:rsidR="00D7560A" w:rsidRDefault="00D7560A">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59E4BBAB" w14:textId="77777777" w:rsidR="00D7560A" w:rsidRDefault="00D7560A">
            <w:pPr>
              <w:widowControl/>
              <w:jc w:val="left"/>
              <w:rPr>
                <w:rFonts w:ascii="Times New Roman" w:eastAsia="宋体" w:hAnsi="宋体" w:cs="宋体"/>
                <w:vanish/>
                <w:kern w:val="0"/>
                <w:sz w:val="24"/>
              </w:rPr>
            </w:pPr>
          </w:p>
        </w:tc>
      </w:tr>
      <w:tr w:rsidR="001E3CAB" w14:paraId="59E4BBD1"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9E4BBAD"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Operating expenses</w:t>
            </w: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9E4BBAE"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9E4BBAF"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4,169 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BB0"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BB1"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BBB2"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15.8 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BB3"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BB4"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BBB5"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(6)</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BB6"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BB7"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9E4BBB8"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9E4BBB9"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4,458 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BBA"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BBB"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BBBC"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18.4 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BBD"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BBE"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9E4BBBF"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9E4BBC0"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8,403 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BC1"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BC2"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BBC3"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16.0 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BC4"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BC5"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BBC6"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(4)</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BC7"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BC8"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9E4BBC9"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9E4BBCA"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8,735 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BCB"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BCC"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BBCD"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18.7 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BCE"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gridSpan w:val="2"/>
            <w:tcBorders>
              <w:top w:val="nil"/>
              <w:left w:val="nil"/>
              <w:bottom w:val="nil"/>
              <w:right w:val="nil"/>
            </w:tcBorders>
            <w:shd w:val="clear" w:color="auto" w:fill="auto"/>
            <w:vAlign w:val="bottom"/>
          </w:tcPr>
          <w:p w14:paraId="59E4BBCF" w14:textId="77777777" w:rsidR="00D7560A" w:rsidRDefault="00D7560A">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59E4BBD0" w14:textId="77777777" w:rsidR="00D7560A" w:rsidRDefault="00D7560A">
            <w:pPr>
              <w:widowControl/>
              <w:jc w:val="left"/>
              <w:rPr>
                <w:rFonts w:ascii="Times New Roman" w:eastAsia="宋体" w:hAnsi="宋体" w:cs="宋体"/>
                <w:vanish/>
                <w:kern w:val="0"/>
                <w:sz w:val="24"/>
              </w:rPr>
            </w:pPr>
          </w:p>
        </w:tc>
      </w:tr>
      <w:tr w:rsidR="001E3CAB" w14:paraId="59E4BBF6"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59E4BBD2"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Operating income</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9E4BBD3"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9E4BBD4"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1,270 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BBD5"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BD6"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BBD7"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4.8 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BBD8"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BD9"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BBDA"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25 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BBDB"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BDC"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9E4BBDD"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9E4BBDE"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1,017 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BBDF"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BE0"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BBE1"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4.2 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BBE2"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BE3"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9E4BBE4"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9E4BBE5"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2,820 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BBE6"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BE7"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BBE8"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5.4 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BBE9"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BEA"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BBEB"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41 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BBEC"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BED"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9E4BBEE"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9E4BBEF"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2,004 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BBF0"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BF1"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BBF2"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4.3 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BBF3"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gridSpan w:val="2"/>
            <w:tcBorders>
              <w:top w:val="nil"/>
              <w:left w:val="nil"/>
              <w:bottom w:val="nil"/>
              <w:right w:val="nil"/>
            </w:tcBorders>
            <w:shd w:val="clear" w:color="auto" w:fill="auto"/>
            <w:vAlign w:val="bottom"/>
          </w:tcPr>
          <w:p w14:paraId="59E4BBF4" w14:textId="77777777" w:rsidR="00D7560A" w:rsidRDefault="00D7560A">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59E4BBF5" w14:textId="77777777" w:rsidR="00D7560A" w:rsidRDefault="00D7560A">
            <w:pPr>
              <w:widowControl/>
              <w:jc w:val="left"/>
              <w:rPr>
                <w:rFonts w:ascii="Times New Roman" w:eastAsia="宋体" w:hAnsi="宋体" w:cs="宋体"/>
                <w:vanish/>
                <w:kern w:val="0"/>
                <w:sz w:val="24"/>
              </w:rPr>
            </w:pPr>
          </w:p>
        </w:tc>
      </w:tr>
      <w:tr w:rsidR="001E3CAB" w14:paraId="59E4BC1B"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9E4BBF7"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Net income from continuing operation</w:t>
            </w:r>
            <w:r>
              <w:rPr>
                <w:rFonts w:ascii="Times New Roman" w:eastAsia="宋体" w:hAnsi="Times New Roman" w:cs="Times New Roman"/>
                <w:color w:val="000000"/>
                <w:kern w:val="0"/>
                <w:sz w:val="18"/>
                <w:szCs w:val="18"/>
                <w:lang w:bidi="ar"/>
              </w:rPr>
              <w:t>s</w:t>
            </w: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9E4BBF8"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9E4BBF9"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506 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BFA"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BFB"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BBFC"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1.9 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BFD"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BFE"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BBFF"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(20)</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C00"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C01"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9E4BC02"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9E4BC03"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629 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C04"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C05"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BC06"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2.6 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C07"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C08"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9E4BC09"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9E4BC0A"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1,575 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C0B"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C0C"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BC0D"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3.0 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C0E"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C0F"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BC10"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22 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C11"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C12"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9E4BC13"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9E4BC14"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1,288 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C15"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C16"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BC17"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2.8 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C18"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gridSpan w:val="2"/>
            <w:tcBorders>
              <w:top w:val="nil"/>
              <w:left w:val="nil"/>
              <w:bottom w:val="nil"/>
              <w:right w:val="nil"/>
            </w:tcBorders>
            <w:shd w:val="clear" w:color="auto" w:fill="auto"/>
            <w:vAlign w:val="bottom"/>
          </w:tcPr>
          <w:p w14:paraId="59E4BC19" w14:textId="77777777" w:rsidR="00D7560A" w:rsidRDefault="00D7560A">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59E4BC1A" w14:textId="77777777" w:rsidR="00D7560A" w:rsidRDefault="00D7560A">
            <w:pPr>
              <w:widowControl/>
              <w:jc w:val="left"/>
              <w:rPr>
                <w:rFonts w:ascii="Times New Roman" w:eastAsia="宋体" w:hAnsi="宋体" w:cs="宋体"/>
                <w:vanish/>
                <w:kern w:val="0"/>
                <w:sz w:val="24"/>
              </w:rPr>
            </w:pPr>
          </w:p>
        </w:tc>
      </w:tr>
      <w:tr w:rsidR="00D7560A" w14:paraId="59E4BC32" w14:textId="77777777">
        <w:trPr>
          <w:jc w:val="center"/>
          <w:hidden/>
        </w:trPr>
        <w:tc>
          <w:tcPr>
            <w:tcW w:w="0" w:type="auto"/>
            <w:gridSpan w:val="3"/>
            <w:tcBorders>
              <w:top w:val="nil"/>
              <w:left w:val="nil"/>
              <w:bottom w:val="nil"/>
              <w:right w:val="nil"/>
            </w:tcBorders>
            <w:shd w:val="clear" w:color="auto" w:fill="auto"/>
            <w:vAlign w:val="bottom"/>
          </w:tcPr>
          <w:p w14:paraId="59E4BC1C"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C1D"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C1E"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C1F"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C20"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C21"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C22"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C23"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C24"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C25"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C26"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C27"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C28"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C29"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C2A"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C2B"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C2C"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C2D"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C2E"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BC2F" w14:textId="77777777" w:rsidR="00D7560A" w:rsidRDefault="00D7560A">
            <w:pPr>
              <w:widowControl/>
              <w:jc w:val="left"/>
              <w:rPr>
                <w:rFonts w:ascii="Times New Roman" w:eastAsia="宋体" w:hAnsi="宋体" w:cs="宋体"/>
                <w:vanish/>
                <w:kern w:val="0"/>
                <w:sz w:val="24"/>
              </w:rPr>
            </w:pPr>
          </w:p>
        </w:tc>
        <w:tc>
          <w:tcPr>
            <w:tcW w:w="0" w:type="auto"/>
            <w:gridSpan w:val="2"/>
            <w:tcBorders>
              <w:top w:val="nil"/>
              <w:left w:val="nil"/>
              <w:bottom w:val="nil"/>
              <w:right w:val="nil"/>
            </w:tcBorders>
            <w:shd w:val="clear" w:color="auto" w:fill="auto"/>
            <w:vAlign w:val="bottom"/>
          </w:tcPr>
          <w:p w14:paraId="59E4BC30" w14:textId="77777777" w:rsidR="00D7560A" w:rsidRDefault="00D7560A">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59E4BC31" w14:textId="77777777" w:rsidR="00D7560A" w:rsidRDefault="00D7560A">
            <w:pPr>
              <w:widowControl/>
              <w:jc w:val="left"/>
              <w:rPr>
                <w:rFonts w:ascii="Times New Roman" w:eastAsia="宋体" w:hAnsi="宋体" w:cs="宋体"/>
                <w:vanish/>
                <w:kern w:val="0"/>
                <w:sz w:val="24"/>
              </w:rPr>
            </w:pPr>
          </w:p>
        </w:tc>
      </w:tr>
      <w:tr w:rsidR="00D7560A" w14:paraId="59E4BC49" w14:textId="77777777">
        <w:trPr>
          <w:trHeight w:val="160"/>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BC33"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BC34"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BC35"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BC36"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BC37"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BC38"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BC39"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BC3A"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BC3B"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BC3C"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BC3D"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BC3E"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BC3F"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BC40"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BC41"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BC42"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BC43"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BC44"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BC45"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BC46"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vAlign w:val="bottom"/>
          </w:tcPr>
          <w:p w14:paraId="59E4BC47" w14:textId="77777777" w:rsidR="00D7560A" w:rsidRDefault="00D7560A">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59E4BC48" w14:textId="77777777" w:rsidR="00D7560A" w:rsidRDefault="00D7560A">
            <w:pPr>
              <w:widowControl/>
              <w:jc w:val="left"/>
              <w:rPr>
                <w:rFonts w:ascii="Times New Roman" w:eastAsia="宋体" w:hAnsi="宋体" w:cs="宋体"/>
                <w:vanish/>
                <w:kern w:val="0"/>
                <w:sz w:val="24"/>
              </w:rPr>
            </w:pPr>
          </w:p>
        </w:tc>
      </w:tr>
      <w:tr w:rsidR="00D7560A" w14:paraId="59E4BC55" w14:textId="77777777">
        <w:trPr>
          <w:jc w:val="center"/>
        </w:trPr>
        <w:tc>
          <w:tcPr>
            <w:tcW w:w="0" w:type="auto"/>
            <w:gridSpan w:val="36"/>
            <w:tcBorders>
              <w:top w:val="nil"/>
              <w:left w:val="nil"/>
              <w:bottom w:val="nil"/>
              <w:right w:val="nil"/>
            </w:tcBorders>
            <w:shd w:val="clear" w:color="auto" w:fill="auto"/>
            <w:tcMar>
              <w:top w:w="40" w:type="dxa"/>
              <w:left w:w="20" w:type="dxa"/>
              <w:bottom w:w="40" w:type="dxa"/>
              <w:right w:w="20" w:type="dxa"/>
            </w:tcMar>
            <w:vAlign w:val="bottom"/>
          </w:tcPr>
          <w:p w14:paraId="59E4BC4A"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b/>
                <w:bCs/>
                <w:i/>
                <w:iCs/>
                <w:color w:val="000000"/>
                <w:kern w:val="0"/>
                <w:sz w:val="20"/>
                <w:szCs w:val="20"/>
                <w:lang w:bidi="ar"/>
              </w:rPr>
              <w:t>Non-GAAP Financial Information</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BC4B"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BC4C"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BC4D"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BC4E"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BC4F"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BC50"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BC51"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BC52"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vAlign w:val="bottom"/>
          </w:tcPr>
          <w:p w14:paraId="59E4BC53" w14:textId="77777777" w:rsidR="00D7560A" w:rsidRDefault="00D7560A">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59E4BC54" w14:textId="77777777" w:rsidR="00D7560A" w:rsidRDefault="00D7560A">
            <w:pPr>
              <w:widowControl/>
              <w:jc w:val="left"/>
              <w:rPr>
                <w:rFonts w:ascii="Times New Roman" w:eastAsia="宋体" w:hAnsi="宋体" w:cs="宋体"/>
                <w:vanish/>
                <w:kern w:val="0"/>
                <w:sz w:val="24"/>
              </w:rPr>
            </w:pPr>
          </w:p>
        </w:tc>
      </w:tr>
      <w:tr w:rsidR="00D7560A" w14:paraId="59E4BC5D"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BC56" w14:textId="77777777" w:rsidR="00D7560A" w:rsidRDefault="00D7560A">
            <w:pPr>
              <w:widowControl/>
              <w:jc w:val="left"/>
              <w:rPr>
                <w:rFonts w:ascii="Times New Roman" w:eastAsia="宋体" w:hAnsi="宋体" w:cs="宋体"/>
                <w:kern w:val="0"/>
                <w:sz w:val="24"/>
              </w:rPr>
            </w:pPr>
          </w:p>
        </w:tc>
        <w:tc>
          <w:tcPr>
            <w:tcW w:w="0" w:type="auto"/>
            <w:gridSpan w:val="27"/>
            <w:tcBorders>
              <w:top w:val="nil"/>
              <w:left w:val="nil"/>
              <w:bottom w:val="single" w:sz="8" w:space="0" w:color="000000"/>
              <w:right w:val="nil"/>
            </w:tcBorders>
            <w:shd w:val="clear" w:color="auto" w:fill="auto"/>
            <w:tcMar>
              <w:top w:w="40" w:type="dxa"/>
              <w:left w:w="20" w:type="dxa"/>
              <w:bottom w:w="40" w:type="dxa"/>
              <w:right w:w="20" w:type="dxa"/>
            </w:tcMar>
            <w:vAlign w:val="bottom"/>
          </w:tcPr>
          <w:p w14:paraId="59E4BC57"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Three Months Ended</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BC58" w14:textId="77777777" w:rsidR="00D7560A" w:rsidRDefault="00D7560A">
            <w:pPr>
              <w:widowControl/>
              <w:jc w:val="left"/>
              <w:rPr>
                <w:rFonts w:ascii="Times New Roman" w:eastAsia="宋体" w:hAnsi="宋体" w:cs="宋体"/>
                <w:kern w:val="0"/>
                <w:sz w:val="24"/>
              </w:rPr>
            </w:pPr>
          </w:p>
        </w:tc>
        <w:tc>
          <w:tcPr>
            <w:tcW w:w="0" w:type="auto"/>
            <w:gridSpan w:val="27"/>
            <w:tcBorders>
              <w:top w:val="nil"/>
              <w:left w:val="nil"/>
              <w:bottom w:val="single" w:sz="8" w:space="0" w:color="000000"/>
              <w:right w:val="nil"/>
            </w:tcBorders>
            <w:shd w:val="clear" w:color="auto" w:fill="auto"/>
            <w:tcMar>
              <w:top w:w="40" w:type="dxa"/>
              <w:left w:w="20" w:type="dxa"/>
              <w:bottom w:w="40" w:type="dxa"/>
              <w:right w:w="20" w:type="dxa"/>
            </w:tcMar>
            <w:vAlign w:val="bottom"/>
          </w:tcPr>
          <w:p w14:paraId="59E4BC59"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Six Months Ended</w:t>
            </w:r>
          </w:p>
        </w:tc>
        <w:tc>
          <w:tcPr>
            <w:tcW w:w="0" w:type="auto"/>
            <w:tcBorders>
              <w:top w:val="nil"/>
              <w:left w:val="nil"/>
              <w:bottom w:val="nil"/>
              <w:right w:val="nil"/>
            </w:tcBorders>
            <w:shd w:val="clear" w:color="auto" w:fill="auto"/>
            <w:vAlign w:val="bottom"/>
          </w:tcPr>
          <w:p w14:paraId="59E4BC5A"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BC5B"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BC5C" w14:textId="77777777" w:rsidR="00D7560A" w:rsidRDefault="00D7560A">
            <w:pPr>
              <w:widowControl/>
              <w:jc w:val="left"/>
              <w:rPr>
                <w:rFonts w:ascii="Times New Roman" w:eastAsia="宋体" w:hAnsi="宋体" w:cs="宋体"/>
                <w:kern w:val="0"/>
                <w:sz w:val="24"/>
              </w:rPr>
            </w:pPr>
          </w:p>
        </w:tc>
      </w:tr>
      <w:tr w:rsidR="00D7560A" w14:paraId="59E4BC6C"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BC5E" w14:textId="77777777" w:rsidR="00D7560A" w:rsidRDefault="00D7560A">
            <w:pPr>
              <w:widowControl/>
              <w:jc w:val="left"/>
              <w:rPr>
                <w:rFonts w:ascii="Times New Roman" w:eastAsia="宋体" w:hAnsi="宋体" w:cs="宋体"/>
                <w:kern w:val="0"/>
                <w:sz w:val="24"/>
              </w:rPr>
            </w:pPr>
          </w:p>
        </w:tc>
        <w:tc>
          <w:tcPr>
            <w:tcW w:w="0" w:type="auto"/>
            <w:gridSpan w:val="9"/>
            <w:tcBorders>
              <w:top w:val="single" w:sz="8" w:space="0" w:color="000000"/>
              <w:left w:val="nil"/>
              <w:bottom w:val="nil"/>
              <w:right w:val="nil"/>
            </w:tcBorders>
            <w:shd w:val="clear" w:color="auto" w:fill="auto"/>
            <w:tcMar>
              <w:top w:w="40" w:type="dxa"/>
              <w:left w:w="20" w:type="dxa"/>
              <w:bottom w:w="40" w:type="dxa"/>
              <w:right w:w="20" w:type="dxa"/>
            </w:tcMar>
            <w:vAlign w:val="bottom"/>
          </w:tcPr>
          <w:p w14:paraId="59E4BC5F"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July 29, 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59E4BC60"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59E4BC61"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59E4BC62" w14:textId="77777777" w:rsidR="00D7560A" w:rsidRDefault="00D7560A">
            <w:pPr>
              <w:widowControl/>
              <w:jc w:val="left"/>
              <w:rPr>
                <w:rFonts w:ascii="Times New Roman" w:eastAsia="宋体" w:hAnsi="宋体" w:cs="宋体"/>
                <w:kern w:val="0"/>
                <w:sz w:val="24"/>
              </w:rPr>
            </w:pPr>
          </w:p>
        </w:tc>
        <w:tc>
          <w:tcPr>
            <w:tcW w:w="0" w:type="auto"/>
            <w:gridSpan w:val="9"/>
            <w:tcBorders>
              <w:top w:val="single" w:sz="8" w:space="0" w:color="000000"/>
              <w:left w:val="nil"/>
              <w:bottom w:val="nil"/>
              <w:right w:val="nil"/>
            </w:tcBorders>
            <w:shd w:val="clear" w:color="auto" w:fill="auto"/>
            <w:tcMar>
              <w:top w:w="40" w:type="dxa"/>
              <w:left w:w="20" w:type="dxa"/>
              <w:bottom w:w="40" w:type="dxa"/>
              <w:right w:w="20" w:type="dxa"/>
            </w:tcMar>
            <w:vAlign w:val="bottom"/>
          </w:tcPr>
          <w:p w14:paraId="59E4BC63"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July 30, 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BC64" w14:textId="77777777" w:rsidR="00D7560A" w:rsidRDefault="00D7560A">
            <w:pPr>
              <w:widowControl/>
              <w:jc w:val="left"/>
              <w:rPr>
                <w:rFonts w:ascii="Times New Roman" w:eastAsia="宋体" w:hAnsi="宋体" w:cs="宋体"/>
                <w:kern w:val="0"/>
                <w:sz w:val="24"/>
              </w:rPr>
            </w:pPr>
          </w:p>
        </w:tc>
        <w:tc>
          <w:tcPr>
            <w:tcW w:w="0" w:type="auto"/>
            <w:gridSpan w:val="9"/>
            <w:tcBorders>
              <w:top w:val="single" w:sz="8" w:space="0" w:color="000000"/>
              <w:left w:val="nil"/>
              <w:bottom w:val="nil"/>
              <w:right w:val="nil"/>
            </w:tcBorders>
            <w:shd w:val="clear" w:color="auto" w:fill="auto"/>
            <w:tcMar>
              <w:top w:w="40" w:type="dxa"/>
              <w:left w:w="20" w:type="dxa"/>
              <w:bottom w:w="40" w:type="dxa"/>
              <w:right w:w="20" w:type="dxa"/>
            </w:tcMar>
            <w:vAlign w:val="bottom"/>
          </w:tcPr>
          <w:p w14:paraId="59E4BC65"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July 29, 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59E4BC66"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59E4BC67"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59E4BC68" w14:textId="77777777" w:rsidR="00D7560A" w:rsidRDefault="00D7560A">
            <w:pPr>
              <w:widowControl/>
              <w:jc w:val="left"/>
              <w:rPr>
                <w:rFonts w:ascii="Times New Roman" w:eastAsia="宋体" w:hAnsi="宋体" w:cs="宋体"/>
                <w:kern w:val="0"/>
                <w:sz w:val="24"/>
              </w:rPr>
            </w:pPr>
          </w:p>
        </w:tc>
        <w:tc>
          <w:tcPr>
            <w:tcW w:w="0" w:type="auto"/>
            <w:gridSpan w:val="9"/>
            <w:tcBorders>
              <w:top w:val="single" w:sz="8" w:space="0" w:color="000000"/>
              <w:left w:val="nil"/>
              <w:bottom w:val="nil"/>
              <w:right w:val="nil"/>
            </w:tcBorders>
            <w:shd w:val="clear" w:color="auto" w:fill="auto"/>
            <w:tcMar>
              <w:top w:w="40" w:type="dxa"/>
              <w:left w:w="20" w:type="dxa"/>
              <w:bottom w:w="40" w:type="dxa"/>
              <w:right w:w="20" w:type="dxa"/>
            </w:tcMar>
            <w:vAlign w:val="bottom"/>
          </w:tcPr>
          <w:p w14:paraId="59E4BC69"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July 30, 2021</w:t>
            </w:r>
          </w:p>
        </w:tc>
        <w:tc>
          <w:tcPr>
            <w:tcW w:w="0" w:type="auto"/>
            <w:gridSpan w:val="2"/>
            <w:tcBorders>
              <w:top w:val="nil"/>
              <w:left w:val="nil"/>
              <w:bottom w:val="nil"/>
              <w:right w:val="nil"/>
            </w:tcBorders>
            <w:shd w:val="clear" w:color="auto" w:fill="auto"/>
            <w:vAlign w:val="bottom"/>
          </w:tcPr>
          <w:p w14:paraId="59E4BC6A" w14:textId="77777777" w:rsidR="00D7560A" w:rsidRDefault="00D7560A">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59E4BC6B" w14:textId="77777777" w:rsidR="00D7560A" w:rsidRDefault="00D7560A">
            <w:pPr>
              <w:widowControl/>
              <w:jc w:val="left"/>
              <w:rPr>
                <w:rFonts w:ascii="Times New Roman" w:eastAsia="宋体" w:hAnsi="宋体" w:cs="宋体"/>
                <w:vanish/>
                <w:kern w:val="0"/>
                <w:sz w:val="24"/>
              </w:rPr>
            </w:pPr>
          </w:p>
        </w:tc>
      </w:tr>
      <w:tr w:rsidR="00D7560A" w14:paraId="59E4BC83"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BC6D"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59E4BC6E"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Dollars</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59E4BC6F"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59E4BC70"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 of Non-GAAP</w:t>
            </w:r>
            <w:r>
              <w:rPr>
                <w:rFonts w:ascii="Times New Roman" w:eastAsia="宋体" w:hAnsi="Times New Roman" w:cs="Times New Roman"/>
                <w:b/>
                <w:bCs/>
                <w:color w:val="000000"/>
                <w:kern w:val="0"/>
                <w:sz w:val="18"/>
                <w:szCs w:val="18"/>
                <w:lang w:bidi="ar"/>
              </w:rPr>
              <w:br/>
              <w:t> Net Revenue</w:t>
            </w: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59E4BC71"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auto"/>
            <w:tcMar>
              <w:top w:w="40" w:type="dxa"/>
              <w:left w:w="20" w:type="dxa"/>
              <w:bottom w:w="40" w:type="dxa"/>
              <w:right w:w="20" w:type="dxa"/>
            </w:tcMar>
            <w:vAlign w:val="bottom"/>
          </w:tcPr>
          <w:p w14:paraId="59E4BC72"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w:t>
            </w:r>
            <w:r>
              <w:rPr>
                <w:rFonts w:ascii="Times New Roman" w:eastAsia="宋体" w:hAnsi="Times New Roman" w:cs="Times New Roman"/>
                <w:b/>
                <w:bCs/>
                <w:color w:val="000000"/>
                <w:kern w:val="0"/>
                <w:sz w:val="18"/>
                <w:szCs w:val="18"/>
                <w:lang w:bidi="ar"/>
              </w:rPr>
              <w:br/>
              <w:t>Change</w:t>
            </w: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59E4BC73"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59E4BC74"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Dollars</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59E4BC75"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59E4BC76"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 of Non-GAAP</w:t>
            </w:r>
            <w:r>
              <w:rPr>
                <w:rFonts w:ascii="Times New Roman" w:eastAsia="宋体" w:hAnsi="Times New Roman" w:cs="Times New Roman"/>
                <w:b/>
                <w:bCs/>
                <w:color w:val="000000"/>
                <w:kern w:val="0"/>
                <w:sz w:val="18"/>
                <w:szCs w:val="18"/>
                <w:lang w:bidi="ar"/>
              </w:rPr>
              <w:br/>
              <w:t> Net Revenue</w:t>
            </w: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59E4BC77"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59E4BC78"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Dollars</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59E4BC79"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59E4BC7A"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 of Non-GAAP</w:t>
            </w:r>
            <w:r>
              <w:rPr>
                <w:rFonts w:ascii="Times New Roman" w:eastAsia="宋体" w:hAnsi="Times New Roman" w:cs="Times New Roman"/>
                <w:b/>
                <w:bCs/>
                <w:color w:val="000000"/>
                <w:kern w:val="0"/>
                <w:sz w:val="18"/>
                <w:szCs w:val="18"/>
                <w:lang w:bidi="ar"/>
              </w:rPr>
              <w:br/>
              <w:t> Net Revenue</w:t>
            </w: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59E4BC7B"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auto"/>
            <w:tcMar>
              <w:top w:w="40" w:type="dxa"/>
              <w:left w:w="20" w:type="dxa"/>
              <w:bottom w:w="40" w:type="dxa"/>
              <w:right w:w="20" w:type="dxa"/>
            </w:tcMar>
            <w:vAlign w:val="bottom"/>
          </w:tcPr>
          <w:p w14:paraId="59E4BC7C"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w:t>
            </w:r>
            <w:r>
              <w:rPr>
                <w:rFonts w:ascii="Times New Roman" w:eastAsia="宋体" w:hAnsi="Times New Roman" w:cs="Times New Roman"/>
                <w:b/>
                <w:bCs/>
                <w:color w:val="000000"/>
                <w:kern w:val="0"/>
                <w:sz w:val="18"/>
                <w:szCs w:val="18"/>
                <w:lang w:bidi="ar"/>
              </w:rPr>
              <w:br/>
              <w:t>Change</w:t>
            </w: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59E4BC7D"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59E4BC7E"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Dollars</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59E4BC7F"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59E4BC80"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 of Non-GAAP</w:t>
            </w:r>
            <w:r>
              <w:rPr>
                <w:rFonts w:ascii="Times New Roman" w:eastAsia="宋体" w:hAnsi="Times New Roman" w:cs="Times New Roman"/>
                <w:b/>
                <w:bCs/>
                <w:color w:val="000000"/>
                <w:kern w:val="0"/>
                <w:sz w:val="18"/>
                <w:szCs w:val="18"/>
                <w:lang w:bidi="ar"/>
              </w:rPr>
              <w:br/>
              <w:t> Net Revenue</w:t>
            </w:r>
          </w:p>
        </w:tc>
        <w:tc>
          <w:tcPr>
            <w:tcW w:w="0" w:type="auto"/>
            <w:gridSpan w:val="2"/>
            <w:tcBorders>
              <w:top w:val="nil"/>
              <w:left w:val="nil"/>
              <w:bottom w:val="nil"/>
              <w:right w:val="nil"/>
            </w:tcBorders>
            <w:shd w:val="clear" w:color="auto" w:fill="auto"/>
            <w:vAlign w:val="bottom"/>
          </w:tcPr>
          <w:p w14:paraId="59E4BC81" w14:textId="77777777" w:rsidR="00D7560A" w:rsidRDefault="00D7560A">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59E4BC82" w14:textId="77777777" w:rsidR="00D7560A" w:rsidRDefault="00D7560A">
            <w:pPr>
              <w:widowControl/>
              <w:jc w:val="left"/>
              <w:rPr>
                <w:rFonts w:ascii="Times New Roman" w:eastAsia="宋体" w:hAnsi="宋体" w:cs="宋体"/>
                <w:vanish/>
                <w:kern w:val="0"/>
                <w:sz w:val="24"/>
              </w:rPr>
            </w:pPr>
          </w:p>
        </w:tc>
      </w:tr>
      <w:tr w:rsidR="00D7560A" w14:paraId="59E4BC89"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BC84" w14:textId="77777777" w:rsidR="00D7560A" w:rsidRDefault="00D7560A">
            <w:pPr>
              <w:widowControl/>
              <w:jc w:val="left"/>
              <w:rPr>
                <w:rFonts w:ascii="Times New Roman" w:eastAsia="宋体" w:hAnsi="宋体" w:cs="宋体"/>
                <w:kern w:val="0"/>
                <w:sz w:val="24"/>
              </w:rPr>
            </w:pPr>
          </w:p>
        </w:tc>
        <w:tc>
          <w:tcPr>
            <w:tcW w:w="0" w:type="auto"/>
            <w:gridSpan w:val="57"/>
            <w:tcBorders>
              <w:top w:val="single" w:sz="8" w:space="0" w:color="000000"/>
              <w:left w:val="nil"/>
              <w:bottom w:val="nil"/>
              <w:right w:val="nil"/>
            </w:tcBorders>
            <w:shd w:val="clear" w:color="auto" w:fill="auto"/>
            <w:tcMar>
              <w:top w:w="40" w:type="dxa"/>
              <w:left w:w="20" w:type="dxa"/>
              <w:bottom w:w="40" w:type="dxa"/>
              <w:right w:w="20" w:type="dxa"/>
            </w:tcMar>
            <w:vAlign w:val="bottom"/>
          </w:tcPr>
          <w:p w14:paraId="59E4BC85"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(in millions, except percentages)</w:t>
            </w:r>
          </w:p>
        </w:tc>
        <w:tc>
          <w:tcPr>
            <w:tcW w:w="0" w:type="auto"/>
            <w:tcBorders>
              <w:top w:val="nil"/>
              <w:left w:val="nil"/>
              <w:bottom w:val="nil"/>
              <w:right w:val="nil"/>
            </w:tcBorders>
            <w:shd w:val="clear" w:color="auto" w:fill="auto"/>
            <w:vAlign w:val="bottom"/>
          </w:tcPr>
          <w:p w14:paraId="59E4BC86"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BC87"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BC88" w14:textId="77777777" w:rsidR="00D7560A" w:rsidRDefault="00D7560A">
            <w:pPr>
              <w:widowControl/>
              <w:jc w:val="left"/>
              <w:rPr>
                <w:rFonts w:ascii="Times New Roman" w:eastAsia="宋体" w:hAnsi="宋体" w:cs="宋体"/>
                <w:kern w:val="0"/>
                <w:sz w:val="24"/>
              </w:rPr>
            </w:pPr>
          </w:p>
        </w:tc>
      </w:tr>
      <w:tr w:rsidR="00D7560A" w14:paraId="59E4BCA0"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9E4BC8A"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i/>
                <w:iCs/>
                <w:color w:val="000000"/>
                <w:kern w:val="0"/>
                <w:sz w:val="18"/>
                <w:szCs w:val="18"/>
                <w:lang w:bidi="ar"/>
              </w:rPr>
              <w:t>Non-GAAP net revenue:</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C8B"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C8C"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C8D"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C8E"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C8F"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C90"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C91"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C92"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C93"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C94"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C95"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C96"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C97"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C98"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C99"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C9A"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C9B"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C9C"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C9D"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vAlign w:val="bottom"/>
          </w:tcPr>
          <w:p w14:paraId="59E4BC9E" w14:textId="77777777" w:rsidR="00D7560A" w:rsidRDefault="00D7560A">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59E4BC9F" w14:textId="77777777" w:rsidR="00D7560A" w:rsidRDefault="00D7560A">
            <w:pPr>
              <w:widowControl/>
              <w:jc w:val="left"/>
              <w:rPr>
                <w:rFonts w:ascii="Times New Roman" w:eastAsia="宋体" w:hAnsi="宋体" w:cs="宋体"/>
                <w:vanish/>
                <w:kern w:val="0"/>
                <w:sz w:val="24"/>
              </w:rPr>
            </w:pPr>
          </w:p>
        </w:tc>
      </w:tr>
      <w:tr w:rsidR="001E3CAB" w14:paraId="59E4BCC5" w14:textId="77777777">
        <w:trPr>
          <w:jc w:val="center"/>
        </w:trPr>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59E4BCA1"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Products</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9E4BCA2"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9E4BCA3"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20,810 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BCA4"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CA5"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BCA6"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78.8 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BCA7"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CA8"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BCA9"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10 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BCAA"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CAB"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9E4BCAC"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9E4BCAD"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18,896 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BCAE"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CAF"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BCB0"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78.1 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BCB1"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CB2"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9E4BCB3"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9E4BCB4"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41,274 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BCB5"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CB6"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BCB7"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78.6 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BCB8"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CB9"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BCBA"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13 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BCBB"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CBC"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9E4BCBD"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9E4BCBE"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36,382 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BCBF"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CC0"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BCC1"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77.7 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BCC2"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gridSpan w:val="2"/>
            <w:tcBorders>
              <w:top w:val="nil"/>
              <w:left w:val="nil"/>
              <w:bottom w:val="nil"/>
              <w:right w:val="nil"/>
            </w:tcBorders>
            <w:shd w:val="clear" w:color="auto" w:fill="auto"/>
            <w:vAlign w:val="bottom"/>
          </w:tcPr>
          <w:p w14:paraId="59E4BCC3" w14:textId="77777777" w:rsidR="00D7560A" w:rsidRDefault="00D7560A">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59E4BCC4" w14:textId="77777777" w:rsidR="00D7560A" w:rsidRDefault="00D7560A">
            <w:pPr>
              <w:widowControl/>
              <w:jc w:val="left"/>
              <w:rPr>
                <w:rFonts w:ascii="Times New Roman" w:eastAsia="宋体" w:hAnsi="宋体" w:cs="宋体"/>
                <w:vanish/>
                <w:kern w:val="0"/>
                <w:sz w:val="24"/>
              </w:rPr>
            </w:pPr>
          </w:p>
        </w:tc>
      </w:tr>
      <w:tr w:rsidR="001E3CAB" w14:paraId="59E4BCE6" w14:textId="77777777">
        <w:trPr>
          <w:jc w:val="center"/>
        </w:trPr>
        <w:tc>
          <w:tcPr>
            <w:tcW w:w="0" w:type="auto"/>
            <w:gridSpan w:val="3"/>
            <w:tcBorders>
              <w:top w:val="nil"/>
              <w:left w:val="nil"/>
              <w:bottom w:val="nil"/>
              <w:right w:val="nil"/>
            </w:tcBorders>
            <w:shd w:val="clear" w:color="auto" w:fill="CCEEFF"/>
            <w:tcMar>
              <w:top w:w="40" w:type="dxa"/>
              <w:left w:w="155" w:type="dxa"/>
              <w:bottom w:w="40" w:type="dxa"/>
              <w:right w:w="20" w:type="dxa"/>
            </w:tcMar>
            <w:vAlign w:val="bottom"/>
          </w:tcPr>
          <w:p w14:paraId="59E4BCC6"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Services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BCC7"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5,615 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CC8"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CC9"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BCCA"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21.2 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CCB"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CCC"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BCCD"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CCE"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CCF"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BCD0"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5,303 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CD1"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CD2"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BCD3"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21.9 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CD4"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CD5"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BCD6"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11,267 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CD7"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CD8"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BCD9"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21.4 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CDA"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CDB"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BCDC"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CDD"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CDE"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BCDF"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10,415 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CE0"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CE1"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BCE2"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22.3 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CE3"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gridSpan w:val="2"/>
            <w:tcBorders>
              <w:top w:val="nil"/>
              <w:left w:val="nil"/>
              <w:bottom w:val="nil"/>
              <w:right w:val="nil"/>
            </w:tcBorders>
            <w:shd w:val="clear" w:color="auto" w:fill="auto"/>
            <w:vAlign w:val="bottom"/>
          </w:tcPr>
          <w:p w14:paraId="59E4BCE4" w14:textId="77777777" w:rsidR="00D7560A" w:rsidRDefault="00D7560A">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59E4BCE5" w14:textId="77777777" w:rsidR="00D7560A" w:rsidRDefault="00D7560A">
            <w:pPr>
              <w:widowControl/>
              <w:jc w:val="left"/>
              <w:rPr>
                <w:rFonts w:ascii="Times New Roman" w:eastAsia="宋体" w:hAnsi="宋体" w:cs="宋体"/>
                <w:vanish/>
                <w:kern w:val="0"/>
                <w:sz w:val="24"/>
              </w:rPr>
            </w:pPr>
          </w:p>
        </w:tc>
      </w:tr>
      <w:tr w:rsidR="001E3CAB" w14:paraId="59E4BD0B" w14:textId="77777777">
        <w:trPr>
          <w:jc w:val="center"/>
        </w:trPr>
        <w:tc>
          <w:tcPr>
            <w:tcW w:w="0" w:type="auto"/>
            <w:gridSpan w:val="3"/>
            <w:tcBorders>
              <w:top w:val="nil"/>
              <w:left w:val="nil"/>
              <w:bottom w:val="nil"/>
              <w:right w:val="nil"/>
            </w:tcBorders>
            <w:shd w:val="clear" w:color="auto" w:fill="FFFFFF"/>
            <w:tcMar>
              <w:top w:w="40" w:type="dxa"/>
              <w:left w:w="260" w:type="dxa"/>
              <w:bottom w:w="40" w:type="dxa"/>
              <w:right w:w="20" w:type="dxa"/>
            </w:tcMar>
            <w:vAlign w:val="bottom"/>
          </w:tcPr>
          <w:p w14:paraId="59E4BCE7"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Total non-GAAP net revenue</w:t>
            </w: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59E4BCE8"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tcBorders>
              <w:top w:val="single" w:sz="8" w:space="0" w:color="000000"/>
              <w:left w:val="nil"/>
              <w:bottom w:val="nil"/>
              <w:right w:val="nil"/>
            </w:tcBorders>
            <w:shd w:val="clear" w:color="auto" w:fill="FFFFFF"/>
            <w:tcMar>
              <w:top w:w="40" w:type="dxa"/>
              <w:left w:w="0" w:type="dxa"/>
              <w:bottom w:w="40" w:type="dxa"/>
              <w:right w:w="0" w:type="dxa"/>
            </w:tcMar>
            <w:vAlign w:val="bottom"/>
          </w:tcPr>
          <w:p w14:paraId="59E4BCE9"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26,425 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59E4BCEA"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CEB" w14:textId="77777777" w:rsidR="00D7560A" w:rsidRDefault="00D7560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59E4BCEC"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100.0 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59E4BCED"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CEE"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BCEF"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BCF0"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CF1"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59E4BCF2"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tcBorders>
              <w:top w:val="single" w:sz="8" w:space="0" w:color="000000"/>
              <w:left w:val="nil"/>
              <w:bottom w:val="nil"/>
              <w:right w:val="nil"/>
            </w:tcBorders>
            <w:shd w:val="clear" w:color="auto" w:fill="FFFFFF"/>
            <w:tcMar>
              <w:top w:w="40" w:type="dxa"/>
              <w:left w:w="0" w:type="dxa"/>
              <w:bottom w:w="40" w:type="dxa"/>
              <w:right w:w="0" w:type="dxa"/>
            </w:tcMar>
            <w:vAlign w:val="bottom"/>
          </w:tcPr>
          <w:p w14:paraId="59E4BCF3"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24,199 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59E4BCF4"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CF5" w14:textId="77777777" w:rsidR="00D7560A" w:rsidRDefault="00D7560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59E4BCF6"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100.0 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59E4BCF7"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CF8"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59E4BCF9"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tcBorders>
              <w:top w:val="single" w:sz="8" w:space="0" w:color="000000"/>
              <w:left w:val="nil"/>
              <w:bottom w:val="nil"/>
              <w:right w:val="nil"/>
            </w:tcBorders>
            <w:shd w:val="clear" w:color="auto" w:fill="FFFFFF"/>
            <w:tcMar>
              <w:top w:w="40" w:type="dxa"/>
              <w:left w:w="0" w:type="dxa"/>
              <w:bottom w:w="40" w:type="dxa"/>
              <w:right w:w="0" w:type="dxa"/>
            </w:tcMar>
            <w:vAlign w:val="bottom"/>
          </w:tcPr>
          <w:p w14:paraId="59E4BCFA"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52,541 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59E4BCFB"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CFC" w14:textId="77777777" w:rsidR="00D7560A" w:rsidRDefault="00D7560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59E4BCFD"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100.0 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59E4BCFE"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CFF"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BD00"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12 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BD01"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D02"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59E4BD03"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tcBorders>
              <w:top w:val="single" w:sz="8" w:space="0" w:color="000000"/>
              <w:left w:val="nil"/>
              <w:bottom w:val="nil"/>
              <w:right w:val="nil"/>
            </w:tcBorders>
            <w:shd w:val="clear" w:color="auto" w:fill="FFFFFF"/>
            <w:tcMar>
              <w:top w:w="40" w:type="dxa"/>
              <w:left w:w="0" w:type="dxa"/>
              <w:bottom w:w="40" w:type="dxa"/>
              <w:right w:w="0" w:type="dxa"/>
            </w:tcMar>
            <w:vAlign w:val="bottom"/>
          </w:tcPr>
          <w:p w14:paraId="59E4BD04"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46,797 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59E4BD05"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D06" w14:textId="77777777" w:rsidR="00D7560A" w:rsidRDefault="00D7560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59E4BD07"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100.0 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59E4BD08"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gridSpan w:val="2"/>
            <w:tcBorders>
              <w:top w:val="nil"/>
              <w:left w:val="nil"/>
              <w:bottom w:val="nil"/>
              <w:right w:val="nil"/>
            </w:tcBorders>
            <w:shd w:val="clear" w:color="auto" w:fill="auto"/>
            <w:vAlign w:val="bottom"/>
          </w:tcPr>
          <w:p w14:paraId="59E4BD09" w14:textId="77777777" w:rsidR="00D7560A" w:rsidRDefault="00D7560A">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59E4BD0A" w14:textId="77777777" w:rsidR="00D7560A" w:rsidRDefault="00D7560A">
            <w:pPr>
              <w:widowControl/>
              <w:jc w:val="left"/>
              <w:rPr>
                <w:rFonts w:ascii="Times New Roman" w:eastAsia="宋体" w:hAnsi="宋体" w:cs="宋体"/>
                <w:vanish/>
                <w:kern w:val="0"/>
                <w:sz w:val="24"/>
              </w:rPr>
            </w:pPr>
          </w:p>
        </w:tc>
      </w:tr>
      <w:tr w:rsidR="00D7560A" w14:paraId="59E4BD22"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9E4BD0C"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i/>
                <w:iCs/>
                <w:color w:val="000000"/>
                <w:kern w:val="0"/>
                <w:sz w:val="18"/>
                <w:szCs w:val="18"/>
                <w:lang w:bidi="ar"/>
              </w:rPr>
              <w:t>Non-GAAP gross margin:</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D0D"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D0E"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D0F"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D10"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D11"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D12"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D13"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D14"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D15"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D16"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D17"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D18"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D19"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D1A"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D1B"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D1C"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D1D"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D1E"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D1F"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vAlign w:val="bottom"/>
          </w:tcPr>
          <w:p w14:paraId="59E4BD20" w14:textId="77777777" w:rsidR="00D7560A" w:rsidRDefault="00D7560A">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59E4BD21" w14:textId="77777777" w:rsidR="00D7560A" w:rsidRDefault="00D7560A">
            <w:pPr>
              <w:widowControl/>
              <w:jc w:val="left"/>
              <w:rPr>
                <w:rFonts w:ascii="Times New Roman" w:eastAsia="宋体" w:hAnsi="宋体" w:cs="宋体"/>
                <w:vanish/>
                <w:kern w:val="0"/>
                <w:sz w:val="24"/>
              </w:rPr>
            </w:pPr>
          </w:p>
        </w:tc>
      </w:tr>
      <w:tr w:rsidR="001E3CAB" w14:paraId="59E4BD47" w14:textId="77777777">
        <w:trPr>
          <w:jc w:val="center"/>
        </w:trPr>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59E4BD23"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Products (a)</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9E4BD24"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9E4BD25"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3,270 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BD26"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D27"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BD28"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15.7 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BD29"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D2A"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BD2B"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BD2C"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D2D"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9E4BD2E"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9E4BD2F"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3,366 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BD30"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D31"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BD32"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17.8 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BD33"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D34"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9E4BD35"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9E4BD36"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6,847 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BD37"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D38"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BD39"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16.6 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BD3A"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D3B"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BD3C"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BD3D"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D3E"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9E4BD3F"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9E4BD40"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6,582 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BD41"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D42"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BD43"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18.1 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BD44"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gridSpan w:val="2"/>
            <w:tcBorders>
              <w:top w:val="nil"/>
              <w:left w:val="nil"/>
              <w:bottom w:val="nil"/>
              <w:right w:val="nil"/>
            </w:tcBorders>
            <w:shd w:val="clear" w:color="auto" w:fill="auto"/>
            <w:vAlign w:val="bottom"/>
          </w:tcPr>
          <w:p w14:paraId="59E4BD45" w14:textId="77777777" w:rsidR="00D7560A" w:rsidRDefault="00D7560A">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59E4BD46" w14:textId="77777777" w:rsidR="00D7560A" w:rsidRDefault="00D7560A">
            <w:pPr>
              <w:widowControl/>
              <w:jc w:val="left"/>
              <w:rPr>
                <w:rFonts w:ascii="Times New Roman" w:eastAsia="宋体" w:hAnsi="宋体" w:cs="宋体"/>
                <w:vanish/>
                <w:kern w:val="0"/>
                <w:sz w:val="24"/>
              </w:rPr>
            </w:pPr>
          </w:p>
        </w:tc>
      </w:tr>
      <w:tr w:rsidR="001E3CAB" w14:paraId="59E4BD68" w14:textId="77777777">
        <w:trPr>
          <w:jc w:val="center"/>
        </w:trPr>
        <w:tc>
          <w:tcPr>
            <w:tcW w:w="0" w:type="auto"/>
            <w:gridSpan w:val="3"/>
            <w:tcBorders>
              <w:top w:val="nil"/>
              <w:left w:val="nil"/>
              <w:bottom w:val="nil"/>
              <w:right w:val="nil"/>
            </w:tcBorders>
            <w:shd w:val="clear" w:color="auto" w:fill="CCEEFF"/>
            <w:tcMar>
              <w:top w:w="40" w:type="dxa"/>
              <w:left w:w="155" w:type="dxa"/>
              <w:bottom w:w="40" w:type="dxa"/>
              <w:right w:w="20" w:type="dxa"/>
            </w:tcMar>
            <w:vAlign w:val="bottom"/>
          </w:tcPr>
          <w:p w14:paraId="59E4BD48"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Services (b)</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BD49"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2,380 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D4A"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D4B"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BD4C"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42.4 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D4D"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D4E"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BD4F"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D50"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D51"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BD52"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2,307 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D53"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D54"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BD55"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43.5 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D56"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D57"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BD58"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4,744 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D59"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D5A"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BD5B"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42.1 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D5C"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D5D"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BD5E"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D5F"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D60"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BD61"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4,555 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D62"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D63"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BD64"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43.7 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D65"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gridSpan w:val="2"/>
            <w:tcBorders>
              <w:top w:val="nil"/>
              <w:left w:val="nil"/>
              <w:bottom w:val="nil"/>
              <w:right w:val="nil"/>
            </w:tcBorders>
            <w:shd w:val="clear" w:color="auto" w:fill="auto"/>
            <w:vAlign w:val="bottom"/>
          </w:tcPr>
          <w:p w14:paraId="59E4BD66" w14:textId="77777777" w:rsidR="00D7560A" w:rsidRDefault="00D7560A">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59E4BD67" w14:textId="77777777" w:rsidR="00D7560A" w:rsidRDefault="00D7560A">
            <w:pPr>
              <w:widowControl/>
              <w:jc w:val="left"/>
              <w:rPr>
                <w:rFonts w:ascii="Times New Roman" w:eastAsia="宋体" w:hAnsi="宋体" w:cs="宋体"/>
                <w:vanish/>
                <w:kern w:val="0"/>
                <w:sz w:val="24"/>
              </w:rPr>
            </w:pPr>
          </w:p>
        </w:tc>
      </w:tr>
      <w:tr w:rsidR="001E3CAB" w14:paraId="59E4BD8D" w14:textId="77777777">
        <w:trPr>
          <w:jc w:val="center"/>
        </w:trPr>
        <w:tc>
          <w:tcPr>
            <w:tcW w:w="0" w:type="auto"/>
            <w:gridSpan w:val="3"/>
            <w:tcBorders>
              <w:top w:val="nil"/>
              <w:left w:val="nil"/>
              <w:bottom w:val="nil"/>
              <w:right w:val="nil"/>
            </w:tcBorders>
            <w:shd w:val="clear" w:color="auto" w:fill="FFFFFF"/>
            <w:tcMar>
              <w:top w:w="40" w:type="dxa"/>
              <w:left w:w="260" w:type="dxa"/>
              <w:bottom w:w="40" w:type="dxa"/>
              <w:right w:w="20" w:type="dxa"/>
            </w:tcMar>
            <w:vAlign w:val="center"/>
          </w:tcPr>
          <w:p w14:paraId="59E4BD69" w14:textId="77777777" w:rsidR="00D7560A" w:rsidRDefault="001E3CAB">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18"/>
                <w:szCs w:val="18"/>
                <w:lang w:bidi="ar"/>
              </w:rPr>
              <w:t>Total non-GAAP gross margin</w:t>
            </w: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59E4BD6A"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tcBorders>
              <w:top w:val="single" w:sz="8" w:space="0" w:color="000000"/>
              <w:left w:val="nil"/>
              <w:bottom w:val="nil"/>
              <w:right w:val="nil"/>
            </w:tcBorders>
            <w:shd w:val="clear" w:color="auto" w:fill="FFFFFF"/>
            <w:tcMar>
              <w:top w:w="40" w:type="dxa"/>
              <w:left w:w="0" w:type="dxa"/>
              <w:bottom w:w="40" w:type="dxa"/>
              <w:right w:w="0" w:type="dxa"/>
            </w:tcMar>
            <w:vAlign w:val="bottom"/>
          </w:tcPr>
          <w:p w14:paraId="59E4BD6B"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5,650 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59E4BD6C"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D6D" w14:textId="77777777" w:rsidR="00D7560A" w:rsidRDefault="00D7560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59E4BD6E"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21.4 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59E4BD6F"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D70"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BD71"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BD72"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D73"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59E4BD74"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tcBorders>
              <w:top w:val="single" w:sz="8" w:space="0" w:color="000000"/>
              <w:left w:val="nil"/>
              <w:bottom w:val="nil"/>
              <w:right w:val="nil"/>
            </w:tcBorders>
            <w:shd w:val="clear" w:color="auto" w:fill="FFFFFF"/>
            <w:tcMar>
              <w:top w:w="40" w:type="dxa"/>
              <w:left w:w="0" w:type="dxa"/>
              <w:bottom w:w="40" w:type="dxa"/>
              <w:right w:w="0" w:type="dxa"/>
            </w:tcMar>
            <w:vAlign w:val="bottom"/>
          </w:tcPr>
          <w:p w14:paraId="59E4BD75"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5,673 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59E4BD76"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D77" w14:textId="77777777" w:rsidR="00D7560A" w:rsidRDefault="00D7560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59E4BD78"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23.4 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59E4BD79"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D7A"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59E4BD7B"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tcBorders>
              <w:top w:val="single" w:sz="8" w:space="0" w:color="000000"/>
              <w:left w:val="nil"/>
              <w:bottom w:val="nil"/>
              <w:right w:val="nil"/>
            </w:tcBorders>
            <w:shd w:val="clear" w:color="auto" w:fill="FFFFFF"/>
            <w:tcMar>
              <w:top w:w="40" w:type="dxa"/>
              <w:left w:w="0" w:type="dxa"/>
              <w:bottom w:w="40" w:type="dxa"/>
              <w:right w:w="0" w:type="dxa"/>
            </w:tcMar>
            <w:vAlign w:val="bottom"/>
          </w:tcPr>
          <w:p w14:paraId="59E4BD7C"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11,591 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59E4BD7D"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D7E"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BD7F"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22.1 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BD80"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D81"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BD82"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BD83"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D84"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59E4BD85"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tcBorders>
              <w:top w:val="single" w:sz="8" w:space="0" w:color="000000"/>
              <w:left w:val="nil"/>
              <w:bottom w:val="nil"/>
              <w:right w:val="nil"/>
            </w:tcBorders>
            <w:shd w:val="clear" w:color="auto" w:fill="FFFFFF"/>
            <w:tcMar>
              <w:top w:w="40" w:type="dxa"/>
              <w:left w:w="0" w:type="dxa"/>
              <w:bottom w:w="40" w:type="dxa"/>
              <w:right w:w="0" w:type="dxa"/>
            </w:tcMar>
            <w:vAlign w:val="bottom"/>
          </w:tcPr>
          <w:p w14:paraId="59E4BD86"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11,137 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59E4BD87"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D88"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BD89"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23.8 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BD8A"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gridSpan w:val="2"/>
            <w:tcBorders>
              <w:top w:val="nil"/>
              <w:left w:val="nil"/>
              <w:bottom w:val="nil"/>
              <w:right w:val="nil"/>
            </w:tcBorders>
            <w:shd w:val="clear" w:color="auto" w:fill="auto"/>
            <w:vAlign w:val="bottom"/>
          </w:tcPr>
          <w:p w14:paraId="59E4BD8B" w14:textId="77777777" w:rsidR="00D7560A" w:rsidRDefault="00D7560A">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59E4BD8C" w14:textId="77777777" w:rsidR="00D7560A" w:rsidRDefault="00D7560A">
            <w:pPr>
              <w:widowControl/>
              <w:jc w:val="left"/>
              <w:rPr>
                <w:rFonts w:ascii="Times New Roman" w:eastAsia="宋体" w:hAnsi="宋体" w:cs="宋体"/>
                <w:vanish/>
                <w:kern w:val="0"/>
                <w:sz w:val="24"/>
              </w:rPr>
            </w:pPr>
          </w:p>
        </w:tc>
      </w:tr>
      <w:tr w:rsidR="001E3CAB" w14:paraId="59E4BDB2"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center"/>
          </w:tcPr>
          <w:p w14:paraId="59E4BD8E" w14:textId="77777777" w:rsidR="00D7560A" w:rsidRDefault="001E3CAB">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18"/>
                <w:szCs w:val="18"/>
                <w:lang w:bidi="ar"/>
              </w:rPr>
              <w:t>Non-GAAP operating expenses</w:t>
            </w: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9E4BD8F"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9E4BD90"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3,698 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D91"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D92"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BD93"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14.0 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D94"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D95"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BD96"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(3)</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D97"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D98"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9E4BD99"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9E4BD9A"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3,805 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D9B"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D9C"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BD9D"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15.7 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D9E"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D9F"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9E4BDA0"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9E4BDA1"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7,504 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DA2"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DA3"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BDA4"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14.3 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DA5"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DA6"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BDA7"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DA8"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DA9"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9E4BDAA"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9E4BDAB"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7,499 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DAC"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DAD"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BDAE"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16.0 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DAF"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gridSpan w:val="2"/>
            <w:tcBorders>
              <w:top w:val="nil"/>
              <w:left w:val="nil"/>
              <w:bottom w:val="nil"/>
              <w:right w:val="nil"/>
            </w:tcBorders>
            <w:shd w:val="clear" w:color="auto" w:fill="auto"/>
            <w:vAlign w:val="bottom"/>
          </w:tcPr>
          <w:p w14:paraId="59E4BDB0" w14:textId="77777777" w:rsidR="00D7560A" w:rsidRDefault="00D7560A">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59E4BDB1" w14:textId="77777777" w:rsidR="00D7560A" w:rsidRDefault="00D7560A">
            <w:pPr>
              <w:widowControl/>
              <w:jc w:val="left"/>
              <w:rPr>
                <w:rFonts w:ascii="Times New Roman" w:eastAsia="宋体" w:hAnsi="宋体" w:cs="宋体"/>
                <w:vanish/>
                <w:kern w:val="0"/>
                <w:sz w:val="24"/>
              </w:rPr>
            </w:pPr>
          </w:p>
        </w:tc>
      </w:tr>
      <w:tr w:rsidR="001E3CAB" w14:paraId="59E4BDD7"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center"/>
          </w:tcPr>
          <w:p w14:paraId="59E4BDB3" w14:textId="77777777" w:rsidR="00D7560A" w:rsidRDefault="001E3CAB">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18"/>
                <w:szCs w:val="18"/>
                <w:lang w:bidi="ar"/>
              </w:rPr>
              <w:t>Non-GAAP operating income</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9E4BDB4"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9E4BDB5"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1,952 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BDB6"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DB7"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BDB8"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7.4 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BDB9"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DBA"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BDBB"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BDBC"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DBD"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9E4BDBE"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9E4BDBF"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1,868 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BDC0"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DC1"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BDC2"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7.7 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BDC3"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DC4"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9E4BDC5"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9E4BDC6"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4,087 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BDC7"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DC8"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BDC9"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7.8 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BDCA"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DCB"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BDCC"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12 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BDCD"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DCE"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9E4BDCF"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9E4BDD0"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3,638 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BDD1"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DD2"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BDD3"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7.8 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BDD4"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gridSpan w:val="2"/>
            <w:tcBorders>
              <w:top w:val="nil"/>
              <w:left w:val="nil"/>
              <w:bottom w:val="nil"/>
              <w:right w:val="nil"/>
            </w:tcBorders>
            <w:shd w:val="clear" w:color="auto" w:fill="auto"/>
            <w:vAlign w:val="bottom"/>
          </w:tcPr>
          <w:p w14:paraId="59E4BDD5" w14:textId="77777777" w:rsidR="00D7560A" w:rsidRDefault="00D7560A">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59E4BDD6" w14:textId="77777777" w:rsidR="00D7560A" w:rsidRDefault="00D7560A">
            <w:pPr>
              <w:widowControl/>
              <w:jc w:val="left"/>
              <w:rPr>
                <w:rFonts w:ascii="Times New Roman" w:eastAsia="宋体" w:hAnsi="宋体" w:cs="宋体"/>
                <w:vanish/>
                <w:kern w:val="0"/>
                <w:sz w:val="24"/>
              </w:rPr>
            </w:pPr>
          </w:p>
        </w:tc>
      </w:tr>
      <w:tr w:rsidR="001E3CAB" w14:paraId="59E4BDFC"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9E4BDD8"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Non-GAAP net income</w:t>
            </w: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9E4BDD9"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9E4BDDA"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1,266 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DDB"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DDC"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BDDD"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4.8 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DDE"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DDF"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BDE0"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DE1"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DE2"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9E4BDE3"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9E4BDE4"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1,166 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DE5"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DE6"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BDE7"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4.8 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DE8"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DE9"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9E4BDEA"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9E4BDEB"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2,700 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DEC"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DED"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BDEE"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5.1 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DEF"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DF0"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BDF1"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22 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DF2"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DF3"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9E4BDF4"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9E4BDF5"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2,221 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DF6"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DF7"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BDF8"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4.7 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DF9"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gridSpan w:val="2"/>
            <w:tcBorders>
              <w:top w:val="nil"/>
              <w:left w:val="nil"/>
              <w:bottom w:val="nil"/>
              <w:right w:val="nil"/>
            </w:tcBorders>
            <w:shd w:val="clear" w:color="auto" w:fill="auto"/>
            <w:vAlign w:val="bottom"/>
          </w:tcPr>
          <w:p w14:paraId="59E4BDFA" w14:textId="77777777" w:rsidR="00D7560A" w:rsidRDefault="00D7560A">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59E4BDFB" w14:textId="77777777" w:rsidR="00D7560A" w:rsidRDefault="00D7560A">
            <w:pPr>
              <w:widowControl/>
              <w:jc w:val="left"/>
              <w:rPr>
                <w:rFonts w:ascii="Times New Roman" w:eastAsia="宋体" w:hAnsi="宋体" w:cs="宋体"/>
                <w:vanish/>
                <w:kern w:val="0"/>
                <w:sz w:val="24"/>
              </w:rPr>
            </w:pPr>
          </w:p>
        </w:tc>
      </w:tr>
      <w:tr w:rsidR="001E3CAB" w14:paraId="59E4BE21"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59E4BDFD"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EBITDA</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9E4BDFE"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9E4BDFF"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2,014 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BE00"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E01"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BE02"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7.6 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BE03"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E04"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BE05"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BE06"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E07"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9E4BE08"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9E4BE09"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1,921 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BE0A"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E0B"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BE0C"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7.9 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BE0D"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E0E"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9E4BE0F"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9E4BE10"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4,290 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BE11"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E12"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BE13"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8.2 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BE14"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E15"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BE16"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13 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BE17"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E18"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9E4BE19"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9E4BE1A"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3,813 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BE1B"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E1C"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BE1D"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8.1 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BE1E"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gridSpan w:val="2"/>
            <w:tcBorders>
              <w:top w:val="nil"/>
              <w:left w:val="nil"/>
              <w:bottom w:val="nil"/>
              <w:right w:val="nil"/>
            </w:tcBorders>
            <w:shd w:val="clear" w:color="auto" w:fill="auto"/>
            <w:vAlign w:val="bottom"/>
          </w:tcPr>
          <w:p w14:paraId="59E4BE1F" w14:textId="77777777" w:rsidR="00D7560A" w:rsidRDefault="00D7560A">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59E4BE20" w14:textId="77777777" w:rsidR="00D7560A" w:rsidRDefault="00D7560A">
            <w:pPr>
              <w:widowControl/>
              <w:jc w:val="left"/>
              <w:rPr>
                <w:rFonts w:ascii="Times New Roman" w:eastAsia="宋体" w:hAnsi="宋体" w:cs="宋体"/>
                <w:vanish/>
                <w:kern w:val="0"/>
                <w:sz w:val="24"/>
              </w:rPr>
            </w:pPr>
          </w:p>
        </w:tc>
      </w:tr>
      <w:tr w:rsidR="001E3CAB" w14:paraId="59E4BE46"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9E4BE22"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Adjusted EBITDA</w:t>
            </w: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9E4BE23"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9E4BE24"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2,449 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E25"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E26"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BE27"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9.3 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E28"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E29"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BE2A"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5</w:t>
            </w:r>
            <w:r>
              <w:rPr>
                <w:rFonts w:ascii="Times New Roman" w:eastAsia="宋体" w:hAnsi="Times New Roman" w:cs="Times New Roman"/>
                <w:color w:val="000000"/>
                <w:kern w:val="0"/>
                <w:sz w:val="18"/>
                <w:szCs w:val="18"/>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E2B"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E2C"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9E4BE2D"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9E4BE2E"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2,323 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E2F"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E30"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BE31"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9.6 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E32"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E33"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9E4BE34"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9E4BE35"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5,058 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E36"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E37"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BE38"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9.6 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E39"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E3A"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BE3B"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11 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E3C"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E3D"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9E4BE3E"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9E4BE3F"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4,545 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E40"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E41"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BE42"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9.7 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E43"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gridSpan w:val="2"/>
            <w:tcBorders>
              <w:top w:val="nil"/>
              <w:left w:val="nil"/>
              <w:bottom w:val="nil"/>
              <w:right w:val="nil"/>
            </w:tcBorders>
            <w:shd w:val="clear" w:color="auto" w:fill="auto"/>
            <w:vAlign w:val="bottom"/>
          </w:tcPr>
          <w:p w14:paraId="59E4BE44" w14:textId="77777777" w:rsidR="00D7560A" w:rsidRDefault="00D7560A">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59E4BE45" w14:textId="77777777" w:rsidR="00D7560A" w:rsidRDefault="00D7560A">
            <w:pPr>
              <w:widowControl/>
              <w:jc w:val="left"/>
              <w:rPr>
                <w:rFonts w:ascii="Times New Roman" w:eastAsia="宋体" w:hAnsi="宋体" w:cs="宋体"/>
                <w:vanish/>
                <w:kern w:val="0"/>
                <w:sz w:val="24"/>
              </w:rPr>
            </w:pPr>
          </w:p>
        </w:tc>
      </w:tr>
    </w:tbl>
    <w:p w14:paraId="59E4BE47"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____________________</w:t>
      </w:r>
    </w:p>
    <w:p w14:paraId="59E4BE48" w14:textId="77777777" w:rsidR="00D7560A" w:rsidRDefault="001E3CAB">
      <w:pPr>
        <w:widowControl/>
        <w:ind w:left="360" w:hanging="36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(a)    Product </w:t>
      </w:r>
      <w:r>
        <w:rPr>
          <w:rFonts w:ascii="Times New Roman" w:eastAsia="宋体" w:hAnsi="Times New Roman" w:cs="Times New Roman"/>
          <w:color w:val="000000"/>
          <w:kern w:val="0"/>
          <w:sz w:val="20"/>
          <w:szCs w:val="20"/>
          <w:lang w:bidi="ar"/>
        </w:rPr>
        <w:t>gross margin and non-GAAP product gross margin percentages are calculated as a percentage of product net revenue and non-GAAP product net revenue, respectively.</w:t>
      </w:r>
    </w:p>
    <w:p w14:paraId="59E4BE49" w14:textId="77777777" w:rsidR="00D7560A" w:rsidRDefault="001E3CAB">
      <w:pPr>
        <w:widowControl/>
        <w:ind w:left="360" w:hanging="36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(b)    Services gross margin and non-GAAP services gross margin percentages are calculated as a</w:t>
      </w:r>
      <w:r>
        <w:rPr>
          <w:rFonts w:ascii="Times New Roman" w:eastAsia="宋体" w:hAnsi="Times New Roman" w:cs="Times New Roman"/>
          <w:color w:val="000000"/>
          <w:kern w:val="0"/>
          <w:sz w:val="20"/>
          <w:szCs w:val="20"/>
          <w:lang w:bidi="ar"/>
        </w:rPr>
        <w:t xml:space="preserve"> percentage of services net revenue and non-GAAP services net revenue, respectively.</w:t>
      </w:r>
    </w:p>
    <w:p w14:paraId="59E4BE4A"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BE4B"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70</w:t>
      </w:r>
    </w:p>
    <w:p w14:paraId="59E4BE4C"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BE4D" w14:textId="77777777" w:rsidR="00D7560A" w:rsidRDefault="001E3CAB">
      <w:pPr>
        <w:widowControl/>
        <w:jc w:val="center"/>
      </w:pPr>
      <w:r>
        <w:rPr>
          <w:rFonts w:ascii="宋体" w:eastAsia="宋体" w:hAnsi="宋体" w:cs="宋体"/>
          <w:kern w:val="0"/>
          <w:sz w:val="24"/>
        </w:rPr>
        <w:pict w14:anchorId="59E4C811">
          <v:rect id="_x0000_i1094" style="width:6in;height:1.5pt" o:hralign="center" o:hrstd="t" o:hr="t" fillcolor="#a0a0a0" stroked="f"/>
        </w:pict>
      </w:r>
    </w:p>
    <w:p w14:paraId="59E4BE4E" w14:textId="77777777" w:rsidR="00D7560A" w:rsidRDefault="001E3CAB">
      <w:pPr>
        <w:widowControl/>
        <w:jc w:val="left"/>
        <w:rPr>
          <w:rFonts w:ascii="宋体" w:eastAsia="宋体" w:hAnsi="宋体" w:cs="宋体"/>
          <w:kern w:val="0"/>
          <w:sz w:val="24"/>
        </w:rPr>
      </w:pPr>
      <w:hyperlink w:anchor="if933dd1d5d004d2495dd7029e3ecad00_13" w:history="1">
        <w:r>
          <w:rPr>
            <w:rStyle w:val="a4"/>
            <w:rFonts w:ascii="Times New Roman" w:eastAsia="宋体" w:hAnsi="Times New Roman" w:cs="Times New Roman"/>
            <w:sz w:val="20"/>
            <w:szCs w:val="20"/>
          </w:rPr>
          <w:t>Table of Contents</w:t>
        </w:r>
      </w:hyperlink>
    </w:p>
    <w:p w14:paraId="59E4BE4F"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Non-GAAP product net revenue, non-GAAP services net revenue, non-GAAP net </w:t>
      </w:r>
      <w:r>
        <w:rPr>
          <w:rFonts w:ascii="Times New Roman" w:eastAsia="宋体" w:hAnsi="Times New Roman" w:cs="Times New Roman"/>
          <w:color w:val="000000"/>
          <w:kern w:val="0"/>
          <w:sz w:val="20"/>
          <w:szCs w:val="20"/>
          <w:lang w:bidi="ar"/>
        </w:rPr>
        <w:t>revenue, non-GAAP product gross margin, non-GAAP services gross margin, non-GAAP gross margin, non-GAAP operating expenses, non-GAAP operating income, non-GAAP net income, EBITDA, and adjusted EBITDA are not measurements of financial performance prepared i</w:t>
      </w:r>
      <w:r>
        <w:rPr>
          <w:rFonts w:ascii="Times New Roman" w:eastAsia="宋体" w:hAnsi="Times New Roman" w:cs="Times New Roman"/>
          <w:color w:val="000000"/>
          <w:kern w:val="0"/>
          <w:sz w:val="20"/>
          <w:szCs w:val="20"/>
          <w:lang w:bidi="ar"/>
        </w:rPr>
        <w:t>n accordance with GAAP. Non-GAAP financial measures as a percentage of revenue are calculated based on non-GAAP net revenue. See “Non</w:t>
      </w:r>
      <w:r>
        <w:rPr>
          <w:rFonts w:ascii="Times New Roman" w:eastAsia="宋体" w:hAnsi="Times New Roman" w:cs="Times New Roman"/>
          <w:color w:val="000000"/>
          <w:kern w:val="0"/>
          <w:sz w:val="20"/>
          <w:szCs w:val="20"/>
          <w:lang w:bidi="ar"/>
        </w:rPr>
        <w:noBreakHyphen/>
        <w:t>GAAP Financial Measures” for additional information about these non-GAAP financial measures, including our reasons for inc</w:t>
      </w:r>
      <w:r>
        <w:rPr>
          <w:rFonts w:ascii="Times New Roman" w:eastAsia="宋体" w:hAnsi="Times New Roman" w:cs="Times New Roman"/>
          <w:color w:val="000000"/>
          <w:kern w:val="0"/>
          <w:sz w:val="20"/>
          <w:szCs w:val="20"/>
          <w:lang w:bidi="ar"/>
        </w:rPr>
        <w:t>luding these measures, material limitations with respect to the usefulness of the measures, and a reconciliation of each non-GAAP financial measure to the most directly comparable GAAP financial measure.</w:t>
      </w:r>
    </w:p>
    <w:p w14:paraId="59E4BE50"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BE51"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Overview</w:t>
      </w:r>
    </w:p>
    <w:p w14:paraId="59E4BE52"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BE53"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During the second quarter and first six</w:t>
      </w:r>
      <w:r>
        <w:rPr>
          <w:rFonts w:ascii="Times New Roman" w:eastAsia="宋体" w:hAnsi="Times New Roman" w:cs="Times New Roman"/>
          <w:color w:val="000000"/>
          <w:kern w:val="0"/>
          <w:sz w:val="20"/>
          <w:szCs w:val="20"/>
          <w:lang w:bidi="ar"/>
        </w:rPr>
        <w:t xml:space="preserve"> months of Fiscal 2023, our net revenue increased 9% and 12%, respectively, due to growth in net revenue for both CSG and ISG. CSG net revenue benefited from growth in net revenue attributable to our commercial offerings. ISG net revenue growth continued t</w:t>
      </w:r>
      <w:r>
        <w:rPr>
          <w:rFonts w:ascii="Times New Roman" w:eastAsia="宋体" w:hAnsi="Times New Roman" w:cs="Times New Roman"/>
          <w:color w:val="000000"/>
          <w:kern w:val="0"/>
          <w:sz w:val="20"/>
          <w:szCs w:val="20"/>
          <w:lang w:bidi="ar"/>
        </w:rPr>
        <w:t>hroughout the second quarter and first six months of Fiscal 2023 driven by strength in our offerings across both servers and networking and storage.</w:t>
      </w:r>
    </w:p>
    <w:p w14:paraId="59E4BE54"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BE55"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During the second quarter and first six months of Fiscal 2023, our operating income increased 25% to $1.3</w:t>
      </w:r>
      <w:r>
        <w:rPr>
          <w:rFonts w:ascii="Times New Roman" w:eastAsia="宋体" w:hAnsi="Times New Roman" w:cs="Times New Roman"/>
          <w:color w:val="000000"/>
          <w:kern w:val="0"/>
          <w:sz w:val="20"/>
          <w:szCs w:val="20"/>
          <w:lang w:bidi="ar"/>
        </w:rPr>
        <w:t xml:space="preserve"> billion and 41% to $2.8 billion, respectively. These increases were primarily due to the favorable impact of a decrease in amortization of intangible assets and growth in operating income for ISG. Growth in ISG operating income for the second quarter of F</w:t>
      </w:r>
      <w:r>
        <w:rPr>
          <w:rFonts w:ascii="Times New Roman" w:eastAsia="宋体" w:hAnsi="Times New Roman" w:cs="Times New Roman"/>
          <w:color w:val="000000"/>
          <w:kern w:val="0"/>
          <w:sz w:val="20"/>
          <w:szCs w:val="20"/>
          <w:lang w:bidi="ar"/>
        </w:rPr>
        <w:t>iscal 2023 was driven by our server and networking and storage offerings while, for the first six months of Fiscal 2023, ISG operating income growth was primarily due to strength in our storage offerings. During the second quarter and first six months of F</w:t>
      </w:r>
      <w:r>
        <w:rPr>
          <w:rFonts w:ascii="Times New Roman" w:eastAsia="宋体" w:hAnsi="Times New Roman" w:cs="Times New Roman"/>
          <w:color w:val="000000"/>
          <w:kern w:val="0"/>
          <w:sz w:val="20"/>
          <w:szCs w:val="20"/>
          <w:lang w:bidi="ar"/>
        </w:rPr>
        <w:t>iscal 2023 our non-GAAP operating income increased 4% to $2.0 billion and increased 12% to $4.1 billion driven by the same ISG dynamics discussed above.</w:t>
      </w:r>
    </w:p>
    <w:p w14:paraId="59E4BE56"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BE57"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Operating income as a percentage of net revenue increased 60 basis points to 4.8% and 110 basis point</w:t>
      </w:r>
      <w:r>
        <w:rPr>
          <w:rFonts w:ascii="Times New Roman" w:eastAsia="宋体" w:hAnsi="Times New Roman" w:cs="Times New Roman"/>
          <w:color w:val="000000"/>
          <w:kern w:val="0"/>
          <w:sz w:val="20"/>
          <w:szCs w:val="20"/>
          <w:lang w:bidi="ar"/>
        </w:rPr>
        <w:t>s to 5.4% during the second quarter and first six months of Fiscal 2023, respectively. These increases were primarily driven by a decrease in operating expenses as a percentage of net revenue due to continued disciplined cost management and by the favorabl</w:t>
      </w:r>
      <w:r>
        <w:rPr>
          <w:rFonts w:ascii="Times New Roman" w:eastAsia="宋体" w:hAnsi="Times New Roman" w:cs="Times New Roman"/>
          <w:color w:val="000000"/>
          <w:kern w:val="0"/>
          <w:sz w:val="20"/>
          <w:szCs w:val="20"/>
          <w:lang w:bidi="ar"/>
        </w:rPr>
        <w:t xml:space="preserve">e impact of a decrease in amortization of intangible assets. The effect of these factors was partially offset by declines in gross margin as a percentage of net revenue primarily due to the impacts of an overall increase in cost of net revenue and foreign </w:t>
      </w:r>
      <w:r>
        <w:rPr>
          <w:rFonts w:ascii="Times New Roman" w:eastAsia="宋体" w:hAnsi="Times New Roman" w:cs="Times New Roman"/>
          <w:color w:val="000000"/>
          <w:kern w:val="0"/>
          <w:sz w:val="20"/>
          <w:szCs w:val="20"/>
          <w:lang w:bidi="ar"/>
        </w:rPr>
        <w:t>currency exchange rate fluctuations, which were not entirely offset by pricing adjustments as we balanced profitability with competitive positioning. Non-GAAP operating income as a percentage of net revenue decreased 30 basis points to 7.4% and was flat at</w:t>
      </w:r>
      <w:r>
        <w:rPr>
          <w:rFonts w:ascii="Times New Roman" w:eastAsia="宋体" w:hAnsi="Times New Roman" w:cs="Times New Roman"/>
          <w:color w:val="000000"/>
          <w:kern w:val="0"/>
          <w:sz w:val="20"/>
          <w:szCs w:val="20"/>
          <w:lang w:bidi="ar"/>
        </w:rPr>
        <w:t xml:space="preserve"> 7.8% during the second quarter and first six months of Fiscal 2023, respectively, driven by declines in gross margin as a percentage of net revenue offset by decreases in operating expenses as a percentage of net revenue.</w:t>
      </w:r>
    </w:p>
    <w:p w14:paraId="59E4BE58"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BE59"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Cash provided by operating acti</w:t>
      </w:r>
      <w:r>
        <w:rPr>
          <w:rFonts w:ascii="Times New Roman" w:eastAsia="宋体" w:hAnsi="Times New Roman" w:cs="Times New Roman"/>
          <w:color w:val="000000"/>
          <w:kern w:val="0"/>
          <w:sz w:val="20"/>
          <w:szCs w:val="20"/>
          <w:lang w:bidi="ar"/>
        </w:rPr>
        <w:t>vities was $0.5 billion and $4.0 billion during the first six months of Fiscal 2023 and Fiscal 2022, respectively. During the first six months of Fiscal 2022, $2.1 billion of the $4.0 billion total represented cash provided by operating activities attribut</w:t>
      </w:r>
      <w:r>
        <w:rPr>
          <w:rFonts w:ascii="Times New Roman" w:eastAsia="宋体" w:hAnsi="Times New Roman" w:cs="Times New Roman"/>
          <w:color w:val="000000"/>
          <w:kern w:val="0"/>
          <w:sz w:val="20"/>
          <w:szCs w:val="20"/>
          <w:lang w:bidi="ar"/>
        </w:rPr>
        <w:t>able to VMware. Cash provided by operating activities during the first six months of Fiscal 2023 reflected continued profitability, partially offset by working capital dynamics. See “Liquidity, Cash Requirements, and Market Conditions” for further informat</w:t>
      </w:r>
      <w:r>
        <w:rPr>
          <w:rFonts w:ascii="Times New Roman" w:eastAsia="宋体" w:hAnsi="Times New Roman" w:cs="Times New Roman"/>
          <w:color w:val="000000"/>
          <w:kern w:val="0"/>
          <w:sz w:val="20"/>
          <w:szCs w:val="20"/>
          <w:lang w:bidi="ar"/>
        </w:rPr>
        <w:t>ion on our cash flow metrics.</w:t>
      </w:r>
    </w:p>
    <w:p w14:paraId="59E4BE5A"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BE5B"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We continue to see opportunities to create value and grow in response to demand for our IT solutions driven by a technology-enabled world. We have demonstrated our ability to adjust to changing market conditions with complem</w:t>
      </w:r>
      <w:r>
        <w:rPr>
          <w:rFonts w:ascii="Times New Roman" w:eastAsia="宋体" w:hAnsi="Times New Roman" w:cs="Times New Roman"/>
          <w:color w:val="000000"/>
          <w:kern w:val="0"/>
          <w:sz w:val="20"/>
          <w:szCs w:val="20"/>
          <w:lang w:bidi="ar"/>
        </w:rPr>
        <w:t>entary solutions across both segments of our business, an agile workforce, and the strength of our global supply chain. As we continue to innovate and modernize our core offerings, we believe that Dell Technologies is well-positioned for long-term profitab</w:t>
      </w:r>
      <w:r>
        <w:rPr>
          <w:rFonts w:ascii="Times New Roman" w:eastAsia="宋体" w:hAnsi="Times New Roman" w:cs="Times New Roman"/>
          <w:color w:val="000000"/>
          <w:kern w:val="0"/>
          <w:sz w:val="20"/>
          <w:szCs w:val="20"/>
          <w:lang w:bidi="ar"/>
        </w:rPr>
        <w:t>le growth.</w:t>
      </w:r>
    </w:p>
    <w:p w14:paraId="59E4BE5C"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BE5D"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Net Revenue</w:t>
      </w:r>
    </w:p>
    <w:p w14:paraId="59E4BE5E"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BE5F"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During the second quarter and first six months of Fiscal 2023, our net revenue increased 9% and increased 12%, respectively, due to growth in net revenue for both CSG and ISG. See “Business Unit Results” for further </w:t>
      </w:r>
      <w:r>
        <w:rPr>
          <w:rFonts w:ascii="Times New Roman" w:eastAsia="宋体" w:hAnsi="Times New Roman" w:cs="Times New Roman"/>
          <w:color w:val="000000"/>
          <w:kern w:val="0"/>
          <w:sz w:val="20"/>
          <w:szCs w:val="20"/>
          <w:lang w:bidi="ar"/>
        </w:rPr>
        <w:t>information.</w:t>
      </w:r>
    </w:p>
    <w:p w14:paraId="59E4BE60"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BE61" w14:textId="77777777" w:rsidR="00D7560A" w:rsidRDefault="001E3CAB">
      <w:pPr>
        <w:widowControl/>
        <w:ind w:left="360" w:hanging="360"/>
        <w:jc w:val="left"/>
        <w:rPr>
          <w:rFonts w:ascii="宋体" w:eastAsia="宋体" w:hAnsi="宋体" w:cs="宋体"/>
          <w:kern w:val="0"/>
          <w:sz w:val="24"/>
        </w:rPr>
      </w:pPr>
      <w:r>
        <w:rPr>
          <w:rFonts w:ascii="Times New Roman" w:eastAsia="宋体" w:hAnsi="Times New Roman" w:cs="Times New Roman"/>
          <w:b/>
          <w:bCs/>
          <w:i/>
          <w:iCs/>
          <w:color w:val="000000"/>
          <w:kern w:val="0"/>
          <w:sz w:val="20"/>
          <w:szCs w:val="20"/>
          <w:lang w:bidi="ar"/>
        </w:rPr>
        <w:t>•</w:t>
      </w:r>
      <w:r>
        <w:rPr>
          <w:rFonts w:ascii="Times New Roman" w:eastAsia="宋体" w:hAnsi="Times New Roman" w:cs="Times New Roman"/>
          <w:i/>
          <w:iCs/>
          <w:color w:val="000000"/>
          <w:kern w:val="0"/>
          <w:sz w:val="20"/>
          <w:szCs w:val="20"/>
          <w:u w:val="single"/>
          <w:lang w:bidi="ar"/>
        </w:rPr>
        <w:t>Product Net Revenue</w:t>
      </w:r>
      <w:r>
        <w:rPr>
          <w:rFonts w:ascii="Times New Roman" w:eastAsia="宋体" w:hAnsi="Times New Roman" w:cs="Times New Roman"/>
          <w:color w:val="000000"/>
          <w:kern w:val="0"/>
          <w:sz w:val="20"/>
          <w:szCs w:val="20"/>
          <w:lang w:bidi="ar"/>
        </w:rPr>
        <w:t xml:space="preserve"> — Product net revenue includes revenue from the sale of hardware products and software licenses. During the second quarter and first six months of Fiscal 2023, our product net revenue increased 10% and 13%, respectively,</w:t>
      </w:r>
      <w:r>
        <w:rPr>
          <w:rFonts w:ascii="Times New Roman" w:eastAsia="宋体" w:hAnsi="Times New Roman" w:cs="Times New Roman"/>
          <w:color w:val="000000"/>
          <w:kern w:val="0"/>
          <w:sz w:val="20"/>
          <w:szCs w:val="20"/>
          <w:lang w:bidi="ar"/>
        </w:rPr>
        <w:t xml:space="preserve"> driven by growth within both CSG and ISG. CSG product net revenue increased primarily due to growth within our commercial offerings partially offset by a decrease within our consumer offerings. ISG product net revenue growth was primarily attributable to </w:t>
      </w:r>
      <w:r>
        <w:rPr>
          <w:rFonts w:ascii="Times New Roman" w:eastAsia="宋体" w:hAnsi="Times New Roman" w:cs="Times New Roman"/>
          <w:color w:val="000000"/>
          <w:kern w:val="0"/>
          <w:sz w:val="20"/>
          <w:szCs w:val="20"/>
          <w:lang w:bidi="ar"/>
        </w:rPr>
        <w:t>growth in net revenue from sales of servers and networking and, to a lesser extent, an increase in net revenue from sales of storage.</w:t>
      </w:r>
    </w:p>
    <w:p w14:paraId="59E4BE62"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BE63"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BE64"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71</w:t>
      </w:r>
    </w:p>
    <w:p w14:paraId="59E4BE65"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BE66" w14:textId="77777777" w:rsidR="00D7560A" w:rsidRDefault="001E3CAB">
      <w:pPr>
        <w:widowControl/>
        <w:jc w:val="center"/>
      </w:pPr>
      <w:r>
        <w:rPr>
          <w:rFonts w:ascii="宋体" w:eastAsia="宋体" w:hAnsi="宋体" w:cs="宋体"/>
          <w:kern w:val="0"/>
          <w:sz w:val="24"/>
        </w:rPr>
        <w:pict w14:anchorId="59E4C812">
          <v:rect id="_x0000_i1095" style="width:6in;height:1.5pt" o:hralign="center" o:hrstd="t" o:hr="t" fillcolor="#a0a0a0" stroked="f"/>
        </w:pict>
      </w:r>
    </w:p>
    <w:p w14:paraId="59E4BE67" w14:textId="77777777" w:rsidR="00D7560A" w:rsidRDefault="001E3CAB">
      <w:pPr>
        <w:widowControl/>
        <w:jc w:val="left"/>
        <w:rPr>
          <w:rFonts w:ascii="宋体" w:eastAsia="宋体" w:hAnsi="宋体" w:cs="宋体"/>
          <w:kern w:val="0"/>
          <w:sz w:val="24"/>
        </w:rPr>
      </w:pPr>
      <w:hyperlink w:anchor="if933dd1d5d004d2495dd7029e3ecad00_13" w:history="1">
        <w:r>
          <w:rPr>
            <w:rStyle w:val="a4"/>
            <w:rFonts w:ascii="Times New Roman" w:eastAsia="宋体" w:hAnsi="Times New Roman" w:cs="Times New Roman"/>
            <w:sz w:val="20"/>
            <w:szCs w:val="20"/>
          </w:rPr>
          <w:t>Table of Contents</w:t>
        </w:r>
      </w:hyperlink>
    </w:p>
    <w:p w14:paraId="59E4BE68" w14:textId="77777777" w:rsidR="00D7560A" w:rsidRDefault="001E3CAB">
      <w:pPr>
        <w:widowControl/>
        <w:ind w:left="360" w:hanging="360"/>
        <w:jc w:val="left"/>
        <w:rPr>
          <w:rFonts w:ascii="宋体" w:eastAsia="宋体" w:hAnsi="宋体" w:cs="宋体"/>
          <w:kern w:val="0"/>
          <w:sz w:val="24"/>
        </w:rPr>
      </w:pPr>
      <w:r>
        <w:rPr>
          <w:rFonts w:ascii="Times New Roman" w:eastAsia="宋体" w:hAnsi="Times New Roman" w:cs="Times New Roman"/>
          <w:b/>
          <w:bCs/>
          <w:i/>
          <w:iCs/>
          <w:color w:val="000000"/>
          <w:kern w:val="0"/>
          <w:sz w:val="20"/>
          <w:szCs w:val="20"/>
          <w:lang w:bidi="ar"/>
        </w:rPr>
        <w:t>•</w:t>
      </w:r>
      <w:r>
        <w:rPr>
          <w:rFonts w:ascii="Times New Roman" w:eastAsia="宋体" w:hAnsi="Times New Roman" w:cs="Times New Roman"/>
          <w:i/>
          <w:iCs/>
          <w:color w:val="000000"/>
          <w:kern w:val="0"/>
          <w:sz w:val="20"/>
          <w:szCs w:val="20"/>
          <w:u w:val="single"/>
          <w:lang w:bidi="ar"/>
        </w:rPr>
        <w:t>Services Net Revenue</w:t>
      </w:r>
      <w:r>
        <w:rPr>
          <w:rFonts w:ascii="Times New Roman" w:eastAsia="宋体" w:hAnsi="Times New Roman" w:cs="Times New Roman"/>
          <w:i/>
          <w:iCs/>
          <w:color w:val="000000"/>
          <w:kern w:val="0"/>
          <w:sz w:val="20"/>
          <w:szCs w:val="20"/>
          <w:lang w:bidi="ar"/>
        </w:rPr>
        <w:t xml:space="preserve"> </w:t>
      </w:r>
      <w:r>
        <w:rPr>
          <w:rFonts w:ascii="Times New Roman" w:eastAsia="宋体" w:hAnsi="Times New Roman" w:cs="Times New Roman"/>
          <w:color w:val="000000"/>
          <w:kern w:val="0"/>
          <w:sz w:val="20"/>
          <w:szCs w:val="20"/>
          <w:lang w:bidi="ar"/>
        </w:rPr>
        <w:t>— Services net revenue includes revenue from our services offerings and support services related to hardware products and software licenses. During the secon</w:t>
      </w:r>
      <w:r>
        <w:rPr>
          <w:rFonts w:ascii="Times New Roman" w:eastAsia="宋体" w:hAnsi="Times New Roman" w:cs="Times New Roman"/>
          <w:color w:val="000000"/>
          <w:kern w:val="0"/>
          <w:sz w:val="20"/>
          <w:szCs w:val="20"/>
          <w:lang w:bidi="ar"/>
        </w:rPr>
        <w:t xml:space="preserve">d quarter and first six months of Fiscal 2023, services net revenue increased 6% and 8%, respectively, driven principally by strength in hardware support and maintenance and third-party software support and maintenance within CSG. A substantial portion of </w:t>
      </w:r>
      <w:r>
        <w:rPr>
          <w:rFonts w:ascii="Times New Roman" w:eastAsia="宋体" w:hAnsi="Times New Roman" w:cs="Times New Roman"/>
          <w:color w:val="000000"/>
          <w:kern w:val="0"/>
          <w:sz w:val="20"/>
          <w:szCs w:val="20"/>
          <w:lang w:bidi="ar"/>
        </w:rPr>
        <w:t xml:space="preserve">services net revenue is derived from offerings that have been deferred over a period of time, and, as a result, reported services net revenue growth rates will be different than reported product net revenue growth rates. </w:t>
      </w:r>
    </w:p>
    <w:p w14:paraId="59E4BE69"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BE6A"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From a geographical </w:t>
      </w:r>
      <w:r>
        <w:rPr>
          <w:rFonts w:ascii="Times New Roman" w:eastAsia="宋体" w:hAnsi="Times New Roman" w:cs="Times New Roman"/>
          <w:color w:val="000000"/>
          <w:kern w:val="0"/>
          <w:sz w:val="20"/>
          <w:szCs w:val="20"/>
          <w:lang w:bidi="ar"/>
        </w:rPr>
        <w:t>perspective, net revenue generated by sales to customers in all regions increased during the second quarter and first six months of Fiscal 2023, driven by both CSG and ISG.</w:t>
      </w:r>
    </w:p>
    <w:p w14:paraId="59E4BE6B"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BE6C"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Gross Margin</w:t>
      </w:r>
    </w:p>
    <w:p w14:paraId="59E4BE6D"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BE6E"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During the second quarter of Fiscal 2023, our gross margin decreas</w:t>
      </w:r>
      <w:r>
        <w:rPr>
          <w:rFonts w:ascii="Times New Roman" w:eastAsia="宋体" w:hAnsi="Times New Roman" w:cs="Times New Roman"/>
          <w:color w:val="000000"/>
          <w:kern w:val="0"/>
          <w:sz w:val="20"/>
          <w:szCs w:val="20"/>
          <w:lang w:bidi="ar"/>
        </w:rPr>
        <w:t>ed 1% to $5.4 billion and our non-GAAP gross margin remained flat at $5.7 billion, driven by declines in CSG and other businesses gross margin that were mostly offset by growth in ISG gross margin.</w:t>
      </w:r>
    </w:p>
    <w:p w14:paraId="59E4BE6F"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BE70"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During the first six months of Fiscal 2023, our gross ma</w:t>
      </w:r>
      <w:r>
        <w:rPr>
          <w:rFonts w:ascii="Times New Roman" w:eastAsia="宋体" w:hAnsi="Times New Roman" w:cs="Times New Roman"/>
          <w:color w:val="000000"/>
          <w:kern w:val="0"/>
          <w:sz w:val="20"/>
          <w:szCs w:val="20"/>
          <w:lang w:bidi="ar"/>
        </w:rPr>
        <w:t>rgin increased 5% to $11.2 billion and our non-GAAP gross margin increased 4% to $11.6 billion. These increases were driven primarily by an increase in ISG gross margin due to continued strength in net revenue growth attributable to both storage and server</w:t>
      </w:r>
      <w:r>
        <w:rPr>
          <w:rFonts w:ascii="Times New Roman" w:eastAsia="宋体" w:hAnsi="Times New Roman" w:cs="Times New Roman"/>
          <w:color w:val="000000"/>
          <w:kern w:val="0"/>
          <w:sz w:val="20"/>
          <w:szCs w:val="20"/>
          <w:lang w:bidi="ar"/>
        </w:rPr>
        <w:t>s and networking.</w:t>
      </w:r>
    </w:p>
    <w:p w14:paraId="59E4BE71"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BE72"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During the second quarter of Fiscal 2023, both our gross margin and non-GAAP gross margin percentages decreased 200 basis points to 20.6% and 21.4%, respectively, while during the first six months of Fiscal 2023, gross margin and non-GA</w:t>
      </w:r>
      <w:r>
        <w:rPr>
          <w:rFonts w:ascii="Times New Roman" w:eastAsia="宋体" w:hAnsi="Times New Roman" w:cs="Times New Roman"/>
          <w:color w:val="000000"/>
          <w:kern w:val="0"/>
          <w:sz w:val="20"/>
          <w:szCs w:val="20"/>
          <w:lang w:bidi="ar"/>
        </w:rPr>
        <w:t>AP gross margin percentages decreased 160 basis points to 21.4% and 170 basis points to 22.1%, respectively. These decreases were primarily due to the impacts of an overall increase in cost of net revenue and foreign currency exchange rate fluctuations, wh</w:t>
      </w:r>
      <w:r>
        <w:rPr>
          <w:rFonts w:ascii="Times New Roman" w:eastAsia="宋体" w:hAnsi="Times New Roman" w:cs="Times New Roman"/>
          <w:color w:val="000000"/>
          <w:kern w:val="0"/>
          <w:sz w:val="20"/>
          <w:szCs w:val="20"/>
          <w:lang w:bidi="ar"/>
        </w:rPr>
        <w:t xml:space="preserve">ich were not entirely offset by pricing adjustments as we balanced profitability with competitive positioning. Increased cost of net revenue was principally driven by a net increase in input costs, as compared to the second quarter and first six months of </w:t>
      </w:r>
      <w:r>
        <w:rPr>
          <w:rFonts w:ascii="Times New Roman" w:eastAsia="宋体" w:hAnsi="Times New Roman" w:cs="Times New Roman"/>
          <w:color w:val="000000"/>
          <w:kern w:val="0"/>
          <w:sz w:val="20"/>
          <w:szCs w:val="20"/>
          <w:lang w:bidi="ar"/>
        </w:rPr>
        <w:t xml:space="preserve">Fiscal 2022, which broadly impacted our product offerings. </w:t>
      </w:r>
    </w:p>
    <w:p w14:paraId="59E4BE73"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BE74" w14:textId="77777777" w:rsidR="00D7560A" w:rsidRDefault="001E3CAB">
      <w:pPr>
        <w:widowControl/>
        <w:ind w:left="360" w:hanging="360"/>
        <w:jc w:val="left"/>
        <w:rPr>
          <w:rFonts w:ascii="宋体" w:eastAsia="宋体" w:hAnsi="宋体" w:cs="宋体"/>
          <w:kern w:val="0"/>
          <w:sz w:val="24"/>
        </w:rPr>
      </w:pPr>
      <w:r>
        <w:rPr>
          <w:rFonts w:ascii="Times New Roman" w:eastAsia="宋体" w:hAnsi="Times New Roman" w:cs="Times New Roman"/>
          <w:i/>
          <w:iCs/>
          <w:color w:val="000000"/>
          <w:kern w:val="0"/>
          <w:sz w:val="20"/>
          <w:szCs w:val="20"/>
          <w:lang w:bidi="ar"/>
        </w:rPr>
        <w:t>•</w:t>
      </w:r>
      <w:r>
        <w:rPr>
          <w:rFonts w:ascii="Times New Roman" w:eastAsia="宋体" w:hAnsi="Times New Roman" w:cs="Times New Roman"/>
          <w:i/>
          <w:iCs/>
          <w:color w:val="000000"/>
          <w:kern w:val="0"/>
          <w:sz w:val="20"/>
          <w:szCs w:val="20"/>
          <w:u w:val="single"/>
          <w:lang w:bidi="ar"/>
        </w:rPr>
        <w:t>Product Gross Margin</w:t>
      </w:r>
      <w:r>
        <w:rPr>
          <w:rFonts w:ascii="Times New Roman" w:eastAsia="宋体" w:hAnsi="Times New Roman" w:cs="Times New Roman"/>
          <w:color w:val="000000"/>
          <w:kern w:val="0"/>
          <w:sz w:val="20"/>
          <w:szCs w:val="20"/>
          <w:lang w:bidi="ar"/>
        </w:rPr>
        <w:t xml:space="preserve"> — During the second quarter of Fiscal 2023, product gross margin and non-GAAP product gross margin decreased 2% to $3.1 billion and 3% to $3.3 billion, respectively. These decreases were primarily due to a decline in CSG product gross margin, principally </w:t>
      </w:r>
      <w:r>
        <w:rPr>
          <w:rFonts w:ascii="Times New Roman" w:eastAsia="宋体" w:hAnsi="Times New Roman" w:cs="Times New Roman"/>
          <w:color w:val="000000"/>
          <w:kern w:val="0"/>
          <w:sz w:val="20"/>
          <w:szCs w:val="20"/>
          <w:lang w:bidi="ar"/>
        </w:rPr>
        <w:t xml:space="preserve">related to our consumer offerings, which was partially offset by an increase in ISG product gross margin. ISG product gross margin increased primarily due continued strength in product net revenue growth for our server and networking offerings. </w:t>
      </w:r>
    </w:p>
    <w:p w14:paraId="59E4BE75"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BE76"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During the first six months of Fiscal 2023, product gross margin and non-GAAP product gross margin increased 5% to $6.6 billion and 4% to $6.8 billion, respectively. These increases were attributable to growth in ISG product gross margin, which was driven </w:t>
      </w:r>
      <w:r>
        <w:rPr>
          <w:rFonts w:ascii="Times New Roman" w:eastAsia="宋体" w:hAnsi="Times New Roman" w:cs="Times New Roman"/>
          <w:color w:val="000000"/>
          <w:kern w:val="0"/>
          <w:sz w:val="20"/>
          <w:szCs w:val="20"/>
          <w:lang w:bidi="ar"/>
        </w:rPr>
        <w:t xml:space="preserve">primarily by strength in product net revenue growth for our server and networking offerings coupled with product net revenue growth in our storage offerings. Growth in ISG product gross margin was partially offset by a decrease in CSG product gross margin </w:t>
      </w:r>
      <w:r>
        <w:rPr>
          <w:rFonts w:ascii="Times New Roman" w:eastAsia="宋体" w:hAnsi="Times New Roman" w:cs="Times New Roman"/>
          <w:color w:val="000000"/>
          <w:kern w:val="0"/>
          <w:sz w:val="20"/>
          <w:szCs w:val="20"/>
          <w:lang w:bidi="ar"/>
        </w:rPr>
        <w:t>driven primarily by our consumer offerings.</w:t>
      </w:r>
    </w:p>
    <w:p w14:paraId="59E4BE77"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BE78"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During the second quarter of Fiscal 2023, product gross margin percentage and non-GAAP product gross margin percentage decreased 190 basis points to 15.1% and 210 basis points to 15.7%, respectively, while duri</w:t>
      </w:r>
      <w:r>
        <w:rPr>
          <w:rFonts w:ascii="Times New Roman" w:eastAsia="宋体" w:hAnsi="Times New Roman" w:cs="Times New Roman"/>
          <w:color w:val="000000"/>
          <w:kern w:val="0"/>
          <w:sz w:val="20"/>
          <w:szCs w:val="20"/>
          <w:lang w:bidi="ar"/>
        </w:rPr>
        <w:t>ng the first six months of Fiscal 2023 product gross margin percentage and non-GAAP product gross margin percentage decreased 120 basis points to 16.0% and 150 basis points to 16.6%, respectively. The decrease during the second quarter of Fiscal 2023 was p</w:t>
      </w:r>
      <w:r>
        <w:rPr>
          <w:rFonts w:ascii="Times New Roman" w:eastAsia="宋体" w:hAnsi="Times New Roman" w:cs="Times New Roman"/>
          <w:color w:val="000000"/>
          <w:kern w:val="0"/>
          <w:sz w:val="20"/>
          <w:szCs w:val="20"/>
          <w:lang w:bidi="ar"/>
        </w:rPr>
        <w:t>rimarily due to a decline in product gross margin percentage for both CSG and ISG. For the first six months of Fiscal 2023, product gross margin percentage decreased primarily due to a decline in CSG product gross margin percentage and, to a lesser extent,</w:t>
      </w:r>
      <w:r>
        <w:rPr>
          <w:rFonts w:ascii="Times New Roman" w:eastAsia="宋体" w:hAnsi="Times New Roman" w:cs="Times New Roman"/>
          <w:color w:val="000000"/>
          <w:kern w:val="0"/>
          <w:sz w:val="20"/>
          <w:szCs w:val="20"/>
          <w:lang w:bidi="ar"/>
        </w:rPr>
        <w:t xml:space="preserve"> a decline in ISG product gross margin percentage.</w:t>
      </w:r>
    </w:p>
    <w:p w14:paraId="59E4BE79"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BE7A"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BE7B"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72</w:t>
      </w:r>
    </w:p>
    <w:p w14:paraId="59E4BE7C"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BE7D" w14:textId="77777777" w:rsidR="00D7560A" w:rsidRDefault="001E3CAB">
      <w:pPr>
        <w:widowControl/>
        <w:jc w:val="center"/>
      </w:pPr>
      <w:r>
        <w:rPr>
          <w:rFonts w:ascii="宋体" w:eastAsia="宋体" w:hAnsi="宋体" w:cs="宋体"/>
          <w:kern w:val="0"/>
          <w:sz w:val="24"/>
        </w:rPr>
        <w:pict w14:anchorId="59E4C813">
          <v:rect id="_x0000_i1096" style="width:6in;height:1.5pt" o:hralign="center" o:hrstd="t" o:hr="t" fillcolor="#a0a0a0" stroked="f"/>
        </w:pict>
      </w:r>
    </w:p>
    <w:p w14:paraId="59E4BE7E" w14:textId="77777777" w:rsidR="00D7560A" w:rsidRDefault="001E3CAB">
      <w:pPr>
        <w:widowControl/>
        <w:jc w:val="left"/>
        <w:rPr>
          <w:rFonts w:ascii="宋体" w:eastAsia="宋体" w:hAnsi="宋体" w:cs="宋体"/>
          <w:kern w:val="0"/>
          <w:sz w:val="24"/>
        </w:rPr>
      </w:pPr>
      <w:hyperlink w:anchor="if933dd1d5d004d2495dd7029e3ecad00_13" w:history="1">
        <w:r>
          <w:rPr>
            <w:rStyle w:val="a4"/>
            <w:rFonts w:ascii="Times New Roman" w:eastAsia="宋体" w:hAnsi="Times New Roman" w:cs="Times New Roman"/>
            <w:sz w:val="20"/>
            <w:szCs w:val="20"/>
          </w:rPr>
          <w:t>Table of Contents</w:t>
        </w:r>
      </w:hyperlink>
    </w:p>
    <w:p w14:paraId="59E4BE7F" w14:textId="77777777" w:rsidR="00D7560A" w:rsidRDefault="001E3CAB">
      <w:pPr>
        <w:widowControl/>
        <w:ind w:left="360" w:hanging="36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w:t>
      </w:r>
      <w:r>
        <w:rPr>
          <w:rFonts w:ascii="Times New Roman" w:eastAsia="宋体" w:hAnsi="Times New Roman" w:cs="Times New Roman"/>
          <w:i/>
          <w:iCs/>
          <w:color w:val="000000"/>
          <w:kern w:val="0"/>
          <w:sz w:val="20"/>
          <w:szCs w:val="20"/>
          <w:u w:val="single"/>
          <w:lang w:bidi="ar"/>
        </w:rPr>
        <w:t>Services Gross Margin</w:t>
      </w:r>
      <w:r>
        <w:rPr>
          <w:rFonts w:ascii="Times New Roman" w:eastAsia="宋体" w:hAnsi="Times New Roman" w:cs="Times New Roman"/>
          <w:color w:val="000000"/>
          <w:kern w:val="0"/>
          <w:sz w:val="20"/>
          <w:szCs w:val="20"/>
          <w:lang w:bidi="ar"/>
        </w:rPr>
        <w:t xml:space="preserve"> — During the second quarter and first six months of Fiscal 2023, services gross margin increased 1% to $2.3 billion and 3% to $4.6 billion, respectively. During the second quarter and first six months of Fiscal 2023, non-GAAP services gross margin increas</w:t>
      </w:r>
      <w:r>
        <w:rPr>
          <w:rFonts w:ascii="Times New Roman" w:eastAsia="宋体" w:hAnsi="Times New Roman" w:cs="Times New Roman"/>
          <w:color w:val="000000"/>
          <w:kern w:val="0"/>
          <w:sz w:val="20"/>
          <w:szCs w:val="20"/>
          <w:lang w:bidi="ar"/>
        </w:rPr>
        <w:t xml:space="preserve">ed 3% to $2.4 billion and 4% to $4.7 billion, respectively. These increases were driven primarily by increased CSG services gross margin as a result of growth within hardware support and maintenance associated with products sold in prior periods. </w:t>
      </w:r>
    </w:p>
    <w:p w14:paraId="59E4BE80"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BE81"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During</w:t>
      </w:r>
      <w:r>
        <w:rPr>
          <w:rFonts w:ascii="Times New Roman" w:eastAsia="宋体" w:hAnsi="Times New Roman" w:cs="Times New Roman"/>
          <w:color w:val="000000"/>
          <w:kern w:val="0"/>
          <w:sz w:val="20"/>
          <w:szCs w:val="20"/>
          <w:lang w:bidi="ar"/>
        </w:rPr>
        <w:t xml:space="preserve"> the second quarter and first six months of Fiscal 2023, services gross margin percentage decreased 190 basis points to 41.0% and 200 basis points to 41.1%, respectively. These decreases were driven in part by declines in services gross margin percentage f</w:t>
      </w:r>
      <w:r>
        <w:rPr>
          <w:rFonts w:ascii="Times New Roman" w:eastAsia="宋体" w:hAnsi="Times New Roman" w:cs="Times New Roman"/>
          <w:color w:val="000000"/>
          <w:kern w:val="0"/>
          <w:sz w:val="20"/>
          <w:szCs w:val="20"/>
          <w:lang w:bidi="ar"/>
        </w:rPr>
        <w:t>or ISG and, to a lesser extent, a shift in mix towards CSG. The impacts of the divestiture of Boomi during the third quarter of Fiscal 2022 coupled with asset impairment costs associated with exiting our Russia business also contributed to the declines. Du</w:t>
      </w:r>
      <w:r>
        <w:rPr>
          <w:rFonts w:ascii="Times New Roman" w:eastAsia="宋体" w:hAnsi="Times New Roman" w:cs="Times New Roman"/>
          <w:color w:val="000000"/>
          <w:kern w:val="0"/>
          <w:sz w:val="20"/>
          <w:szCs w:val="20"/>
          <w:lang w:bidi="ar"/>
        </w:rPr>
        <w:t>ring the second quarter and first six months of Fiscal 2023, non-GAAP services gross margin percentage decreased 110 basis points to 42.4% and 160 basis points to 42.1%, respectively, driven by the same ISG, CSG, and Boomi divestiture impacts discussed abo</w:t>
      </w:r>
      <w:r>
        <w:rPr>
          <w:rFonts w:ascii="Times New Roman" w:eastAsia="宋体" w:hAnsi="Times New Roman" w:cs="Times New Roman"/>
          <w:color w:val="000000"/>
          <w:kern w:val="0"/>
          <w:sz w:val="20"/>
          <w:szCs w:val="20"/>
          <w:lang w:bidi="ar"/>
        </w:rPr>
        <w:t>ve.</w:t>
      </w:r>
    </w:p>
    <w:p w14:paraId="59E4BE82"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BE83"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i/>
          <w:iCs/>
          <w:color w:val="000000"/>
          <w:kern w:val="0"/>
          <w:sz w:val="20"/>
          <w:szCs w:val="20"/>
          <w:u w:val="single"/>
          <w:lang w:bidi="ar"/>
        </w:rPr>
        <w:t>Vendor Programs and Settlements</w:t>
      </w:r>
    </w:p>
    <w:p w14:paraId="59E4BE84"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BE85"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Our gross margin is affected by our ability to achieve competitive pricing with our vendors and contract manufacturers, including through our negotiation of a variety of vendor rebate programs to achieve lower net co</w:t>
      </w:r>
      <w:r>
        <w:rPr>
          <w:rFonts w:ascii="Times New Roman" w:eastAsia="宋体" w:hAnsi="Times New Roman" w:cs="Times New Roman"/>
          <w:color w:val="000000"/>
          <w:kern w:val="0"/>
          <w:sz w:val="20"/>
          <w:szCs w:val="20"/>
          <w:lang w:bidi="ar"/>
        </w:rPr>
        <w:t>sts for the various components we include in our products. Under these programs, vendors provide us with rebates or other discounts from the list prices for the components, which are generally elements of their pricing strategy. We account for vendor rebat</w:t>
      </w:r>
      <w:r>
        <w:rPr>
          <w:rFonts w:ascii="Times New Roman" w:eastAsia="宋体" w:hAnsi="Times New Roman" w:cs="Times New Roman"/>
          <w:color w:val="000000"/>
          <w:kern w:val="0"/>
          <w:sz w:val="20"/>
          <w:szCs w:val="20"/>
          <w:lang w:bidi="ar"/>
        </w:rPr>
        <w:t>es and other discounts as a reduction in cost of net revenue. We manage our costs on a total net cost basis, which includes supplier list prices reduced by vendor rebates and other discounts.</w:t>
      </w:r>
    </w:p>
    <w:p w14:paraId="59E4BE86"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BE87"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The terms and conditions of our vendor rebate programs are </w:t>
      </w:r>
      <w:r>
        <w:rPr>
          <w:rFonts w:ascii="Times New Roman" w:eastAsia="宋体" w:hAnsi="Times New Roman" w:cs="Times New Roman"/>
          <w:color w:val="000000"/>
          <w:kern w:val="0"/>
          <w:sz w:val="20"/>
          <w:szCs w:val="20"/>
          <w:lang w:bidi="ar"/>
        </w:rPr>
        <w:t>largely based on product volumes and are generally negotiated either at the beginning of the annual or quarterly period, depending on the program. The timing and amount of vendor rebates and other discounts we receive under the programs may vary from perio</w:t>
      </w:r>
      <w:r>
        <w:rPr>
          <w:rFonts w:ascii="Times New Roman" w:eastAsia="宋体" w:hAnsi="Times New Roman" w:cs="Times New Roman"/>
          <w:color w:val="000000"/>
          <w:kern w:val="0"/>
          <w:sz w:val="20"/>
          <w:szCs w:val="20"/>
          <w:lang w:bidi="ar"/>
        </w:rPr>
        <w:t>d to period, reflecting changes in the competitive environment. We monitor our component costs and seek to address the effects of any changes to terms that might arise under our vendor rebate programs. Our gross margins for the second quarter and first six</w:t>
      </w:r>
      <w:r>
        <w:rPr>
          <w:rFonts w:ascii="Times New Roman" w:eastAsia="宋体" w:hAnsi="Times New Roman" w:cs="Times New Roman"/>
          <w:color w:val="000000"/>
          <w:kern w:val="0"/>
          <w:sz w:val="20"/>
          <w:szCs w:val="20"/>
          <w:lang w:bidi="ar"/>
        </w:rPr>
        <w:t xml:space="preserve"> months of Fiscal 2023 and for the second quarter and first six months of Fiscal 2022 were not materially affected by any changes to the terms of our vendor rebate programs, as the amounts we received under these programs were generally stable relative to </w:t>
      </w:r>
      <w:r>
        <w:rPr>
          <w:rFonts w:ascii="Times New Roman" w:eastAsia="宋体" w:hAnsi="Times New Roman" w:cs="Times New Roman"/>
          <w:color w:val="000000"/>
          <w:kern w:val="0"/>
          <w:sz w:val="20"/>
          <w:szCs w:val="20"/>
          <w:lang w:bidi="ar"/>
        </w:rPr>
        <w:t>our total net cost. We are not aware of any significant changes to vendor pricing or rebate programs that may impact our results in the near term.</w:t>
      </w:r>
    </w:p>
    <w:p w14:paraId="59E4BE88"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BE89"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BE8A"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BE8B"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73</w:t>
      </w:r>
    </w:p>
    <w:p w14:paraId="59E4BE8C"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BE8D" w14:textId="77777777" w:rsidR="00D7560A" w:rsidRDefault="001E3CAB">
      <w:pPr>
        <w:widowControl/>
        <w:jc w:val="center"/>
      </w:pPr>
      <w:r>
        <w:rPr>
          <w:rFonts w:ascii="宋体" w:eastAsia="宋体" w:hAnsi="宋体" w:cs="宋体"/>
          <w:kern w:val="0"/>
          <w:sz w:val="24"/>
        </w:rPr>
        <w:pict w14:anchorId="59E4C814">
          <v:rect id="_x0000_i1097" style="width:6in;height:1.5pt" o:hralign="center" o:hrstd="t" o:hr="t" fillcolor="#a0a0a0" stroked="f"/>
        </w:pict>
      </w:r>
    </w:p>
    <w:p w14:paraId="59E4BE8E" w14:textId="77777777" w:rsidR="00D7560A" w:rsidRDefault="001E3CAB">
      <w:pPr>
        <w:widowControl/>
        <w:jc w:val="left"/>
        <w:rPr>
          <w:rFonts w:ascii="宋体" w:eastAsia="宋体" w:hAnsi="宋体" w:cs="宋体"/>
          <w:kern w:val="0"/>
          <w:sz w:val="24"/>
        </w:rPr>
      </w:pPr>
      <w:hyperlink w:anchor="if933dd1d5d004d2495dd7029e3ecad00_13" w:history="1">
        <w:r>
          <w:rPr>
            <w:rStyle w:val="a4"/>
            <w:rFonts w:ascii="Times New Roman" w:eastAsia="宋体" w:hAnsi="Times New Roman" w:cs="Times New Roman"/>
            <w:sz w:val="20"/>
            <w:szCs w:val="20"/>
          </w:rPr>
          <w:t>Table of Contents</w:t>
        </w:r>
      </w:hyperlink>
    </w:p>
    <w:p w14:paraId="59E4BE8F"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Operating Expenses</w:t>
      </w:r>
    </w:p>
    <w:p w14:paraId="59E4BE90"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BE91" w14:textId="77777777" w:rsidR="00D7560A" w:rsidRDefault="001E3CAB">
      <w:pPr>
        <w:widowControl/>
        <w:spacing w:after="120"/>
        <w:jc w:val="left"/>
        <w:rPr>
          <w:rFonts w:ascii="宋体" w:eastAsia="宋体" w:hAnsi="宋体" w:cs="宋体"/>
          <w:kern w:val="0"/>
          <w:sz w:val="24"/>
        </w:rPr>
      </w:pPr>
      <w:r>
        <w:rPr>
          <w:rFonts w:ascii="Times New Roman" w:eastAsia="宋体" w:hAnsi="Times New Roman" w:cs="Times New Roman"/>
          <w:color w:val="000000"/>
          <w:kern w:val="0"/>
          <w:sz w:val="20"/>
          <w:szCs w:val="20"/>
          <w:shd w:val="clear" w:color="auto" w:fill="FFFFFF"/>
          <w:lang w:bidi="ar"/>
        </w:rPr>
        <w:t>The following table presents information regarding our operating expenses for the periods indicated: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97"/>
        <w:gridCol w:w="913"/>
        <w:gridCol w:w="35"/>
        <w:gridCol w:w="95"/>
        <w:gridCol w:w="400"/>
        <w:gridCol w:w="35"/>
        <w:gridCol w:w="37"/>
        <w:gridCol w:w="34"/>
        <w:gridCol w:w="34"/>
        <w:gridCol w:w="81"/>
        <w:gridCol w:w="478"/>
        <w:gridCol w:w="140"/>
        <w:gridCol w:w="37"/>
        <w:gridCol w:w="34"/>
        <w:gridCol w:w="34"/>
        <w:gridCol w:w="79"/>
        <w:gridCol w:w="426"/>
        <w:gridCol w:w="141"/>
        <w:gridCol w:w="37"/>
        <w:gridCol w:w="35"/>
        <w:gridCol w:w="35"/>
        <w:gridCol w:w="96"/>
        <w:gridCol w:w="401"/>
        <w:gridCol w:w="36"/>
        <w:gridCol w:w="37"/>
        <w:gridCol w:w="35"/>
        <w:gridCol w:w="35"/>
        <w:gridCol w:w="82"/>
        <w:gridCol w:w="479"/>
        <w:gridCol w:w="141"/>
        <w:gridCol w:w="37"/>
        <w:gridCol w:w="35"/>
        <w:gridCol w:w="35"/>
        <w:gridCol w:w="96"/>
        <w:gridCol w:w="401"/>
        <w:gridCol w:w="36"/>
        <w:gridCol w:w="37"/>
        <w:gridCol w:w="35"/>
        <w:gridCol w:w="35"/>
        <w:gridCol w:w="82"/>
        <w:gridCol w:w="479"/>
        <w:gridCol w:w="141"/>
        <w:gridCol w:w="37"/>
        <w:gridCol w:w="35"/>
        <w:gridCol w:w="35"/>
        <w:gridCol w:w="80"/>
        <w:gridCol w:w="426"/>
        <w:gridCol w:w="141"/>
        <w:gridCol w:w="37"/>
        <w:gridCol w:w="35"/>
        <w:gridCol w:w="35"/>
        <w:gridCol w:w="96"/>
        <w:gridCol w:w="401"/>
        <w:gridCol w:w="36"/>
        <w:gridCol w:w="37"/>
        <w:gridCol w:w="35"/>
        <w:gridCol w:w="35"/>
        <w:gridCol w:w="82"/>
        <w:gridCol w:w="479"/>
        <w:gridCol w:w="141"/>
        <w:gridCol w:w="35"/>
        <w:gridCol w:w="35"/>
        <w:gridCol w:w="35"/>
      </w:tblGrid>
      <w:tr w:rsidR="00D7560A" w14:paraId="59E4BED0" w14:textId="77777777">
        <w:trPr>
          <w:jc w:val="center"/>
        </w:trPr>
        <w:tc>
          <w:tcPr>
            <w:tcW w:w="50" w:type="pct"/>
            <w:tcBorders>
              <w:top w:val="nil"/>
              <w:left w:val="nil"/>
              <w:bottom w:val="nil"/>
              <w:right w:val="nil"/>
            </w:tcBorders>
            <w:shd w:val="clear" w:color="auto" w:fill="auto"/>
            <w:vAlign w:val="bottom"/>
          </w:tcPr>
          <w:p w14:paraId="59E4BE92" w14:textId="77777777" w:rsidR="00D7560A" w:rsidRDefault="00D7560A">
            <w:pPr>
              <w:widowControl/>
              <w:jc w:val="left"/>
              <w:rPr>
                <w:rFonts w:ascii="Times New Roman" w:eastAsia="宋体" w:hAnsi="宋体" w:cs="宋体"/>
                <w:kern w:val="0"/>
                <w:sz w:val="24"/>
              </w:rPr>
            </w:pPr>
          </w:p>
        </w:tc>
        <w:tc>
          <w:tcPr>
            <w:tcW w:w="1107" w:type="pct"/>
            <w:tcBorders>
              <w:top w:val="nil"/>
              <w:left w:val="nil"/>
              <w:bottom w:val="nil"/>
              <w:right w:val="nil"/>
            </w:tcBorders>
            <w:shd w:val="clear" w:color="auto" w:fill="auto"/>
            <w:vAlign w:val="bottom"/>
          </w:tcPr>
          <w:p w14:paraId="59E4BE93"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BE94"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BE95" w14:textId="77777777" w:rsidR="00D7560A" w:rsidRDefault="00D7560A">
            <w:pPr>
              <w:widowControl/>
              <w:jc w:val="left"/>
              <w:rPr>
                <w:rFonts w:ascii="Times New Roman" w:eastAsia="宋体" w:hAnsi="宋体" w:cs="宋体"/>
                <w:kern w:val="0"/>
                <w:sz w:val="24"/>
              </w:rPr>
            </w:pPr>
          </w:p>
        </w:tc>
        <w:tc>
          <w:tcPr>
            <w:tcW w:w="273" w:type="pct"/>
            <w:tcBorders>
              <w:top w:val="nil"/>
              <w:left w:val="nil"/>
              <w:bottom w:val="nil"/>
              <w:right w:val="nil"/>
            </w:tcBorders>
            <w:shd w:val="clear" w:color="auto" w:fill="auto"/>
            <w:vAlign w:val="bottom"/>
          </w:tcPr>
          <w:p w14:paraId="59E4BE96"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BE97"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BE98" w14:textId="77777777" w:rsidR="00D7560A" w:rsidRDefault="00D7560A">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59E4BE99"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BE9A"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BE9B" w14:textId="77777777" w:rsidR="00D7560A" w:rsidRDefault="00D7560A">
            <w:pPr>
              <w:widowControl/>
              <w:jc w:val="left"/>
              <w:rPr>
                <w:rFonts w:ascii="Times New Roman" w:eastAsia="宋体" w:hAnsi="宋体" w:cs="宋体"/>
                <w:kern w:val="0"/>
                <w:sz w:val="24"/>
              </w:rPr>
            </w:pPr>
          </w:p>
        </w:tc>
        <w:tc>
          <w:tcPr>
            <w:tcW w:w="325" w:type="pct"/>
            <w:tcBorders>
              <w:top w:val="nil"/>
              <w:left w:val="nil"/>
              <w:bottom w:val="nil"/>
              <w:right w:val="nil"/>
            </w:tcBorders>
            <w:shd w:val="clear" w:color="auto" w:fill="auto"/>
            <w:vAlign w:val="bottom"/>
          </w:tcPr>
          <w:p w14:paraId="59E4BE9C"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BE9D"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BE9E" w14:textId="77777777" w:rsidR="00D7560A" w:rsidRDefault="00D7560A">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59E4BE9F"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BEA0"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BEA1" w14:textId="77777777" w:rsidR="00D7560A" w:rsidRDefault="00D7560A">
            <w:pPr>
              <w:widowControl/>
              <w:jc w:val="left"/>
              <w:rPr>
                <w:rFonts w:ascii="Times New Roman" w:eastAsia="宋体" w:hAnsi="宋体" w:cs="宋体"/>
                <w:kern w:val="0"/>
                <w:sz w:val="24"/>
              </w:rPr>
            </w:pPr>
          </w:p>
        </w:tc>
        <w:tc>
          <w:tcPr>
            <w:tcW w:w="295" w:type="pct"/>
            <w:tcBorders>
              <w:top w:val="nil"/>
              <w:left w:val="nil"/>
              <w:bottom w:val="nil"/>
              <w:right w:val="nil"/>
            </w:tcBorders>
            <w:shd w:val="clear" w:color="auto" w:fill="auto"/>
            <w:vAlign w:val="bottom"/>
          </w:tcPr>
          <w:p w14:paraId="59E4BEA2"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BEA3"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BEA4" w14:textId="77777777" w:rsidR="00D7560A" w:rsidRDefault="00D7560A">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59E4BEA5"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BEA6"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BEA7" w14:textId="77777777" w:rsidR="00D7560A" w:rsidRDefault="00D7560A">
            <w:pPr>
              <w:widowControl/>
              <w:jc w:val="left"/>
              <w:rPr>
                <w:rFonts w:ascii="Times New Roman" w:eastAsia="宋体" w:hAnsi="宋体" w:cs="宋体"/>
                <w:kern w:val="0"/>
                <w:sz w:val="24"/>
              </w:rPr>
            </w:pPr>
          </w:p>
        </w:tc>
        <w:tc>
          <w:tcPr>
            <w:tcW w:w="273" w:type="pct"/>
            <w:tcBorders>
              <w:top w:val="nil"/>
              <w:left w:val="nil"/>
              <w:bottom w:val="nil"/>
              <w:right w:val="nil"/>
            </w:tcBorders>
            <w:shd w:val="clear" w:color="auto" w:fill="auto"/>
            <w:vAlign w:val="bottom"/>
          </w:tcPr>
          <w:p w14:paraId="59E4BEA8"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BEA9"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BEAA" w14:textId="77777777" w:rsidR="00D7560A" w:rsidRDefault="00D7560A">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59E4BEAB"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BEAC"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BEAD" w14:textId="77777777" w:rsidR="00D7560A" w:rsidRDefault="00D7560A">
            <w:pPr>
              <w:widowControl/>
              <w:jc w:val="left"/>
              <w:rPr>
                <w:rFonts w:ascii="Times New Roman" w:eastAsia="宋体" w:hAnsi="宋体" w:cs="宋体"/>
                <w:kern w:val="0"/>
                <w:sz w:val="24"/>
              </w:rPr>
            </w:pPr>
          </w:p>
        </w:tc>
        <w:tc>
          <w:tcPr>
            <w:tcW w:w="325" w:type="pct"/>
            <w:tcBorders>
              <w:top w:val="nil"/>
              <w:left w:val="nil"/>
              <w:bottom w:val="nil"/>
              <w:right w:val="nil"/>
            </w:tcBorders>
            <w:shd w:val="clear" w:color="auto" w:fill="auto"/>
            <w:vAlign w:val="bottom"/>
          </w:tcPr>
          <w:p w14:paraId="59E4BEAE"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BEAF"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BEB0" w14:textId="77777777" w:rsidR="00D7560A" w:rsidRDefault="00D7560A">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59E4BEB1"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BEB2"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BEB3" w14:textId="77777777" w:rsidR="00D7560A" w:rsidRDefault="00D7560A">
            <w:pPr>
              <w:widowControl/>
              <w:jc w:val="left"/>
              <w:rPr>
                <w:rFonts w:ascii="Times New Roman" w:eastAsia="宋体" w:hAnsi="宋体" w:cs="宋体"/>
                <w:kern w:val="0"/>
                <w:sz w:val="24"/>
              </w:rPr>
            </w:pPr>
          </w:p>
        </w:tc>
        <w:tc>
          <w:tcPr>
            <w:tcW w:w="273" w:type="pct"/>
            <w:tcBorders>
              <w:top w:val="nil"/>
              <w:left w:val="nil"/>
              <w:bottom w:val="nil"/>
              <w:right w:val="nil"/>
            </w:tcBorders>
            <w:shd w:val="clear" w:color="auto" w:fill="auto"/>
            <w:vAlign w:val="bottom"/>
          </w:tcPr>
          <w:p w14:paraId="59E4BEB4"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BEB5"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BEB6" w14:textId="77777777" w:rsidR="00D7560A" w:rsidRDefault="00D7560A">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59E4BEB7"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BEB8"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BEB9" w14:textId="77777777" w:rsidR="00D7560A" w:rsidRDefault="00D7560A">
            <w:pPr>
              <w:widowControl/>
              <w:jc w:val="left"/>
              <w:rPr>
                <w:rFonts w:ascii="Times New Roman" w:eastAsia="宋体" w:hAnsi="宋体" w:cs="宋体"/>
                <w:kern w:val="0"/>
                <w:sz w:val="24"/>
              </w:rPr>
            </w:pPr>
          </w:p>
        </w:tc>
        <w:tc>
          <w:tcPr>
            <w:tcW w:w="325" w:type="pct"/>
            <w:tcBorders>
              <w:top w:val="nil"/>
              <w:left w:val="nil"/>
              <w:bottom w:val="nil"/>
              <w:right w:val="nil"/>
            </w:tcBorders>
            <w:shd w:val="clear" w:color="auto" w:fill="auto"/>
            <w:vAlign w:val="bottom"/>
          </w:tcPr>
          <w:p w14:paraId="59E4BEBA"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BEBB"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BEBC" w14:textId="77777777" w:rsidR="00D7560A" w:rsidRDefault="00D7560A">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59E4BEBD"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BEBE"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BEBF" w14:textId="77777777" w:rsidR="00D7560A" w:rsidRDefault="00D7560A">
            <w:pPr>
              <w:widowControl/>
              <w:jc w:val="left"/>
              <w:rPr>
                <w:rFonts w:ascii="Times New Roman" w:eastAsia="宋体" w:hAnsi="宋体" w:cs="宋体"/>
                <w:kern w:val="0"/>
                <w:sz w:val="24"/>
              </w:rPr>
            </w:pPr>
          </w:p>
        </w:tc>
        <w:tc>
          <w:tcPr>
            <w:tcW w:w="295" w:type="pct"/>
            <w:tcBorders>
              <w:top w:val="nil"/>
              <w:left w:val="nil"/>
              <w:bottom w:val="nil"/>
              <w:right w:val="nil"/>
            </w:tcBorders>
            <w:shd w:val="clear" w:color="auto" w:fill="auto"/>
            <w:vAlign w:val="bottom"/>
          </w:tcPr>
          <w:p w14:paraId="59E4BEC0"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BEC1"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BEC2" w14:textId="77777777" w:rsidR="00D7560A" w:rsidRDefault="00D7560A">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59E4BEC3"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BEC4"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BEC5" w14:textId="77777777" w:rsidR="00D7560A" w:rsidRDefault="00D7560A">
            <w:pPr>
              <w:widowControl/>
              <w:jc w:val="left"/>
              <w:rPr>
                <w:rFonts w:ascii="Times New Roman" w:eastAsia="宋体" w:hAnsi="宋体" w:cs="宋体"/>
                <w:kern w:val="0"/>
                <w:sz w:val="24"/>
              </w:rPr>
            </w:pPr>
          </w:p>
        </w:tc>
        <w:tc>
          <w:tcPr>
            <w:tcW w:w="273" w:type="pct"/>
            <w:tcBorders>
              <w:top w:val="nil"/>
              <w:left w:val="nil"/>
              <w:bottom w:val="nil"/>
              <w:right w:val="nil"/>
            </w:tcBorders>
            <w:shd w:val="clear" w:color="auto" w:fill="auto"/>
            <w:vAlign w:val="bottom"/>
          </w:tcPr>
          <w:p w14:paraId="59E4BEC6"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BEC7"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BEC8" w14:textId="77777777" w:rsidR="00D7560A" w:rsidRDefault="00D7560A">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59E4BEC9"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BECA"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BECB" w14:textId="77777777" w:rsidR="00D7560A" w:rsidRDefault="00D7560A">
            <w:pPr>
              <w:widowControl/>
              <w:jc w:val="left"/>
              <w:rPr>
                <w:rFonts w:ascii="Times New Roman" w:eastAsia="宋体" w:hAnsi="宋体" w:cs="宋体"/>
                <w:kern w:val="0"/>
                <w:sz w:val="24"/>
              </w:rPr>
            </w:pPr>
          </w:p>
        </w:tc>
        <w:tc>
          <w:tcPr>
            <w:tcW w:w="325" w:type="pct"/>
            <w:tcBorders>
              <w:top w:val="nil"/>
              <w:left w:val="nil"/>
              <w:bottom w:val="nil"/>
              <w:right w:val="nil"/>
            </w:tcBorders>
            <w:shd w:val="clear" w:color="auto" w:fill="auto"/>
            <w:vAlign w:val="bottom"/>
          </w:tcPr>
          <w:p w14:paraId="59E4BECC"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BECD"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vAlign w:val="bottom"/>
          </w:tcPr>
          <w:p w14:paraId="59E4BECE" w14:textId="77777777" w:rsidR="00D7560A" w:rsidRDefault="00D7560A">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59E4BECF" w14:textId="77777777" w:rsidR="00D7560A" w:rsidRDefault="00D7560A">
            <w:pPr>
              <w:widowControl/>
              <w:jc w:val="left"/>
              <w:rPr>
                <w:rFonts w:ascii="Times New Roman" w:eastAsia="宋体" w:hAnsi="宋体" w:cs="宋体"/>
                <w:vanish/>
                <w:kern w:val="0"/>
                <w:sz w:val="24"/>
              </w:rPr>
            </w:pPr>
          </w:p>
        </w:tc>
      </w:tr>
      <w:tr w:rsidR="00D7560A" w14:paraId="59E4BED8"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BED1" w14:textId="77777777" w:rsidR="00D7560A" w:rsidRDefault="00D7560A">
            <w:pPr>
              <w:widowControl/>
              <w:jc w:val="left"/>
              <w:rPr>
                <w:rFonts w:ascii="Times New Roman" w:eastAsia="宋体" w:hAnsi="宋体" w:cs="宋体"/>
                <w:kern w:val="0"/>
                <w:sz w:val="24"/>
              </w:rPr>
            </w:pPr>
          </w:p>
        </w:tc>
        <w:tc>
          <w:tcPr>
            <w:tcW w:w="0" w:type="auto"/>
            <w:gridSpan w:val="27"/>
            <w:tcBorders>
              <w:top w:val="nil"/>
              <w:left w:val="nil"/>
              <w:bottom w:val="single" w:sz="8" w:space="0" w:color="000000"/>
              <w:right w:val="nil"/>
            </w:tcBorders>
            <w:shd w:val="clear" w:color="auto" w:fill="auto"/>
            <w:tcMar>
              <w:top w:w="40" w:type="dxa"/>
              <w:left w:w="20" w:type="dxa"/>
              <w:bottom w:w="40" w:type="dxa"/>
              <w:right w:w="20" w:type="dxa"/>
            </w:tcMar>
            <w:vAlign w:val="bottom"/>
          </w:tcPr>
          <w:p w14:paraId="59E4BED2"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Three Months Ended</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BED3" w14:textId="77777777" w:rsidR="00D7560A" w:rsidRDefault="00D7560A">
            <w:pPr>
              <w:widowControl/>
              <w:jc w:val="left"/>
              <w:rPr>
                <w:rFonts w:ascii="Times New Roman" w:eastAsia="宋体" w:hAnsi="宋体" w:cs="宋体"/>
                <w:kern w:val="0"/>
                <w:sz w:val="24"/>
              </w:rPr>
            </w:pPr>
          </w:p>
        </w:tc>
        <w:tc>
          <w:tcPr>
            <w:tcW w:w="0" w:type="auto"/>
            <w:gridSpan w:val="27"/>
            <w:tcBorders>
              <w:top w:val="nil"/>
              <w:left w:val="nil"/>
              <w:bottom w:val="single" w:sz="8" w:space="0" w:color="000000"/>
              <w:right w:val="nil"/>
            </w:tcBorders>
            <w:shd w:val="clear" w:color="auto" w:fill="auto"/>
            <w:tcMar>
              <w:top w:w="40" w:type="dxa"/>
              <w:left w:w="20" w:type="dxa"/>
              <w:bottom w:w="40" w:type="dxa"/>
              <w:right w:w="20" w:type="dxa"/>
            </w:tcMar>
            <w:vAlign w:val="bottom"/>
          </w:tcPr>
          <w:p w14:paraId="59E4BED4"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Six Months Ended</w:t>
            </w:r>
          </w:p>
        </w:tc>
        <w:tc>
          <w:tcPr>
            <w:tcW w:w="0" w:type="auto"/>
            <w:tcBorders>
              <w:top w:val="nil"/>
              <w:left w:val="nil"/>
              <w:bottom w:val="nil"/>
              <w:right w:val="nil"/>
            </w:tcBorders>
            <w:shd w:val="clear" w:color="auto" w:fill="auto"/>
            <w:vAlign w:val="bottom"/>
          </w:tcPr>
          <w:p w14:paraId="59E4BED5"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BED6"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BED7" w14:textId="77777777" w:rsidR="00D7560A" w:rsidRDefault="00D7560A">
            <w:pPr>
              <w:widowControl/>
              <w:jc w:val="left"/>
              <w:rPr>
                <w:rFonts w:ascii="Times New Roman" w:eastAsia="宋体" w:hAnsi="宋体" w:cs="宋体"/>
                <w:kern w:val="0"/>
                <w:sz w:val="24"/>
              </w:rPr>
            </w:pPr>
          </w:p>
        </w:tc>
      </w:tr>
      <w:tr w:rsidR="00D7560A" w14:paraId="59E4BEE7"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BED9" w14:textId="77777777" w:rsidR="00D7560A" w:rsidRDefault="00D7560A">
            <w:pPr>
              <w:widowControl/>
              <w:jc w:val="left"/>
              <w:rPr>
                <w:rFonts w:ascii="Times New Roman" w:eastAsia="宋体" w:hAnsi="宋体" w:cs="宋体"/>
                <w:kern w:val="0"/>
                <w:sz w:val="24"/>
              </w:rPr>
            </w:pPr>
          </w:p>
        </w:tc>
        <w:tc>
          <w:tcPr>
            <w:tcW w:w="0" w:type="auto"/>
            <w:gridSpan w:val="9"/>
            <w:tcBorders>
              <w:top w:val="single" w:sz="8" w:space="0" w:color="000000"/>
              <w:left w:val="nil"/>
              <w:bottom w:val="nil"/>
              <w:right w:val="nil"/>
            </w:tcBorders>
            <w:shd w:val="clear" w:color="auto" w:fill="auto"/>
            <w:tcMar>
              <w:top w:w="40" w:type="dxa"/>
              <w:left w:w="20" w:type="dxa"/>
              <w:bottom w:w="40" w:type="dxa"/>
              <w:right w:w="20" w:type="dxa"/>
            </w:tcMar>
            <w:vAlign w:val="bottom"/>
          </w:tcPr>
          <w:p w14:paraId="59E4BEDA"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July 29, 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59E4BEDB"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59E4BEDC"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59E4BEDD" w14:textId="77777777" w:rsidR="00D7560A" w:rsidRDefault="00D7560A">
            <w:pPr>
              <w:widowControl/>
              <w:jc w:val="left"/>
              <w:rPr>
                <w:rFonts w:ascii="Times New Roman" w:eastAsia="宋体" w:hAnsi="宋体" w:cs="宋体"/>
                <w:kern w:val="0"/>
                <w:sz w:val="24"/>
              </w:rPr>
            </w:pPr>
          </w:p>
        </w:tc>
        <w:tc>
          <w:tcPr>
            <w:tcW w:w="0" w:type="auto"/>
            <w:gridSpan w:val="9"/>
            <w:tcBorders>
              <w:top w:val="single" w:sz="8" w:space="0" w:color="000000"/>
              <w:left w:val="nil"/>
              <w:bottom w:val="nil"/>
              <w:right w:val="nil"/>
            </w:tcBorders>
            <w:shd w:val="clear" w:color="auto" w:fill="auto"/>
            <w:tcMar>
              <w:top w:w="40" w:type="dxa"/>
              <w:left w:w="20" w:type="dxa"/>
              <w:bottom w:w="40" w:type="dxa"/>
              <w:right w:w="20" w:type="dxa"/>
            </w:tcMar>
            <w:vAlign w:val="bottom"/>
          </w:tcPr>
          <w:p w14:paraId="59E4BEDE"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July 30, 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BEDF" w14:textId="77777777" w:rsidR="00D7560A" w:rsidRDefault="00D7560A">
            <w:pPr>
              <w:widowControl/>
              <w:jc w:val="left"/>
              <w:rPr>
                <w:rFonts w:ascii="Times New Roman" w:eastAsia="宋体" w:hAnsi="宋体" w:cs="宋体"/>
                <w:kern w:val="0"/>
                <w:sz w:val="24"/>
              </w:rPr>
            </w:pPr>
          </w:p>
        </w:tc>
        <w:tc>
          <w:tcPr>
            <w:tcW w:w="0" w:type="auto"/>
            <w:gridSpan w:val="9"/>
            <w:tcBorders>
              <w:top w:val="single" w:sz="8" w:space="0" w:color="000000"/>
              <w:left w:val="nil"/>
              <w:bottom w:val="nil"/>
              <w:right w:val="nil"/>
            </w:tcBorders>
            <w:shd w:val="clear" w:color="auto" w:fill="auto"/>
            <w:tcMar>
              <w:top w:w="40" w:type="dxa"/>
              <w:left w:w="20" w:type="dxa"/>
              <w:bottom w:w="40" w:type="dxa"/>
              <w:right w:w="20" w:type="dxa"/>
            </w:tcMar>
            <w:vAlign w:val="bottom"/>
          </w:tcPr>
          <w:p w14:paraId="59E4BEE0"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July 29, 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59E4BEE1"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59E4BEE2"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59E4BEE3" w14:textId="77777777" w:rsidR="00D7560A" w:rsidRDefault="00D7560A">
            <w:pPr>
              <w:widowControl/>
              <w:jc w:val="left"/>
              <w:rPr>
                <w:rFonts w:ascii="Times New Roman" w:eastAsia="宋体" w:hAnsi="宋体" w:cs="宋体"/>
                <w:kern w:val="0"/>
                <w:sz w:val="24"/>
              </w:rPr>
            </w:pPr>
          </w:p>
        </w:tc>
        <w:tc>
          <w:tcPr>
            <w:tcW w:w="0" w:type="auto"/>
            <w:gridSpan w:val="9"/>
            <w:tcBorders>
              <w:top w:val="single" w:sz="8" w:space="0" w:color="000000"/>
              <w:left w:val="nil"/>
              <w:bottom w:val="nil"/>
              <w:right w:val="nil"/>
            </w:tcBorders>
            <w:shd w:val="clear" w:color="auto" w:fill="auto"/>
            <w:tcMar>
              <w:top w:w="40" w:type="dxa"/>
              <w:left w:w="20" w:type="dxa"/>
              <w:bottom w:w="40" w:type="dxa"/>
              <w:right w:w="20" w:type="dxa"/>
            </w:tcMar>
            <w:vAlign w:val="bottom"/>
          </w:tcPr>
          <w:p w14:paraId="59E4BEE4"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July 30, 2021</w:t>
            </w:r>
          </w:p>
        </w:tc>
        <w:tc>
          <w:tcPr>
            <w:tcW w:w="0" w:type="auto"/>
            <w:gridSpan w:val="2"/>
            <w:tcBorders>
              <w:top w:val="nil"/>
              <w:left w:val="nil"/>
              <w:bottom w:val="nil"/>
              <w:right w:val="nil"/>
            </w:tcBorders>
            <w:shd w:val="clear" w:color="auto" w:fill="auto"/>
            <w:vAlign w:val="bottom"/>
          </w:tcPr>
          <w:p w14:paraId="59E4BEE5" w14:textId="77777777" w:rsidR="00D7560A" w:rsidRDefault="00D7560A">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59E4BEE6" w14:textId="77777777" w:rsidR="00D7560A" w:rsidRDefault="00D7560A">
            <w:pPr>
              <w:widowControl/>
              <w:jc w:val="left"/>
              <w:rPr>
                <w:rFonts w:ascii="Times New Roman" w:eastAsia="宋体" w:hAnsi="宋体" w:cs="宋体"/>
                <w:vanish/>
                <w:kern w:val="0"/>
                <w:sz w:val="24"/>
              </w:rPr>
            </w:pPr>
          </w:p>
        </w:tc>
      </w:tr>
      <w:tr w:rsidR="00D7560A" w14:paraId="59E4BEFE"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BEE8"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59E4BEE9"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Dollars</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59E4BEEA"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59E4BEEB"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 of Net Revenue</w:t>
            </w: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59E4BEEC"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auto"/>
            <w:tcMar>
              <w:top w:w="40" w:type="dxa"/>
              <w:left w:w="20" w:type="dxa"/>
              <w:bottom w:w="40" w:type="dxa"/>
              <w:right w:w="20" w:type="dxa"/>
            </w:tcMar>
            <w:vAlign w:val="bottom"/>
          </w:tcPr>
          <w:p w14:paraId="59E4BEED"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w:t>
            </w:r>
            <w:r>
              <w:rPr>
                <w:rFonts w:ascii="Times New Roman" w:eastAsia="宋体" w:hAnsi="Times New Roman" w:cs="Times New Roman"/>
                <w:b/>
                <w:bCs/>
                <w:color w:val="000000"/>
                <w:kern w:val="0"/>
                <w:sz w:val="18"/>
                <w:szCs w:val="18"/>
                <w:lang w:bidi="ar"/>
              </w:rPr>
              <w:br/>
              <w:t>Change</w:t>
            </w: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59E4BEEE"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59E4BEEF"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Dollars</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59E4BEF0"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59E4BEF1"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 of Net Revenue</w:t>
            </w: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59E4BEF2"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59E4BEF3"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Dollars</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59E4BEF4"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59E4BEF5"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 of Net Revenue</w:t>
            </w: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59E4BEF6"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auto"/>
            <w:tcMar>
              <w:top w:w="40" w:type="dxa"/>
              <w:left w:w="20" w:type="dxa"/>
              <w:bottom w:w="40" w:type="dxa"/>
              <w:right w:w="20" w:type="dxa"/>
            </w:tcMar>
            <w:vAlign w:val="bottom"/>
          </w:tcPr>
          <w:p w14:paraId="59E4BEF7"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w:t>
            </w:r>
            <w:r>
              <w:rPr>
                <w:rFonts w:ascii="Times New Roman" w:eastAsia="宋体" w:hAnsi="Times New Roman" w:cs="Times New Roman"/>
                <w:b/>
                <w:bCs/>
                <w:color w:val="000000"/>
                <w:kern w:val="0"/>
                <w:sz w:val="18"/>
                <w:szCs w:val="18"/>
                <w:lang w:bidi="ar"/>
              </w:rPr>
              <w:br/>
              <w:t>Change</w:t>
            </w: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59E4BEF8"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59E4BEF9"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Dollars</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59E4BEFA"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59E4BEFB"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 of Net Revenue</w:t>
            </w:r>
          </w:p>
        </w:tc>
        <w:tc>
          <w:tcPr>
            <w:tcW w:w="0" w:type="auto"/>
            <w:gridSpan w:val="2"/>
            <w:tcBorders>
              <w:top w:val="nil"/>
              <w:left w:val="nil"/>
              <w:bottom w:val="nil"/>
              <w:right w:val="nil"/>
            </w:tcBorders>
            <w:shd w:val="clear" w:color="auto" w:fill="auto"/>
            <w:vAlign w:val="bottom"/>
          </w:tcPr>
          <w:p w14:paraId="59E4BEFC" w14:textId="77777777" w:rsidR="00D7560A" w:rsidRDefault="00D7560A">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59E4BEFD" w14:textId="77777777" w:rsidR="00D7560A" w:rsidRDefault="00D7560A">
            <w:pPr>
              <w:widowControl/>
              <w:jc w:val="left"/>
              <w:rPr>
                <w:rFonts w:ascii="Times New Roman" w:eastAsia="宋体" w:hAnsi="宋体" w:cs="宋体"/>
                <w:vanish/>
                <w:kern w:val="0"/>
                <w:sz w:val="24"/>
              </w:rPr>
            </w:pPr>
          </w:p>
        </w:tc>
      </w:tr>
      <w:tr w:rsidR="00D7560A" w14:paraId="59E4BF04"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BEFF" w14:textId="77777777" w:rsidR="00D7560A" w:rsidRDefault="00D7560A">
            <w:pPr>
              <w:widowControl/>
              <w:jc w:val="left"/>
              <w:rPr>
                <w:rFonts w:ascii="Times New Roman" w:eastAsia="宋体" w:hAnsi="宋体" w:cs="宋体"/>
                <w:kern w:val="0"/>
                <w:sz w:val="24"/>
              </w:rPr>
            </w:pPr>
          </w:p>
        </w:tc>
        <w:tc>
          <w:tcPr>
            <w:tcW w:w="0" w:type="auto"/>
            <w:gridSpan w:val="57"/>
            <w:tcBorders>
              <w:top w:val="single" w:sz="8" w:space="0" w:color="000000"/>
              <w:left w:val="nil"/>
              <w:bottom w:val="nil"/>
              <w:right w:val="nil"/>
            </w:tcBorders>
            <w:shd w:val="clear" w:color="auto" w:fill="auto"/>
            <w:tcMar>
              <w:top w:w="40" w:type="dxa"/>
              <w:left w:w="20" w:type="dxa"/>
              <w:bottom w:w="40" w:type="dxa"/>
              <w:right w:w="20" w:type="dxa"/>
            </w:tcMar>
            <w:vAlign w:val="bottom"/>
          </w:tcPr>
          <w:p w14:paraId="59E4BF00"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(in millions, except percentages)</w:t>
            </w:r>
          </w:p>
        </w:tc>
        <w:tc>
          <w:tcPr>
            <w:tcW w:w="0" w:type="auto"/>
            <w:tcBorders>
              <w:top w:val="nil"/>
              <w:left w:val="nil"/>
              <w:bottom w:val="nil"/>
              <w:right w:val="nil"/>
            </w:tcBorders>
            <w:shd w:val="clear" w:color="auto" w:fill="auto"/>
            <w:vAlign w:val="bottom"/>
          </w:tcPr>
          <w:p w14:paraId="59E4BF01"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BF02"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BF03" w14:textId="77777777" w:rsidR="00D7560A" w:rsidRDefault="00D7560A">
            <w:pPr>
              <w:widowControl/>
              <w:jc w:val="left"/>
              <w:rPr>
                <w:rFonts w:ascii="Times New Roman" w:eastAsia="宋体" w:hAnsi="宋体" w:cs="宋体"/>
                <w:kern w:val="0"/>
                <w:sz w:val="24"/>
              </w:rPr>
            </w:pPr>
          </w:p>
        </w:tc>
      </w:tr>
      <w:tr w:rsidR="00D7560A" w14:paraId="59E4BF1B"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9E4BF05"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i/>
                <w:iCs/>
                <w:color w:val="000000"/>
                <w:kern w:val="0"/>
                <w:sz w:val="18"/>
                <w:szCs w:val="18"/>
                <w:lang w:bidi="ar"/>
              </w:rPr>
              <w:t>Operating expenses:</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F06"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F07"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F08"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F09"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F0A"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F0B"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F0C"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F0D"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F0E"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F0F"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F10"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F11"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F12"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F13"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F14"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F15"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F16"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F17"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F18"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vAlign w:val="bottom"/>
          </w:tcPr>
          <w:p w14:paraId="59E4BF19" w14:textId="77777777" w:rsidR="00D7560A" w:rsidRDefault="00D7560A">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59E4BF1A" w14:textId="77777777" w:rsidR="00D7560A" w:rsidRDefault="00D7560A">
            <w:pPr>
              <w:widowControl/>
              <w:jc w:val="left"/>
              <w:rPr>
                <w:rFonts w:ascii="Times New Roman" w:eastAsia="宋体" w:hAnsi="宋体" w:cs="宋体"/>
                <w:vanish/>
                <w:kern w:val="0"/>
                <w:sz w:val="24"/>
              </w:rPr>
            </w:pPr>
          </w:p>
        </w:tc>
      </w:tr>
      <w:tr w:rsidR="001E3CAB" w14:paraId="59E4BF40" w14:textId="77777777">
        <w:trPr>
          <w:jc w:val="center"/>
        </w:trPr>
        <w:tc>
          <w:tcPr>
            <w:tcW w:w="0" w:type="auto"/>
            <w:gridSpan w:val="3"/>
            <w:tcBorders>
              <w:top w:val="nil"/>
              <w:left w:val="nil"/>
              <w:bottom w:val="nil"/>
              <w:right w:val="nil"/>
            </w:tcBorders>
            <w:shd w:val="clear" w:color="auto" w:fill="FFFFFF"/>
            <w:tcMar>
              <w:top w:w="40" w:type="dxa"/>
              <w:left w:w="155" w:type="dxa"/>
              <w:bottom w:w="40" w:type="dxa"/>
              <w:right w:w="20" w:type="dxa"/>
            </w:tcMar>
            <w:vAlign w:val="center"/>
          </w:tcPr>
          <w:p w14:paraId="59E4BF1C" w14:textId="77777777" w:rsidR="00D7560A" w:rsidRDefault="001E3CAB">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18"/>
                <w:szCs w:val="18"/>
                <w:lang w:bidi="ar"/>
              </w:rPr>
              <w:t>Selling, general, and administrative</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9E4BF1D"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9E4BF1E"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3,543 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BF1F"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F20"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BF21"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13.4 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BF22"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F23"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BF24"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(6)</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BF25"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F26"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9E4BF27"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9E4BF28"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3,761 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BF29"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F2A"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BF2B"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15.5 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BF2C"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F2D"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9E4BF2E"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9E4BF2F"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7,096 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BF30"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F31"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BF32"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13.5 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BF33"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F34"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BF35"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BF36"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F37"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9E4BF38"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9E4BF39"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7,419 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BF3A"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F3B"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BF3C"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15.9 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BF3D"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gridSpan w:val="2"/>
            <w:tcBorders>
              <w:top w:val="nil"/>
              <w:left w:val="nil"/>
              <w:bottom w:val="nil"/>
              <w:right w:val="nil"/>
            </w:tcBorders>
            <w:shd w:val="clear" w:color="auto" w:fill="auto"/>
            <w:vAlign w:val="bottom"/>
          </w:tcPr>
          <w:p w14:paraId="59E4BF3E" w14:textId="77777777" w:rsidR="00D7560A" w:rsidRDefault="00D7560A">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59E4BF3F" w14:textId="77777777" w:rsidR="00D7560A" w:rsidRDefault="00D7560A">
            <w:pPr>
              <w:widowControl/>
              <w:jc w:val="left"/>
              <w:rPr>
                <w:rFonts w:ascii="Times New Roman" w:eastAsia="宋体" w:hAnsi="宋体" w:cs="宋体"/>
                <w:vanish/>
                <w:kern w:val="0"/>
                <w:sz w:val="24"/>
              </w:rPr>
            </w:pPr>
          </w:p>
        </w:tc>
      </w:tr>
      <w:tr w:rsidR="001E3CAB" w14:paraId="59E4BF61" w14:textId="77777777">
        <w:trPr>
          <w:jc w:val="center"/>
        </w:trPr>
        <w:tc>
          <w:tcPr>
            <w:tcW w:w="0" w:type="auto"/>
            <w:gridSpan w:val="3"/>
            <w:tcBorders>
              <w:top w:val="nil"/>
              <w:left w:val="nil"/>
              <w:bottom w:val="nil"/>
              <w:right w:val="nil"/>
            </w:tcBorders>
            <w:shd w:val="clear" w:color="auto" w:fill="CCEEFF"/>
            <w:tcMar>
              <w:top w:w="40" w:type="dxa"/>
              <w:left w:w="155" w:type="dxa"/>
              <w:bottom w:w="40" w:type="dxa"/>
              <w:right w:w="20" w:type="dxa"/>
            </w:tcMar>
            <w:vAlign w:val="bottom"/>
          </w:tcPr>
          <w:p w14:paraId="59E4BF41"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Research and development</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BF42"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626 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F43"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F44"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BF45"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2.4 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F46"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F47"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BF48"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(10)</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F49"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F4A"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BF4B"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697 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F4C"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F4D"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BF4E"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2.9 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F4F"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F50"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BF51"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1,307 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F52"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F53"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BF54"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2.5 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F55"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F56"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BF57"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(1)</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F58"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F59"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BF5A"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1,316 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F5B"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F5C"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BF5D"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2.8 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F5E"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gridSpan w:val="2"/>
            <w:tcBorders>
              <w:top w:val="nil"/>
              <w:left w:val="nil"/>
              <w:bottom w:val="nil"/>
              <w:right w:val="nil"/>
            </w:tcBorders>
            <w:shd w:val="clear" w:color="auto" w:fill="auto"/>
            <w:vAlign w:val="bottom"/>
          </w:tcPr>
          <w:p w14:paraId="59E4BF5F" w14:textId="77777777" w:rsidR="00D7560A" w:rsidRDefault="00D7560A">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59E4BF60" w14:textId="77777777" w:rsidR="00D7560A" w:rsidRDefault="00D7560A">
            <w:pPr>
              <w:widowControl/>
              <w:jc w:val="left"/>
              <w:rPr>
                <w:rFonts w:ascii="Times New Roman" w:eastAsia="宋体" w:hAnsi="宋体" w:cs="宋体"/>
                <w:vanish/>
                <w:kern w:val="0"/>
                <w:sz w:val="24"/>
              </w:rPr>
            </w:pPr>
          </w:p>
        </w:tc>
      </w:tr>
      <w:tr w:rsidR="001E3CAB" w14:paraId="59E4BF86" w14:textId="77777777">
        <w:trPr>
          <w:jc w:val="center"/>
        </w:trPr>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59E4BF62"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Total operating expenses</w:t>
            </w: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59E4BF63"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59E4BF64"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4,169 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59E4BF65"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F66"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BF67"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15.8 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BF68"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F69"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BF6A"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(6)</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BF6B"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F6C"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59E4BF6D"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59E4BF6E"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4,458 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59E4BF6F"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F70"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BF71"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18.4 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BF72"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F73"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59E4BF74"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59E4BF75"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8,403 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59E4BF76"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F77"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BF78"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16.0 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BF79"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F7A"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BF7B"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BF7C"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F7D"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59E4BF7E"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59E4BF7F"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8,735 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59E4BF80"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BF81"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BF82"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18.7 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BF83"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gridSpan w:val="2"/>
            <w:tcBorders>
              <w:top w:val="nil"/>
              <w:left w:val="nil"/>
              <w:bottom w:val="nil"/>
              <w:right w:val="nil"/>
            </w:tcBorders>
            <w:shd w:val="clear" w:color="auto" w:fill="auto"/>
            <w:vAlign w:val="bottom"/>
          </w:tcPr>
          <w:p w14:paraId="59E4BF84" w14:textId="77777777" w:rsidR="00D7560A" w:rsidRDefault="00D7560A">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59E4BF85" w14:textId="77777777" w:rsidR="00D7560A" w:rsidRDefault="00D7560A">
            <w:pPr>
              <w:widowControl/>
              <w:jc w:val="left"/>
              <w:rPr>
                <w:rFonts w:ascii="Times New Roman" w:eastAsia="宋体" w:hAnsi="宋体" w:cs="宋体"/>
                <w:vanish/>
                <w:kern w:val="0"/>
                <w:sz w:val="24"/>
              </w:rPr>
            </w:pPr>
          </w:p>
        </w:tc>
      </w:tr>
      <w:tr w:rsidR="00D7560A" w14:paraId="59E4BF9D" w14:textId="77777777">
        <w:trPr>
          <w:trHeight w:val="180"/>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BF87" w14:textId="77777777" w:rsidR="00D7560A" w:rsidRDefault="00D7560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vAlign w:val="bottom"/>
          </w:tcPr>
          <w:p w14:paraId="59E4BF88"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BF89"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BF8A"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BF8B"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BF8C"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BF8D" w14:textId="77777777" w:rsidR="00D7560A" w:rsidRDefault="00D7560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vAlign w:val="bottom"/>
          </w:tcPr>
          <w:p w14:paraId="59E4BF8E"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BF8F"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BF90"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BF91" w14:textId="77777777" w:rsidR="00D7560A" w:rsidRDefault="00D7560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vAlign w:val="bottom"/>
          </w:tcPr>
          <w:p w14:paraId="59E4BF92"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BF93"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BF94"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BF95"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BF96"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BF97" w14:textId="77777777" w:rsidR="00D7560A" w:rsidRDefault="00D7560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vAlign w:val="bottom"/>
          </w:tcPr>
          <w:p w14:paraId="59E4BF98"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BF99"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BF9A"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vAlign w:val="bottom"/>
          </w:tcPr>
          <w:p w14:paraId="59E4BF9B" w14:textId="77777777" w:rsidR="00D7560A" w:rsidRDefault="00D7560A">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59E4BF9C" w14:textId="77777777" w:rsidR="00D7560A" w:rsidRDefault="00D7560A">
            <w:pPr>
              <w:widowControl/>
              <w:jc w:val="left"/>
              <w:rPr>
                <w:rFonts w:ascii="Times New Roman" w:eastAsia="宋体" w:hAnsi="宋体" w:cs="宋体"/>
                <w:vanish/>
                <w:kern w:val="0"/>
                <w:sz w:val="24"/>
              </w:rPr>
            </w:pPr>
          </w:p>
        </w:tc>
      </w:tr>
      <w:tr w:rsidR="00D7560A" w14:paraId="59E4BFA5"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BF9E" w14:textId="77777777" w:rsidR="00D7560A" w:rsidRDefault="00D7560A">
            <w:pPr>
              <w:widowControl/>
              <w:jc w:val="left"/>
              <w:rPr>
                <w:rFonts w:ascii="Times New Roman" w:eastAsia="宋体" w:hAnsi="宋体" w:cs="宋体"/>
                <w:kern w:val="0"/>
                <w:sz w:val="24"/>
              </w:rPr>
            </w:pPr>
          </w:p>
        </w:tc>
        <w:tc>
          <w:tcPr>
            <w:tcW w:w="0" w:type="auto"/>
            <w:gridSpan w:val="27"/>
            <w:tcBorders>
              <w:top w:val="nil"/>
              <w:left w:val="nil"/>
              <w:bottom w:val="single" w:sz="8" w:space="0" w:color="000000"/>
              <w:right w:val="nil"/>
            </w:tcBorders>
            <w:shd w:val="clear" w:color="auto" w:fill="auto"/>
            <w:tcMar>
              <w:top w:w="40" w:type="dxa"/>
              <w:left w:w="20" w:type="dxa"/>
              <w:bottom w:w="40" w:type="dxa"/>
              <w:right w:w="20" w:type="dxa"/>
            </w:tcMar>
            <w:vAlign w:val="bottom"/>
          </w:tcPr>
          <w:p w14:paraId="59E4BF9F"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Three Months Ended</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BFA0" w14:textId="77777777" w:rsidR="00D7560A" w:rsidRDefault="00D7560A">
            <w:pPr>
              <w:widowControl/>
              <w:jc w:val="left"/>
              <w:rPr>
                <w:rFonts w:ascii="Times New Roman" w:eastAsia="宋体" w:hAnsi="宋体" w:cs="宋体"/>
                <w:kern w:val="0"/>
                <w:sz w:val="24"/>
              </w:rPr>
            </w:pPr>
          </w:p>
        </w:tc>
        <w:tc>
          <w:tcPr>
            <w:tcW w:w="0" w:type="auto"/>
            <w:gridSpan w:val="27"/>
            <w:tcBorders>
              <w:top w:val="nil"/>
              <w:left w:val="nil"/>
              <w:bottom w:val="single" w:sz="8" w:space="0" w:color="000000"/>
              <w:right w:val="nil"/>
            </w:tcBorders>
            <w:shd w:val="clear" w:color="auto" w:fill="auto"/>
            <w:tcMar>
              <w:top w:w="40" w:type="dxa"/>
              <w:left w:w="20" w:type="dxa"/>
              <w:bottom w:w="40" w:type="dxa"/>
              <w:right w:w="20" w:type="dxa"/>
            </w:tcMar>
            <w:vAlign w:val="bottom"/>
          </w:tcPr>
          <w:p w14:paraId="59E4BFA1"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Six Months Ended</w:t>
            </w:r>
          </w:p>
        </w:tc>
        <w:tc>
          <w:tcPr>
            <w:tcW w:w="0" w:type="auto"/>
            <w:tcBorders>
              <w:top w:val="nil"/>
              <w:left w:val="nil"/>
              <w:bottom w:val="nil"/>
              <w:right w:val="nil"/>
            </w:tcBorders>
            <w:shd w:val="clear" w:color="auto" w:fill="auto"/>
            <w:vAlign w:val="bottom"/>
          </w:tcPr>
          <w:p w14:paraId="59E4BFA2"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BFA3"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BFA4" w14:textId="77777777" w:rsidR="00D7560A" w:rsidRDefault="00D7560A">
            <w:pPr>
              <w:widowControl/>
              <w:jc w:val="left"/>
              <w:rPr>
                <w:rFonts w:ascii="Times New Roman" w:eastAsia="宋体" w:hAnsi="宋体" w:cs="宋体"/>
                <w:kern w:val="0"/>
                <w:sz w:val="24"/>
              </w:rPr>
            </w:pPr>
          </w:p>
        </w:tc>
      </w:tr>
      <w:tr w:rsidR="00D7560A" w14:paraId="59E4BFB4"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BFA6" w14:textId="77777777" w:rsidR="00D7560A" w:rsidRDefault="00D7560A">
            <w:pPr>
              <w:widowControl/>
              <w:jc w:val="left"/>
              <w:rPr>
                <w:rFonts w:ascii="Times New Roman" w:eastAsia="宋体" w:hAnsi="宋体" w:cs="宋体"/>
                <w:kern w:val="0"/>
                <w:sz w:val="24"/>
              </w:rPr>
            </w:pPr>
          </w:p>
        </w:tc>
        <w:tc>
          <w:tcPr>
            <w:tcW w:w="0" w:type="auto"/>
            <w:gridSpan w:val="9"/>
            <w:tcBorders>
              <w:top w:val="single" w:sz="8" w:space="0" w:color="000000"/>
              <w:left w:val="nil"/>
              <w:bottom w:val="nil"/>
              <w:right w:val="nil"/>
            </w:tcBorders>
            <w:shd w:val="clear" w:color="auto" w:fill="auto"/>
            <w:tcMar>
              <w:top w:w="40" w:type="dxa"/>
              <w:left w:w="20" w:type="dxa"/>
              <w:bottom w:w="40" w:type="dxa"/>
              <w:right w:w="20" w:type="dxa"/>
            </w:tcMar>
            <w:vAlign w:val="bottom"/>
          </w:tcPr>
          <w:p w14:paraId="59E4BFA7"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July 29, 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59E4BFA8"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59E4BFA9"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59E4BFAA" w14:textId="77777777" w:rsidR="00D7560A" w:rsidRDefault="00D7560A">
            <w:pPr>
              <w:widowControl/>
              <w:jc w:val="left"/>
              <w:rPr>
                <w:rFonts w:ascii="Times New Roman" w:eastAsia="宋体" w:hAnsi="宋体" w:cs="宋体"/>
                <w:kern w:val="0"/>
                <w:sz w:val="24"/>
              </w:rPr>
            </w:pPr>
          </w:p>
        </w:tc>
        <w:tc>
          <w:tcPr>
            <w:tcW w:w="0" w:type="auto"/>
            <w:gridSpan w:val="9"/>
            <w:tcBorders>
              <w:top w:val="single" w:sz="8" w:space="0" w:color="000000"/>
              <w:left w:val="nil"/>
              <w:bottom w:val="nil"/>
              <w:right w:val="nil"/>
            </w:tcBorders>
            <w:shd w:val="clear" w:color="auto" w:fill="auto"/>
            <w:tcMar>
              <w:top w:w="40" w:type="dxa"/>
              <w:left w:w="20" w:type="dxa"/>
              <w:bottom w:w="40" w:type="dxa"/>
              <w:right w:w="20" w:type="dxa"/>
            </w:tcMar>
            <w:vAlign w:val="bottom"/>
          </w:tcPr>
          <w:p w14:paraId="59E4BFAB"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July 30, 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BFAC" w14:textId="77777777" w:rsidR="00D7560A" w:rsidRDefault="00D7560A">
            <w:pPr>
              <w:widowControl/>
              <w:jc w:val="left"/>
              <w:rPr>
                <w:rFonts w:ascii="Times New Roman" w:eastAsia="宋体" w:hAnsi="宋体" w:cs="宋体"/>
                <w:kern w:val="0"/>
                <w:sz w:val="24"/>
              </w:rPr>
            </w:pPr>
          </w:p>
        </w:tc>
        <w:tc>
          <w:tcPr>
            <w:tcW w:w="0" w:type="auto"/>
            <w:gridSpan w:val="9"/>
            <w:tcBorders>
              <w:top w:val="single" w:sz="8" w:space="0" w:color="000000"/>
              <w:left w:val="nil"/>
              <w:bottom w:val="nil"/>
              <w:right w:val="nil"/>
            </w:tcBorders>
            <w:shd w:val="clear" w:color="auto" w:fill="auto"/>
            <w:tcMar>
              <w:top w:w="40" w:type="dxa"/>
              <w:left w:w="20" w:type="dxa"/>
              <w:bottom w:w="40" w:type="dxa"/>
              <w:right w:w="20" w:type="dxa"/>
            </w:tcMar>
            <w:vAlign w:val="bottom"/>
          </w:tcPr>
          <w:p w14:paraId="59E4BFAD"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July 29, 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59E4BFAE"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59E4BFAF"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59E4BFB0" w14:textId="77777777" w:rsidR="00D7560A" w:rsidRDefault="00D7560A">
            <w:pPr>
              <w:widowControl/>
              <w:jc w:val="left"/>
              <w:rPr>
                <w:rFonts w:ascii="Times New Roman" w:eastAsia="宋体" w:hAnsi="宋体" w:cs="宋体"/>
                <w:kern w:val="0"/>
                <w:sz w:val="24"/>
              </w:rPr>
            </w:pPr>
          </w:p>
        </w:tc>
        <w:tc>
          <w:tcPr>
            <w:tcW w:w="0" w:type="auto"/>
            <w:gridSpan w:val="9"/>
            <w:tcBorders>
              <w:top w:val="single" w:sz="8" w:space="0" w:color="000000"/>
              <w:left w:val="nil"/>
              <w:bottom w:val="nil"/>
              <w:right w:val="nil"/>
            </w:tcBorders>
            <w:shd w:val="clear" w:color="auto" w:fill="auto"/>
            <w:tcMar>
              <w:top w:w="40" w:type="dxa"/>
              <w:left w:w="20" w:type="dxa"/>
              <w:bottom w:w="40" w:type="dxa"/>
              <w:right w:w="20" w:type="dxa"/>
            </w:tcMar>
            <w:vAlign w:val="bottom"/>
          </w:tcPr>
          <w:p w14:paraId="59E4BFB1"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July 30, 2021</w:t>
            </w:r>
          </w:p>
        </w:tc>
        <w:tc>
          <w:tcPr>
            <w:tcW w:w="0" w:type="auto"/>
            <w:gridSpan w:val="2"/>
            <w:tcBorders>
              <w:top w:val="nil"/>
              <w:left w:val="nil"/>
              <w:bottom w:val="nil"/>
              <w:right w:val="nil"/>
            </w:tcBorders>
            <w:shd w:val="clear" w:color="auto" w:fill="auto"/>
            <w:vAlign w:val="bottom"/>
          </w:tcPr>
          <w:p w14:paraId="59E4BFB2" w14:textId="77777777" w:rsidR="00D7560A" w:rsidRDefault="00D7560A">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59E4BFB3" w14:textId="77777777" w:rsidR="00D7560A" w:rsidRDefault="00D7560A">
            <w:pPr>
              <w:widowControl/>
              <w:jc w:val="left"/>
              <w:rPr>
                <w:rFonts w:ascii="Times New Roman" w:eastAsia="宋体" w:hAnsi="宋体" w:cs="宋体"/>
                <w:vanish/>
                <w:kern w:val="0"/>
                <w:sz w:val="24"/>
              </w:rPr>
            </w:pPr>
          </w:p>
        </w:tc>
      </w:tr>
      <w:tr w:rsidR="00D7560A" w14:paraId="59E4BFCB"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BFB5"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59E4BFB6"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Dollars</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59E4BFB7"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59E4BFB8"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 of Net Revenue</w:t>
            </w: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59E4BFB9"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auto"/>
            <w:tcMar>
              <w:top w:w="40" w:type="dxa"/>
              <w:left w:w="20" w:type="dxa"/>
              <w:bottom w:w="40" w:type="dxa"/>
              <w:right w:w="20" w:type="dxa"/>
            </w:tcMar>
            <w:vAlign w:val="bottom"/>
          </w:tcPr>
          <w:p w14:paraId="59E4BFBA"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w:t>
            </w:r>
            <w:r>
              <w:rPr>
                <w:rFonts w:ascii="Times New Roman" w:eastAsia="宋体" w:hAnsi="Times New Roman" w:cs="Times New Roman"/>
                <w:b/>
                <w:bCs/>
                <w:color w:val="000000"/>
                <w:kern w:val="0"/>
                <w:sz w:val="18"/>
                <w:szCs w:val="18"/>
                <w:lang w:bidi="ar"/>
              </w:rPr>
              <w:br/>
              <w:t>Change</w:t>
            </w: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59E4BFBB"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59E4BFBC"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Dollars</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59E4BFBD"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59E4BFBE"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 of Net Revenue</w:t>
            </w: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59E4BFBF"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59E4BFC0"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Dollars</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59E4BFC1"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59E4BFC2"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 of Net Revenue</w:t>
            </w: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59E4BFC3"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auto"/>
            <w:tcMar>
              <w:top w:w="40" w:type="dxa"/>
              <w:left w:w="20" w:type="dxa"/>
              <w:bottom w:w="40" w:type="dxa"/>
              <w:right w:w="20" w:type="dxa"/>
            </w:tcMar>
            <w:vAlign w:val="bottom"/>
          </w:tcPr>
          <w:p w14:paraId="59E4BFC4"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w:t>
            </w:r>
            <w:r>
              <w:rPr>
                <w:rFonts w:ascii="Times New Roman" w:eastAsia="宋体" w:hAnsi="Times New Roman" w:cs="Times New Roman"/>
                <w:b/>
                <w:bCs/>
                <w:color w:val="000000"/>
                <w:kern w:val="0"/>
                <w:sz w:val="18"/>
                <w:szCs w:val="18"/>
                <w:lang w:bidi="ar"/>
              </w:rPr>
              <w:br/>
              <w:t>Change</w:t>
            </w: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59E4BFC5"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59E4BFC6"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Dollars</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59E4BFC7"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59E4BFC8"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 of Net Revenue</w:t>
            </w:r>
          </w:p>
        </w:tc>
        <w:tc>
          <w:tcPr>
            <w:tcW w:w="0" w:type="auto"/>
            <w:gridSpan w:val="2"/>
            <w:tcBorders>
              <w:top w:val="nil"/>
              <w:left w:val="nil"/>
              <w:bottom w:val="nil"/>
              <w:right w:val="nil"/>
            </w:tcBorders>
            <w:shd w:val="clear" w:color="auto" w:fill="auto"/>
            <w:vAlign w:val="bottom"/>
          </w:tcPr>
          <w:p w14:paraId="59E4BFC9" w14:textId="77777777" w:rsidR="00D7560A" w:rsidRDefault="00D7560A">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59E4BFCA" w14:textId="77777777" w:rsidR="00D7560A" w:rsidRDefault="00D7560A">
            <w:pPr>
              <w:widowControl/>
              <w:jc w:val="left"/>
              <w:rPr>
                <w:rFonts w:ascii="Times New Roman" w:eastAsia="宋体" w:hAnsi="宋体" w:cs="宋体"/>
                <w:vanish/>
                <w:kern w:val="0"/>
                <w:sz w:val="24"/>
              </w:rPr>
            </w:pPr>
          </w:p>
        </w:tc>
      </w:tr>
      <w:tr w:rsidR="00D7560A" w14:paraId="59E4BFD1"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BFCC" w14:textId="77777777" w:rsidR="00D7560A" w:rsidRDefault="00D7560A">
            <w:pPr>
              <w:widowControl/>
              <w:jc w:val="left"/>
              <w:rPr>
                <w:rFonts w:ascii="Times New Roman" w:eastAsia="宋体" w:hAnsi="宋体" w:cs="宋体"/>
                <w:kern w:val="0"/>
                <w:sz w:val="24"/>
              </w:rPr>
            </w:pPr>
          </w:p>
        </w:tc>
        <w:tc>
          <w:tcPr>
            <w:tcW w:w="0" w:type="auto"/>
            <w:gridSpan w:val="57"/>
            <w:tcBorders>
              <w:top w:val="single" w:sz="8" w:space="0" w:color="000000"/>
              <w:left w:val="nil"/>
              <w:bottom w:val="nil"/>
              <w:right w:val="nil"/>
            </w:tcBorders>
            <w:shd w:val="clear" w:color="auto" w:fill="auto"/>
            <w:tcMar>
              <w:top w:w="40" w:type="dxa"/>
              <w:left w:w="20" w:type="dxa"/>
              <w:bottom w:w="40" w:type="dxa"/>
              <w:right w:w="20" w:type="dxa"/>
            </w:tcMar>
            <w:vAlign w:val="bottom"/>
          </w:tcPr>
          <w:p w14:paraId="59E4BFCD"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(in millions, except percentages)</w:t>
            </w:r>
          </w:p>
        </w:tc>
        <w:tc>
          <w:tcPr>
            <w:tcW w:w="0" w:type="auto"/>
            <w:tcBorders>
              <w:top w:val="nil"/>
              <w:left w:val="nil"/>
              <w:bottom w:val="nil"/>
              <w:right w:val="nil"/>
            </w:tcBorders>
            <w:shd w:val="clear" w:color="auto" w:fill="auto"/>
            <w:vAlign w:val="bottom"/>
          </w:tcPr>
          <w:p w14:paraId="59E4BFCE"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BFCF"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BFD0" w14:textId="77777777" w:rsidR="00D7560A" w:rsidRDefault="00D7560A">
            <w:pPr>
              <w:widowControl/>
              <w:jc w:val="left"/>
              <w:rPr>
                <w:rFonts w:ascii="Times New Roman" w:eastAsia="宋体" w:hAnsi="宋体" w:cs="宋体"/>
                <w:kern w:val="0"/>
                <w:sz w:val="24"/>
              </w:rPr>
            </w:pPr>
          </w:p>
        </w:tc>
      </w:tr>
      <w:tr w:rsidR="001E3CAB" w14:paraId="59E4BFF6"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9E4BFD2"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Non-GAAP operating expenses</w:t>
            </w: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9E4BFD3"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9E4BFD4"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3,698 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FD5"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FD6"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BFD7"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14.0 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FD8"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FD9"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BFDA"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(3)</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FDB"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FDC"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9E4BFDD"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9E4BFDE"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3,805 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FDF"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FE0"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BFE1"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15.7 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FE2"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FE3"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9E4BFE4"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9E4BFE5"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7,504 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FE6"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FE7"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BFE8"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14.3 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FE9"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FEA"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BFEB"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FEC"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FED"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9E4BFEE"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9E4BFEF"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7,499 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FF0"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BFF1"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BFF2"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16.0 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BFF3"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gridSpan w:val="2"/>
            <w:tcBorders>
              <w:top w:val="nil"/>
              <w:left w:val="nil"/>
              <w:bottom w:val="nil"/>
              <w:right w:val="nil"/>
            </w:tcBorders>
            <w:shd w:val="clear" w:color="auto" w:fill="auto"/>
            <w:vAlign w:val="bottom"/>
          </w:tcPr>
          <w:p w14:paraId="59E4BFF4" w14:textId="77777777" w:rsidR="00D7560A" w:rsidRDefault="00D7560A">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59E4BFF5" w14:textId="77777777" w:rsidR="00D7560A" w:rsidRDefault="00D7560A">
            <w:pPr>
              <w:widowControl/>
              <w:jc w:val="left"/>
              <w:rPr>
                <w:rFonts w:ascii="Times New Roman" w:eastAsia="宋体" w:hAnsi="宋体" w:cs="宋体"/>
                <w:vanish/>
                <w:kern w:val="0"/>
                <w:sz w:val="24"/>
              </w:rPr>
            </w:pPr>
          </w:p>
        </w:tc>
      </w:tr>
    </w:tbl>
    <w:p w14:paraId="59E4BFF7"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BFF8"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During the second quarter and firs</w:t>
      </w:r>
      <w:r>
        <w:rPr>
          <w:rFonts w:ascii="Times New Roman" w:eastAsia="宋体" w:hAnsi="Times New Roman" w:cs="Times New Roman"/>
          <w:color w:val="000000"/>
          <w:kern w:val="0"/>
          <w:sz w:val="20"/>
          <w:szCs w:val="20"/>
          <w:lang w:bidi="ar"/>
        </w:rPr>
        <w:t xml:space="preserve">t six months of Fiscal 2023, total operating expenses decreased 6% and 4%, respectively, primarily driven by a decrease in selling, general, and administrative expenses in both periods. </w:t>
      </w:r>
    </w:p>
    <w:p w14:paraId="59E4BFF9"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BFFA" w14:textId="77777777" w:rsidR="00D7560A" w:rsidRDefault="001E3CAB">
      <w:pPr>
        <w:widowControl/>
        <w:ind w:left="360" w:hanging="360"/>
        <w:jc w:val="left"/>
        <w:rPr>
          <w:rFonts w:ascii="宋体" w:eastAsia="宋体" w:hAnsi="宋体" w:cs="宋体"/>
          <w:kern w:val="0"/>
          <w:sz w:val="24"/>
        </w:rPr>
      </w:pPr>
      <w:r>
        <w:rPr>
          <w:rFonts w:ascii="Times New Roman" w:eastAsia="宋体" w:hAnsi="Times New Roman" w:cs="Times New Roman"/>
          <w:i/>
          <w:iCs/>
          <w:color w:val="000000"/>
          <w:kern w:val="0"/>
          <w:sz w:val="20"/>
          <w:szCs w:val="20"/>
          <w:lang w:bidi="ar"/>
        </w:rPr>
        <w:t>•</w:t>
      </w:r>
      <w:r>
        <w:rPr>
          <w:rFonts w:ascii="Times New Roman" w:eastAsia="宋体" w:hAnsi="Times New Roman" w:cs="Times New Roman"/>
          <w:i/>
          <w:iCs/>
          <w:color w:val="000000"/>
          <w:kern w:val="0"/>
          <w:sz w:val="20"/>
          <w:szCs w:val="20"/>
          <w:u w:val="single"/>
          <w:lang w:bidi="ar"/>
        </w:rPr>
        <w:t>Selling, General, and Administrative</w:t>
      </w:r>
      <w:r>
        <w:rPr>
          <w:rFonts w:ascii="Times New Roman" w:eastAsia="宋体" w:hAnsi="Times New Roman" w:cs="Times New Roman"/>
          <w:color w:val="000000"/>
          <w:kern w:val="0"/>
          <w:sz w:val="20"/>
          <w:szCs w:val="20"/>
          <w:lang w:bidi="ar"/>
        </w:rPr>
        <w:t xml:space="preserve"> — Selling, general, and administrative (“SG&amp;A”) expenses decreased 6% and 4% during the second quarter and first six months of Fiscal 2023, respectively. The decreases in SG&amp;A expenses were primarily attributable to a decrease in amortization of intangibl</w:t>
      </w:r>
      <w:r>
        <w:rPr>
          <w:rFonts w:ascii="Times New Roman" w:eastAsia="宋体" w:hAnsi="Times New Roman" w:cs="Times New Roman"/>
          <w:color w:val="000000"/>
          <w:kern w:val="0"/>
          <w:sz w:val="20"/>
          <w:szCs w:val="20"/>
          <w:lang w:bidi="ar"/>
        </w:rPr>
        <w:t>e assets and a decrease in employee compensation and benefits expense primarily resulting from a reduction in performance-based compensation and disciplined cost management.</w:t>
      </w:r>
    </w:p>
    <w:p w14:paraId="59E4BFFB"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BFFC" w14:textId="77777777" w:rsidR="00D7560A" w:rsidRDefault="001E3CAB">
      <w:pPr>
        <w:widowControl/>
        <w:ind w:left="360" w:hanging="360"/>
        <w:jc w:val="left"/>
        <w:rPr>
          <w:rFonts w:ascii="宋体" w:eastAsia="宋体" w:hAnsi="宋体" w:cs="宋体"/>
          <w:kern w:val="0"/>
          <w:sz w:val="24"/>
        </w:rPr>
      </w:pPr>
      <w:r>
        <w:rPr>
          <w:rFonts w:ascii="Times New Roman" w:eastAsia="宋体" w:hAnsi="Times New Roman" w:cs="Times New Roman"/>
          <w:i/>
          <w:iCs/>
          <w:color w:val="000000"/>
          <w:kern w:val="0"/>
          <w:sz w:val="20"/>
          <w:szCs w:val="20"/>
          <w:lang w:bidi="ar"/>
        </w:rPr>
        <w:t>•</w:t>
      </w:r>
      <w:r>
        <w:rPr>
          <w:rFonts w:ascii="Times New Roman" w:eastAsia="宋体" w:hAnsi="Times New Roman" w:cs="Times New Roman"/>
          <w:i/>
          <w:iCs/>
          <w:color w:val="000000"/>
          <w:kern w:val="0"/>
          <w:sz w:val="20"/>
          <w:szCs w:val="20"/>
          <w:u w:val="single"/>
          <w:lang w:bidi="ar"/>
        </w:rPr>
        <w:t>Research and Development</w:t>
      </w:r>
      <w:r>
        <w:rPr>
          <w:rFonts w:ascii="Times New Roman" w:eastAsia="宋体" w:hAnsi="Times New Roman" w:cs="Times New Roman"/>
          <w:i/>
          <w:iCs/>
          <w:color w:val="000000"/>
          <w:kern w:val="0"/>
          <w:sz w:val="20"/>
          <w:szCs w:val="20"/>
          <w:lang w:bidi="ar"/>
        </w:rPr>
        <w:t xml:space="preserve"> — </w:t>
      </w:r>
      <w:r>
        <w:rPr>
          <w:rFonts w:ascii="Times New Roman" w:eastAsia="宋体" w:hAnsi="Times New Roman" w:cs="Times New Roman"/>
          <w:color w:val="000000"/>
          <w:kern w:val="0"/>
          <w:sz w:val="20"/>
          <w:szCs w:val="20"/>
          <w:lang w:bidi="ar"/>
        </w:rPr>
        <w:t>Research and development (“R&amp;D”) expenses are primar</w:t>
      </w:r>
      <w:r>
        <w:rPr>
          <w:rFonts w:ascii="Times New Roman" w:eastAsia="宋体" w:hAnsi="Times New Roman" w:cs="Times New Roman"/>
          <w:color w:val="000000"/>
          <w:kern w:val="0"/>
          <w:sz w:val="20"/>
          <w:szCs w:val="20"/>
          <w:lang w:bidi="ar"/>
        </w:rPr>
        <w:t xml:space="preserve">ily composed of personnel-related expenses related to product development. R&amp;D expenses decreased 10% and 1% during the second quarter and first six months of Fiscal 2023, respectively. The decrease in R&amp;D expenses during the second quarter of Fiscal 2023 </w:t>
      </w:r>
      <w:r>
        <w:rPr>
          <w:rFonts w:ascii="Times New Roman" w:eastAsia="宋体" w:hAnsi="Times New Roman" w:cs="Times New Roman"/>
          <w:color w:val="000000"/>
          <w:kern w:val="0"/>
          <w:sz w:val="20"/>
          <w:szCs w:val="20"/>
          <w:lang w:bidi="ar"/>
        </w:rPr>
        <w:t>was driven by the same employee compensation and benefits dynamics discussed within SG&amp;A above. As a percentage of net revenue, R&amp;D expenses for the second quarter of Fiscal 2023 and Fiscal 2022 were 2.4% and 2.9%, respectively, and, for the first six mont</w:t>
      </w:r>
      <w:r>
        <w:rPr>
          <w:rFonts w:ascii="Times New Roman" w:eastAsia="宋体" w:hAnsi="Times New Roman" w:cs="Times New Roman"/>
          <w:color w:val="000000"/>
          <w:kern w:val="0"/>
          <w:sz w:val="20"/>
          <w:szCs w:val="20"/>
          <w:lang w:bidi="ar"/>
        </w:rPr>
        <w:t>hs of Fiscal 2023 and Fiscal 2022, were 2.5% and 2.8%, respectively. These decreases were driven by revenue growth which outpaced our R&amp;D investments coupled with disciplined cost management. We intend to continue supporting R&amp;D initiatives to innovate and</w:t>
      </w:r>
      <w:r>
        <w:rPr>
          <w:rFonts w:ascii="Times New Roman" w:eastAsia="宋体" w:hAnsi="Times New Roman" w:cs="Times New Roman"/>
          <w:color w:val="000000"/>
          <w:kern w:val="0"/>
          <w:sz w:val="20"/>
          <w:szCs w:val="20"/>
          <w:lang w:bidi="ar"/>
        </w:rPr>
        <w:t xml:space="preserve"> introduce new and enhanced solutions into the market.</w:t>
      </w:r>
    </w:p>
    <w:p w14:paraId="59E4BFFD"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BFFE"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During the second quarter and first six months of Fiscal 2023, non-GAAP operating expenses decreased 3% and were flat, respectively. The decrease in non-GAAP operating expenses during the second quarter of Fiscal 2023 was principally due to a decline in em</w:t>
      </w:r>
      <w:r>
        <w:rPr>
          <w:rFonts w:ascii="Times New Roman" w:eastAsia="宋体" w:hAnsi="Times New Roman" w:cs="Times New Roman"/>
          <w:color w:val="000000"/>
          <w:kern w:val="0"/>
          <w:sz w:val="20"/>
          <w:szCs w:val="20"/>
          <w:lang w:bidi="ar"/>
        </w:rPr>
        <w:t>ployee compensation and benefits expense primarily resulting from a reduction in performance-based compensation and disciplined cost management. For the first six months of Fiscal 2023, a decrease in employee compensation and benefits expense was offset by</w:t>
      </w:r>
      <w:r>
        <w:rPr>
          <w:rFonts w:ascii="Times New Roman" w:eastAsia="宋体" w:hAnsi="Times New Roman" w:cs="Times New Roman"/>
          <w:color w:val="000000"/>
          <w:kern w:val="0"/>
          <w:sz w:val="20"/>
          <w:szCs w:val="20"/>
          <w:lang w:bidi="ar"/>
        </w:rPr>
        <w:t xml:space="preserve"> increases in other selling, general, and administrative expenses. </w:t>
      </w:r>
    </w:p>
    <w:p w14:paraId="59E4BFFF"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C000"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We continue to make selective investments designed to enable growth, marketing, and R&amp;D, while balancing our efforts to drive cost efficiencies in the business. We also expect to continu</w:t>
      </w:r>
      <w:r>
        <w:rPr>
          <w:rFonts w:ascii="Times New Roman" w:eastAsia="宋体" w:hAnsi="Times New Roman" w:cs="Times New Roman"/>
          <w:color w:val="000000"/>
          <w:kern w:val="0"/>
          <w:sz w:val="20"/>
          <w:szCs w:val="20"/>
          <w:lang w:bidi="ar"/>
        </w:rPr>
        <w:t xml:space="preserve">e making investments in support of our own digital transformation to modernize our IT operations. </w:t>
      </w:r>
    </w:p>
    <w:p w14:paraId="59E4C001"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C002"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C003"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74</w:t>
      </w:r>
    </w:p>
    <w:p w14:paraId="59E4C004"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C005" w14:textId="77777777" w:rsidR="00D7560A" w:rsidRDefault="001E3CAB">
      <w:pPr>
        <w:widowControl/>
        <w:jc w:val="center"/>
      </w:pPr>
      <w:r>
        <w:rPr>
          <w:rFonts w:ascii="宋体" w:eastAsia="宋体" w:hAnsi="宋体" w:cs="宋体"/>
          <w:kern w:val="0"/>
          <w:sz w:val="24"/>
        </w:rPr>
        <w:pict w14:anchorId="59E4C815">
          <v:rect id="_x0000_i1098" style="width:6in;height:1.5pt" o:hralign="center" o:hrstd="t" o:hr="t" fillcolor="#a0a0a0" stroked="f"/>
        </w:pict>
      </w:r>
    </w:p>
    <w:p w14:paraId="59E4C006" w14:textId="77777777" w:rsidR="00D7560A" w:rsidRDefault="001E3CAB">
      <w:pPr>
        <w:widowControl/>
        <w:jc w:val="left"/>
        <w:rPr>
          <w:rFonts w:ascii="宋体" w:eastAsia="宋体" w:hAnsi="宋体" w:cs="宋体"/>
          <w:kern w:val="0"/>
          <w:sz w:val="24"/>
        </w:rPr>
      </w:pPr>
      <w:hyperlink w:anchor="if933dd1d5d004d2495dd7029e3ecad00_13" w:history="1">
        <w:r>
          <w:rPr>
            <w:rStyle w:val="a4"/>
            <w:rFonts w:ascii="Times New Roman" w:eastAsia="宋体" w:hAnsi="Times New Roman" w:cs="Times New Roman"/>
            <w:sz w:val="20"/>
            <w:szCs w:val="20"/>
          </w:rPr>
          <w:t>Table of Contents</w:t>
        </w:r>
      </w:hyperlink>
    </w:p>
    <w:p w14:paraId="59E4C007"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Operating Income</w:t>
      </w:r>
    </w:p>
    <w:p w14:paraId="59E4C008"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C009"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During the second quarter and first six </w:t>
      </w:r>
      <w:r>
        <w:rPr>
          <w:rFonts w:ascii="Times New Roman" w:eastAsia="宋体" w:hAnsi="Times New Roman" w:cs="Times New Roman"/>
          <w:color w:val="000000"/>
          <w:kern w:val="0"/>
          <w:sz w:val="20"/>
          <w:szCs w:val="20"/>
          <w:lang w:bidi="ar"/>
        </w:rPr>
        <w:t>months of Fiscal 2023, our operating income increased 25% to $1.3 billion and 41% to $2.8 billion, respectively. These increases were primarily due to the favorable impact of a decrease in amortization of intangible assets and growth in operating income fo</w:t>
      </w:r>
      <w:r>
        <w:rPr>
          <w:rFonts w:ascii="Times New Roman" w:eastAsia="宋体" w:hAnsi="Times New Roman" w:cs="Times New Roman"/>
          <w:color w:val="000000"/>
          <w:kern w:val="0"/>
          <w:sz w:val="20"/>
          <w:szCs w:val="20"/>
          <w:lang w:bidi="ar"/>
        </w:rPr>
        <w:t>r ISG. Growth in ISG operating income for the second quarter of Fiscal 2023 was driven by our server and networking and storage offerings while, for the first six months of Fiscal 2023, ISG operating income growth was primarily due to strength in our stora</w:t>
      </w:r>
      <w:r>
        <w:rPr>
          <w:rFonts w:ascii="Times New Roman" w:eastAsia="宋体" w:hAnsi="Times New Roman" w:cs="Times New Roman"/>
          <w:color w:val="000000"/>
          <w:kern w:val="0"/>
          <w:sz w:val="20"/>
          <w:szCs w:val="20"/>
          <w:lang w:bidi="ar"/>
        </w:rPr>
        <w:t>ge offerings. During the second quarter and first six months of Fiscal 2023, our non-GAAP operating income increased 4% to $2.0 billion and 12% to $4.1 billion driven by the same ISG dynamics discussed above.</w:t>
      </w:r>
    </w:p>
    <w:p w14:paraId="59E4C00A"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C00B"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Operating income as a percentage of net reven</w:t>
      </w:r>
      <w:r>
        <w:rPr>
          <w:rFonts w:ascii="Times New Roman" w:eastAsia="宋体" w:hAnsi="Times New Roman" w:cs="Times New Roman"/>
          <w:color w:val="000000"/>
          <w:kern w:val="0"/>
          <w:sz w:val="20"/>
          <w:szCs w:val="20"/>
          <w:lang w:bidi="ar"/>
        </w:rPr>
        <w:t>ue increased 60 basis points to 4.8% and 110 basis points to 5.4% during the second quarter and first six months of Fiscal 2023, respectively. These increases were primarily driven by a decrease in operating expenses as a percentage of net revenue due to c</w:t>
      </w:r>
      <w:r>
        <w:rPr>
          <w:rFonts w:ascii="Times New Roman" w:eastAsia="宋体" w:hAnsi="Times New Roman" w:cs="Times New Roman"/>
          <w:color w:val="000000"/>
          <w:kern w:val="0"/>
          <w:sz w:val="20"/>
          <w:szCs w:val="20"/>
          <w:lang w:bidi="ar"/>
        </w:rPr>
        <w:t>ontinued disciplined cost management and the favorable impact of a decrease in amortization of intangible assets. The effect of these factors was partially offset by declines in gross margin as a percentage of net revenue primarily due to the impacts of an</w:t>
      </w:r>
      <w:r>
        <w:rPr>
          <w:rFonts w:ascii="Times New Roman" w:eastAsia="宋体" w:hAnsi="Times New Roman" w:cs="Times New Roman"/>
          <w:color w:val="000000"/>
          <w:kern w:val="0"/>
          <w:sz w:val="20"/>
          <w:szCs w:val="20"/>
          <w:lang w:bidi="ar"/>
        </w:rPr>
        <w:t xml:space="preserve"> overall increase in cost of net revenue and foreign currency exchange rate fluctuations, which were not entirely offset by pricing adjustments as we balanced profitability with competitive positioning. Non-GAAP operating income as a percentage of net reve</w:t>
      </w:r>
      <w:r>
        <w:rPr>
          <w:rFonts w:ascii="Times New Roman" w:eastAsia="宋体" w:hAnsi="Times New Roman" w:cs="Times New Roman"/>
          <w:color w:val="000000"/>
          <w:kern w:val="0"/>
          <w:sz w:val="20"/>
          <w:szCs w:val="20"/>
          <w:lang w:bidi="ar"/>
        </w:rPr>
        <w:t>nue decreased 30 basis points to 7.4% and was flat at 7.8% during the second quarter and first six months of Fiscal 2023, respectively, driven by declines in gross margin as a percentage of net revenue offset by decreases in operating expenses as a percent</w:t>
      </w:r>
      <w:r>
        <w:rPr>
          <w:rFonts w:ascii="Times New Roman" w:eastAsia="宋体" w:hAnsi="Times New Roman" w:cs="Times New Roman"/>
          <w:color w:val="000000"/>
          <w:kern w:val="0"/>
          <w:sz w:val="20"/>
          <w:szCs w:val="20"/>
          <w:lang w:bidi="ar"/>
        </w:rPr>
        <w:t xml:space="preserve">age of net revenue. </w:t>
      </w:r>
    </w:p>
    <w:p w14:paraId="59E4C00C"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C00D"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Interest and Other, Net</w:t>
      </w:r>
    </w:p>
    <w:p w14:paraId="59E4C00E"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C00F" w14:textId="77777777" w:rsidR="00D7560A" w:rsidRDefault="001E3CAB">
      <w:pPr>
        <w:widowControl/>
        <w:spacing w:after="120"/>
        <w:jc w:val="left"/>
        <w:rPr>
          <w:rFonts w:ascii="宋体" w:eastAsia="宋体" w:hAnsi="宋体" w:cs="宋体"/>
          <w:kern w:val="0"/>
          <w:sz w:val="24"/>
        </w:rPr>
      </w:pPr>
      <w:r>
        <w:rPr>
          <w:rFonts w:ascii="Times New Roman" w:eastAsia="宋体" w:hAnsi="Times New Roman" w:cs="Times New Roman"/>
          <w:color w:val="000000"/>
          <w:kern w:val="0"/>
          <w:sz w:val="20"/>
          <w:szCs w:val="20"/>
          <w:shd w:val="clear" w:color="auto" w:fill="FFFFFF"/>
          <w:lang w:bidi="ar"/>
        </w:rPr>
        <w:t xml:space="preserve">The following table presents </w:t>
      </w:r>
      <w:r>
        <w:rPr>
          <w:rFonts w:ascii="Times New Roman" w:eastAsia="宋体" w:hAnsi="Times New Roman" w:cs="Times New Roman"/>
          <w:color w:val="000000"/>
          <w:kern w:val="0"/>
          <w:sz w:val="20"/>
          <w:szCs w:val="20"/>
          <w:lang w:bidi="ar"/>
        </w:rPr>
        <w:t>information regarding</w:t>
      </w:r>
      <w:r>
        <w:rPr>
          <w:rFonts w:ascii="Times New Roman" w:eastAsia="宋体" w:hAnsi="Times New Roman" w:cs="Times New Roman"/>
          <w:color w:val="000000"/>
          <w:kern w:val="0"/>
          <w:sz w:val="20"/>
          <w:szCs w:val="20"/>
          <w:shd w:val="clear" w:color="auto" w:fill="FFFFFF"/>
          <w:lang w:bidi="ar"/>
        </w:rPr>
        <w:t xml:space="preserve"> interest and other, net for the periods indicated: </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9"/>
        <w:gridCol w:w="2721"/>
        <w:gridCol w:w="38"/>
        <w:gridCol w:w="120"/>
        <w:gridCol w:w="1122"/>
        <w:gridCol w:w="36"/>
        <w:gridCol w:w="36"/>
        <w:gridCol w:w="36"/>
        <w:gridCol w:w="36"/>
        <w:gridCol w:w="120"/>
        <w:gridCol w:w="1070"/>
        <w:gridCol w:w="36"/>
        <w:gridCol w:w="36"/>
        <w:gridCol w:w="36"/>
        <w:gridCol w:w="36"/>
        <w:gridCol w:w="120"/>
        <w:gridCol w:w="1070"/>
        <w:gridCol w:w="36"/>
        <w:gridCol w:w="36"/>
        <w:gridCol w:w="36"/>
        <w:gridCol w:w="36"/>
        <w:gridCol w:w="120"/>
        <w:gridCol w:w="1112"/>
        <w:gridCol w:w="36"/>
        <w:gridCol w:w="36"/>
        <w:gridCol w:w="36"/>
        <w:gridCol w:w="36"/>
        <w:gridCol w:w="36"/>
        <w:gridCol w:w="36"/>
        <w:gridCol w:w="36"/>
      </w:tblGrid>
      <w:tr w:rsidR="00D7560A" w14:paraId="59E4C02A" w14:textId="77777777">
        <w:tc>
          <w:tcPr>
            <w:tcW w:w="50" w:type="pct"/>
            <w:tcBorders>
              <w:top w:val="nil"/>
              <w:left w:val="nil"/>
              <w:bottom w:val="nil"/>
              <w:right w:val="nil"/>
            </w:tcBorders>
            <w:shd w:val="clear" w:color="auto" w:fill="auto"/>
            <w:vAlign w:val="bottom"/>
          </w:tcPr>
          <w:p w14:paraId="59E4C010" w14:textId="77777777" w:rsidR="00D7560A" w:rsidRDefault="00D7560A">
            <w:pPr>
              <w:widowControl/>
              <w:jc w:val="left"/>
              <w:rPr>
                <w:rFonts w:ascii="Times New Roman" w:eastAsia="宋体" w:hAnsi="宋体" w:cs="宋体"/>
                <w:kern w:val="0"/>
                <w:sz w:val="24"/>
              </w:rPr>
            </w:pPr>
          </w:p>
        </w:tc>
        <w:tc>
          <w:tcPr>
            <w:tcW w:w="1721" w:type="pct"/>
            <w:tcBorders>
              <w:top w:val="nil"/>
              <w:left w:val="nil"/>
              <w:bottom w:val="nil"/>
              <w:right w:val="nil"/>
            </w:tcBorders>
            <w:shd w:val="clear" w:color="auto" w:fill="auto"/>
            <w:vAlign w:val="bottom"/>
          </w:tcPr>
          <w:p w14:paraId="59E4C011"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C012"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C013" w14:textId="77777777" w:rsidR="00D7560A" w:rsidRDefault="00D7560A">
            <w:pPr>
              <w:widowControl/>
              <w:jc w:val="left"/>
              <w:rPr>
                <w:rFonts w:ascii="Times New Roman" w:eastAsia="宋体" w:hAnsi="宋体" w:cs="宋体"/>
                <w:kern w:val="0"/>
                <w:sz w:val="24"/>
              </w:rPr>
            </w:pPr>
          </w:p>
        </w:tc>
        <w:tc>
          <w:tcPr>
            <w:tcW w:w="727" w:type="pct"/>
            <w:tcBorders>
              <w:top w:val="nil"/>
              <w:left w:val="nil"/>
              <w:bottom w:val="nil"/>
              <w:right w:val="nil"/>
            </w:tcBorders>
            <w:shd w:val="clear" w:color="auto" w:fill="auto"/>
            <w:vAlign w:val="bottom"/>
          </w:tcPr>
          <w:p w14:paraId="59E4C014"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C015"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C016" w14:textId="77777777" w:rsidR="00D7560A" w:rsidRDefault="00D7560A">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59E4C017"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C018"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C019" w14:textId="77777777" w:rsidR="00D7560A" w:rsidRDefault="00D7560A">
            <w:pPr>
              <w:widowControl/>
              <w:jc w:val="left"/>
              <w:rPr>
                <w:rFonts w:ascii="Times New Roman" w:eastAsia="宋体" w:hAnsi="宋体" w:cs="宋体"/>
                <w:kern w:val="0"/>
                <w:sz w:val="24"/>
              </w:rPr>
            </w:pPr>
          </w:p>
        </w:tc>
        <w:tc>
          <w:tcPr>
            <w:tcW w:w="727" w:type="pct"/>
            <w:tcBorders>
              <w:top w:val="nil"/>
              <w:left w:val="nil"/>
              <w:bottom w:val="nil"/>
              <w:right w:val="nil"/>
            </w:tcBorders>
            <w:shd w:val="clear" w:color="auto" w:fill="auto"/>
            <w:vAlign w:val="bottom"/>
          </w:tcPr>
          <w:p w14:paraId="59E4C01A"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C01B"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C01C" w14:textId="77777777" w:rsidR="00D7560A" w:rsidRDefault="00D7560A">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59E4C01D"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C01E"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C01F" w14:textId="77777777" w:rsidR="00D7560A" w:rsidRDefault="00D7560A">
            <w:pPr>
              <w:widowControl/>
              <w:jc w:val="left"/>
              <w:rPr>
                <w:rFonts w:ascii="Times New Roman" w:eastAsia="宋体" w:hAnsi="宋体" w:cs="宋体"/>
                <w:kern w:val="0"/>
                <w:sz w:val="24"/>
              </w:rPr>
            </w:pPr>
          </w:p>
        </w:tc>
        <w:tc>
          <w:tcPr>
            <w:tcW w:w="727" w:type="pct"/>
            <w:tcBorders>
              <w:top w:val="nil"/>
              <w:left w:val="nil"/>
              <w:bottom w:val="nil"/>
              <w:right w:val="nil"/>
            </w:tcBorders>
            <w:shd w:val="clear" w:color="auto" w:fill="auto"/>
            <w:vAlign w:val="bottom"/>
          </w:tcPr>
          <w:p w14:paraId="59E4C020"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C021"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C022" w14:textId="77777777" w:rsidR="00D7560A" w:rsidRDefault="00D7560A">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59E4C023"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C024"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C025" w14:textId="77777777" w:rsidR="00D7560A" w:rsidRDefault="00D7560A">
            <w:pPr>
              <w:widowControl/>
              <w:jc w:val="left"/>
              <w:rPr>
                <w:rFonts w:ascii="Times New Roman" w:eastAsia="宋体" w:hAnsi="宋体" w:cs="宋体"/>
                <w:kern w:val="0"/>
                <w:sz w:val="24"/>
              </w:rPr>
            </w:pPr>
          </w:p>
        </w:tc>
        <w:tc>
          <w:tcPr>
            <w:tcW w:w="720" w:type="pct"/>
            <w:tcBorders>
              <w:top w:val="nil"/>
              <w:left w:val="nil"/>
              <w:bottom w:val="nil"/>
              <w:right w:val="nil"/>
            </w:tcBorders>
            <w:shd w:val="clear" w:color="auto" w:fill="auto"/>
            <w:vAlign w:val="bottom"/>
          </w:tcPr>
          <w:p w14:paraId="59E4C026"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C027"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59E4C028"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C029" w14:textId="77777777" w:rsidR="00D7560A" w:rsidRDefault="00D7560A">
            <w:pPr>
              <w:widowControl/>
              <w:jc w:val="left"/>
              <w:rPr>
                <w:rFonts w:ascii="Times New Roman" w:eastAsia="宋体" w:hAnsi="宋体" w:cs="宋体"/>
                <w:vanish/>
                <w:kern w:val="0"/>
                <w:sz w:val="24"/>
              </w:rPr>
            </w:pPr>
          </w:p>
        </w:tc>
      </w:tr>
      <w:tr w:rsidR="00D7560A" w14:paraId="59E4C035"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C02B" w14:textId="77777777" w:rsidR="00D7560A" w:rsidRDefault="00D7560A">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59E4C02C"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Three Months Ended</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C02D" w14:textId="77777777" w:rsidR="00D7560A" w:rsidRDefault="00D7560A">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59E4C02E"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Six Months Ended</w:t>
            </w:r>
          </w:p>
        </w:tc>
        <w:tc>
          <w:tcPr>
            <w:tcW w:w="0" w:type="auto"/>
            <w:tcBorders>
              <w:top w:val="nil"/>
              <w:left w:val="nil"/>
              <w:bottom w:val="nil"/>
              <w:right w:val="nil"/>
            </w:tcBorders>
            <w:shd w:val="clear" w:color="auto" w:fill="auto"/>
            <w:vAlign w:val="bottom"/>
          </w:tcPr>
          <w:p w14:paraId="59E4C02F"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C030"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C031"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C032"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C033"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C034" w14:textId="77777777" w:rsidR="00D7560A" w:rsidRDefault="00D7560A">
            <w:pPr>
              <w:widowControl/>
              <w:jc w:val="left"/>
              <w:rPr>
                <w:rFonts w:ascii="Times New Roman" w:eastAsia="宋体" w:hAnsi="宋体" w:cs="宋体"/>
                <w:kern w:val="0"/>
                <w:sz w:val="24"/>
              </w:rPr>
            </w:pPr>
          </w:p>
        </w:tc>
      </w:tr>
      <w:tr w:rsidR="00D7560A" w14:paraId="59E4C040"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9E4C036"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59E4C037"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29, 2022</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59E4C038"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59E4C039"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30, 2021</w:t>
            </w: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59E4C03A"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59E4C03B"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29, 2022</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59E4C03C"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59E4C03D"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30, 2021</w:t>
            </w:r>
          </w:p>
        </w:tc>
        <w:tc>
          <w:tcPr>
            <w:tcW w:w="0" w:type="auto"/>
            <w:gridSpan w:val="3"/>
            <w:tcBorders>
              <w:top w:val="nil"/>
              <w:left w:val="nil"/>
              <w:bottom w:val="nil"/>
              <w:right w:val="nil"/>
            </w:tcBorders>
            <w:shd w:val="clear" w:color="auto" w:fill="auto"/>
            <w:vAlign w:val="bottom"/>
          </w:tcPr>
          <w:p w14:paraId="59E4C03E"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C03F" w14:textId="77777777" w:rsidR="00D7560A" w:rsidRDefault="00D7560A">
            <w:pPr>
              <w:widowControl/>
              <w:jc w:val="left"/>
              <w:rPr>
                <w:rFonts w:ascii="Times New Roman" w:eastAsia="宋体" w:hAnsi="宋体" w:cs="宋体"/>
                <w:vanish/>
                <w:kern w:val="0"/>
                <w:sz w:val="24"/>
              </w:rPr>
            </w:pPr>
          </w:p>
        </w:tc>
      </w:tr>
      <w:tr w:rsidR="00D7560A" w14:paraId="59E4C049"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9E4C041"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gridSpan w:val="21"/>
            <w:tcBorders>
              <w:top w:val="single" w:sz="8" w:space="0" w:color="000000"/>
              <w:left w:val="nil"/>
              <w:bottom w:val="nil"/>
              <w:right w:val="nil"/>
            </w:tcBorders>
            <w:shd w:val="clear" w:color="auto" w:fill="auto"/>
            <w:tcMar>
              <w:top w:w="40" w:type="dxa"/>
              <w:left w:w="20" w:type="dxa"/>
              <w:bottom w:w="40" w:type="dxa"/>
              <w:right w:w="20" w:type="dxa"/>
            </w:tcMar>
            <w:vAlign w:val="bottom"/>
          </w:tcPr>
          <w:p w14:paraId="59E4C042"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(in millions)</w:t>
            </w:r>
          </w:p>
        </w:tc>
        <w:tc>
          <w:tcPr>
            <w:tcW w:w="0" w:type="auto"/>
            <w:tcBorders>
              <w:top w:val="nil"/>
              <w:left w:val="nil"/>
              <w:bottom w:val="nil"/>
              <w:right w:val="nil"/>
            </w:tcBorders>
            <w:shd w:val="clear" w:color="auto" w:fill="auto"/>
            <w:vAlign w:val="bottom"/>
          </w:tcPr>
          <w:p w14:paraId="59E4C043"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C044"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C045"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C046"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C047"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C048" w14:textId="77777777" w:rsidR="00D7560A" w:rsidRDefault="00D7560A">
            <w:pPr>
              <w:widowControl/>
              <w:jc w:val="left"/>
              <w:rPr>
                <w:rFonts w:ascii="Times New Roman" w:eastAsia="宋体" w:hAnsi="宋体" w:cs="宋体"/>
                <w:kern w:val="0"/>
                <w:sz w:val="24"/>
              </w:rPr>
            </w:pPr>
          </w:p>
        </w:tc>
      </w:tr>
      <w:tr w:rsidR="00D7560A" w14:paraId="59E4C054"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9E4C04A"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i/>
                <w:iCs/>
                <w:color w:val="000000"/>
                <w:kern w:val="0"/>
                <w:sz w:val="20"/>
                <w:szCs w:val="20"/>
                <w:lang w:bidi="ar"/>
              </w:rPr>
              <w:t>Interest and other, net:</w:t>
            </w: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9E4C04B"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C04C"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9E4C04D"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C04E"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9E4C04F"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C050"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9E4C051"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gridSpan w:val="3"/>
            <w:tcBorders>
              <w:top w:val="nil"/>
              <w:left w:val="nil"/>
              <w:bottom w:val="nil"/>
              <w:right w:val="nil"/>
            </w:tcBorders>
            <w:shd w:val="clear" w:color="auto" w:fill="auto"/>
            <w:vAlign w:val="bottom"/>
          </w:tcPr>
          <w:p w14:paraId="59E4C052"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C053" w14:textId="77777777" w:rsidR="00D7560A" w:rsidRDefault="00D7560A">
            <w:pPr>
              <w:widowControl/>
              <w:jc w:val="left"/>
              <w:rPr>
                <w:rFonts w:ascii="Times New Roman" w:eastAsia="宋体" w:hAnsi="宋体" w:cs="宋体"/>
                <w:vanish/>
                <w:kern w:val="0"/>
                <w:sz w:val="24"/>
              </w:rPr>
            </w:pPr>
          </w:p>
        </w:tc>
      </w:tr>
      <w:tr w:rsidR="00D7560A" w14:paraId="59E4C067" w14:textId="77777777">
        <w:tc>
          <w:tcPr>
            <w:tcW w:w="0" w:type="auto"/>
            <w:gridSpan w:val="3"/>
            <w:tcBorders>
              <w:top w:val="nil"/>
              <w:left w:val="nil"/>
              <w:bottom w:val="nil"/>
              <w:right w:val="nil"/>
            </w:tcBorders>
            <w:shd w:val="clear" w:color="auto" w:fill="FFFFFF"/>
            <w:tcMar>
              <w:top w:w="40" w:type="dxa"/>
              <w:left w:w="260" w:type="dxa"/>
              <w:bottom w:w="40" w:type="dxa"/>
              <w:right w:w="20" w:type="dxa"/>
            </w:tcMar>
            <w:vAlign w:val="bottom"/>
          </w:tcPr>
          <w:p w14:paraId="59E4C055"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Investment income, primarily interest</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9E4C056"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9E4C057"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C058"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C059"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9E4C05A"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9E4C05B"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C05C"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C05D"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9E4C05E"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9E4C05F"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C060"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C061"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9E4C062"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9E4C063"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C064"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59E4C065"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C066" w14:textId="77777777" w:rsidR="00D7560A" w:rsidRDefault="00D7560A">
            <w:pPr>
              <w:widowControl/>
              <w:jc w:val="left"/>
              <w:rPr>
                <w:rFonts w:ascii="Times New Roman" w:eastAsia="宋体" w:hAnsi="宋体" w:cs="宋体"/>
                <w:vanish/>
                <w:kern w:val="0"/>
                <w:sz w:val="24"/>
              </w:rPr>
            </w:pPr>
          </w:p>
        </w:tc>
      </w:tr>
      <w:tr w:rsidR="00D7560A" w14:paraId="59E4C076" w14:textId="77777777">
        <w:tc>
          <w:tcPr>
            <w:tcW w:w="0" w:type="auto"/>
            <w:gridSpan w:val="3"/>
            <w:tcBorders>
              <w:top w:val="nil"/>
              <w:left w:val="nil"/>
              <w:bottom w:val="nil"/>
              <w:right w:val="nil"/>
            </w:tcBorders>
            <w:shd w:val="clear" w:color="auto" w:fill="CCEEFF"/>
            <w:tcMar>
              <w:top w:w="40" w:type="dxa"/>
              <w:left w:w="260" w:type="dxa"/>
              <w:bottom w:w="40" w:type="dxa"/>
              <w:right w:w="20" w:type="dxa"/>
            </w:tcMar>
            <w:vAlign w:val="bottom"/>
          </w:tcPr>
          <w:p w14:paraId="59E4C068"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Gain (loss) on investments, net</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C069"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(255)</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C06A"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C06B"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C06C"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166 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C06D"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C06E"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C06F"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(241)</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C070"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C071"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C072"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359 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C073"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59E4C074"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C075" w14:textId="77777777" w:rsidR="00D7560A" w:rsidRDefault="00D7560A">
            <w:pPr>
              <w:widowControl/>
              <w:jc w:val="left"/>
              <w:rPr>
                <w:rFonts w:ascii="Times New Roman" w:eastAsia="宋体" w:hAnsi="宋体" w:cs="宋体"/>
                <w:vanish/>
                <w:kern w:val="0"/>
                <w:sz w:val="24"/>
              </w:rPr>
            </w:pPr>
          </w:p>
        </w:tc>
      </w:tr>
      <w:tr w:rsidR="00D7560A" w14:paraId="59E4C085" w14:textId="77777777">
        <w:tc>
          <w:tcPr>
            <w:tcW w:w="0" w:type="auto"/>
            <w:gridSpan w:val="3"/>
            <w:tcBorders>
              <w:top w:val="nil"/>
              <w:left w:val="nil"/>
              <w:bottom w:val="nil"/>
              <w:right w:val="nil"/>
            </w:tcBorders>
            <w:shd w:val="clear" w:color="auto" w:fill="FFFFFF"/>
            <w:tcMar>
              <w:top w:w="40" w:type="dxa"/>
              <w:left w:w="260" w:type="dxa"/>
              <w:bottom w:w="40" w:type="dxa"/>
              <w:right w:w="20" w:type="dxa"/>
            </w:tcMar>
            <w:vAlign w:val="bottom"/>
          </w:tcPr>
          <w:p w14:paraId="59E4C077"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Interest expense</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C078"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(298)</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C079"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C07A"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C07B"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(416)</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C07C"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C07D"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C07E"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(563)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C07F"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C080"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C081"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(849)</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C082"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59E4C083"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C084" w14:textId="77777777" w:rsidR="00D7560A" w:rsidRDefault="00D7560A">
            <w:pPr>
              <w:widowControl/>
              <w:jc w:val="left"/>
              <w:rPr>
                <w:rFonts w:ascii="Times New Roman" w:eastAsia="宋体" w:hAnsi="宋体" w:cs="宋体"/>
                <w:vanish/>
                <w:kern w:val="0"/>
                <w:sz w:val="24"/>
              </w:rPr>
            </w:pPr>
          </w:p>
        </w:tc>
      </w:tr>
      <w:tr w:rsidR="00D7560A" w14:paraId="59E4C094" w14:textId="77777777">
        <w:tc>
          <w:tcPr>
            <w:tcW w:w="0" w:type="auto"/>
            <w:gridSpan w:val="3"/>
            <w:tcBorders>
              <w:top w:val="nil"/>
              <w:left w:val="nil"/>
              <w:bottom w:val="nil"/>
              <w:right w:val="nil"/>
            </w:tcBorders>
            <w:shd w:val="clear" w:color="auto" w:fill="CCEEFF"/>
            <w:tcMar>
              <w:top w:w="40" w:type="dxa"/>
              <w:left w:w="260" w:type="dxa"/>
              <w:bottom w:w="40" w:type="dxa"/>
              <w:right w:w="20" w:type="dxa"/>
            </w:tcMar>
            <w:vAlign w:val="bottom"/>
          </w:tcPr>
          <w:p w14:paraId="59E4C086"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Foreign exchange</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C087"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(66)</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C088"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C089"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C08A"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(67)</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C08B"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C08C"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C08D"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(155)</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C08E"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C08F"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C090"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(119)</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C091"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59E4C092"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C093" w14:textId="77777777" w:rsidR="00D7560A" w:rsidRDefault="00D7560A">
            <w:pPr>
              <w:widowControl/>
              <w:jc w:val="left"/>
              <w:rPr>
                <w:rFonts w:ascii="Times New Roman" w:eastAsia="宋体" w:hAnsi="宋体" w:cs="宋体"/>
                <w:vanish/>
                <w:kern w:val="0"/>
                <w:sz w:val="24"/>
              </w:rPr>
            </w:pPr>
          </w:p>
        </w:tc>
      </w:tr>
      <w:tr w:rsidR="00D7560A" w14:paraId="59E4C09F" w14:textId="77777777">
        <w:trPr>
          <w:hidden/>
        </w:trPr>
        <w:tc>
          <w:tcPr>
            <w:tcW w:w="0" w:type="auto"/>
            <w:gridSpan w:val="3"/>
            <w:tcBorders>
              <w:top w:val="nil"/>
              <w:left w:val="nil"/>
              <w:bottom w:val="nil"/>
              <w:right w:val="nil"/>
            </w:tcBorders>
            <w:shd w:val="clear" w:color="auto" w:fill="auto"/>
            <w:vAlign w:val="bottom"/>
          </w:tcPr>
          <w:p w14:paraId="59E4C095"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C096"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C097"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C098"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C099"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C09A"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C09B"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C09C"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C09D"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C09E" w14:textId="77777777" w:rsidR="00D7560A" w:rsidRDefault="00D7560A">
            <w:pPr>
              <w:widowControl/>
              <w:jc w:val="left"/>
              <w:rPr>
                <w:rFonts w:ascii="Times New Roman" w:eastAsia="宋体" w:hAnsi="宋体" w:cs="宋体"/>
                <w:vanish/>
                <w:kern w:val="0"/>
                <w:sz w:val="24"/>
              </w:rPr>
            </w:pPr>
          </w:p>
        </w:tc>
      </w:tr>
      <w:tr w:rsidR="00D7560A" w14:paraId="59E4C0AA" w14:textId="77777777">
        <w:trPr>
          <w:hidden/>
        </w:trPr>
        <w:tc>
          <w:tcPr>
            <w:tcW w:w="0" w:type="auto"/>
            <w:gridSpan w:val="3"/>
            <w:tcBorders>
              <w:top w:val="nil"/>
              <w:left w:val="nil"/>
              <w:bottom w:val="nil"/>
              <w:right w:val="nil"/>
            </w:tcBorders>
            <w:shd w:val="clear" w:color="auto" w:fill="auto"/>
            <w:vAlign w:val="bottom"/>
          </w:tcPr>
          <w:p w14:paraId="59E4C0A0"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C0A1"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C0A2"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C0A3"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C0A4"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C0A5"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C0A6"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C0A7"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C0A8"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C0A9" w14:textId="77777777" w:rsidR="00D7560A" w:rsidRDefault="00D7560A">
            <w:pPr>
              <w:widowControl/>
              <w:jc w:val="left"/>
              <w:rPr>
                <w:rFonts w:ascii="Times New Roman" w:eastAsia="宋体" w:hAnsi="宋体" w:cs="宋体"/>
                <w:vanish/>
                <w:kern w:val="0"/>
                <w:sz w:val="24"/>
              </w:rPr>
            </w:pPr>
          </w:p>
        </w:tc>
      </w:tr>
      <w:tr w:rsidR="00D7560A" w14:paraId="59E4C0B9" w14:textId="77777777">
        <w:tc>
          <w:tcPr>
            <w:tcW w:w="0" w:type="auto"/>
            <w:gridSpan w:val="3"/>
            <w:tcBorders>
              <w:top w:val="nil"/>
              <w:left w:val="nil"/>
              <w:bottom w:val="nil"/>
              <w:right w:val="nil"/>
            </w:tcBorders>
            <w:shd w:val="clear" w:color="auto" w:fill="FFFFFF"/>
            <w:tcMar>
              <w:top w:w="40" w:type="dxa"/>
              <w:left w:w="260" w:type="dxa"/>
              <w:bottom w:w="40" w:type="dxa"/>
              <w:right w:w="20" w:type="dxa"/>
            </w:tcMar>
            <w:vAlign w:val="bottom"/>
          </w:tcPr>
          <w:p w14:paraId="59E4C0AB"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Other</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C0AC"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C0AD"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C0AE"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C0AF"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C0B0"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C0B1"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C0B2"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C0B3"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C0B4"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C0B5"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C0B6"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59E4C0B7"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C0B8" w14:textId="77777777" w:rsidR="00D7560A" w:rsidRDefault="00D7560A">
            <w:pPr>
              <w:widowControl/>
              <w:jc w:val="left"/>
              <w:rPr>
                <w:rFonts w:ascii="Times New Roman" w:eastAsia="宋体" w:hAnsi="宋体" w:cs="宋体"/>
                <w:vanish/>
                <w:kern w:val="0"/>
                <w:sz w:val="24"/>
              </w:rPr>
            </w:pPr>
          </w:p>
        </w:tc>
      </w:tr>
      <w:tr w:rsidR="00D7560A" w14:paraId="59E4C0CC" w14:textId="77777777">
        <w:tc>
          <w:tcPr>
            <w:tcW w:w="0" w:type="auto"/>
            <w:gridSpan w:val="3"/>
            <w:tcBorders>
              <w:top w:val="nil"/>
              <w:left w:val="nil"/>
              <w:bottom w:val="nil"/>
              <w:right w:val="nil"/>
            </w:tcBorders>
            <w:shd w:val="clear" w:color="auto" w:fill="CCEEFF"/>
            <w:tcMar>
              <w:top w:w="40" w:type="dxa"/>
              <w:left w:w="515" w:type="dxa"/>
              <w:bottom w:w="40" w:type="dxa"/>
              <w:right w:w="20" w:type="dxa"/>
            </w:tcMar>
            <w:vAlign w:val="bottom"/>
          </w:tcPr>
          <w:p w14:paraId="59E4C0BA"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Total interest and other, net</w:t>
            </w: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59E4C0BB"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59E4C0BC"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(635)</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59E4C0BD"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C0BE"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59E4C0BF"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59E4C0C0"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(292)</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59E4C0C1"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C0C2"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59E4C0C3"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59E4C0C4"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(972)</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59E4C0C5"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C0C6"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59E4C0C7"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59E4C0C8"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(580)</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59E4C0C9"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59E4C0CA"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C0CB" w14:textId="77777777" w:rsidR="00D7560A" w:rsidRDefault="00D7560A">
            <w:pPr>
              <w:widowControl/>
              <w:jc w:val="left"/>
              <w:rPr>
                <w:rFonts w:ascii="Times New Roman" w:eastAsia="宋体" w:hAnsi="宋体" w:cs="宋体"/>
                <w:vanish/>
                <w:kern w:val="0"/>
                <w:sz w:val="24"/>
              </w:rPr>
            </w:pPr>
          </w:p>
        </w:tc>
      </w:tr>
    </w:tbl>
    <w:p w14:paraId="59E4C0CD"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C0CE"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During the second quarter and first six months of Fiscal 2023, the change in interest and other, net was unfavorable by $343 million and $392 million, respectively. The unfavorable change in both periods was primarily attributable to the net loss on inve</w:t>
      </w:r>
      <w:r>
        <w:rPr>
          <w:rFonts w:ascii="Times New Roman" w:eastAsia="宋体" w:hAnsi="Times New Roman" w:cs="Times New Roman"/>
          <w:color w:val="000000"/>
          <w:kern w:val="0"/>
          <w:sz w:val="20"/>
          <w:szCs w:val="20"/>
          <w:lang w:bidi="ar"/>
        </w:rPr>
        <w:t>stments as a result of fair value adjustments on our non-marketable strategic investment portfolio discussed above, which were partially offset by a decrease in interest expense on lower average outstanding debt balances.</w:t>
      </w:r>
    </w:p>
    <w:p w14:paraId="59E4C0CF"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C0D0"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Income and Other Taxes</w:t>
      </w:r>
    </w:p>
    <w:p w14:paraId="59E4C0D1"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C0D2" w14:textId="77777777" w:rsidR="00D7560A" w:rsidRDefault="001E3CAB">
      <w:pPr>
        <w:widowControl/>
        <w:spacing w:after="120"/>
        <w:jc w:val="left"/>
        <w:rPr>
          <w:rFonts w:ascii="宋体" w:eastAsia="宋体" w:hAnsi="宋体" w:cs="宋体"/>
          <w:kern w:val="0"/>
          <w:sz w:val="24"/>
        </w:rPr>
      </w:pPr>
      <w:r>
        <w:rPr>
          <w:rFonts w:ascii="Times New Roman" w:eastAsia="宋体" w:hAnsi="Times New Roman" w:cs="Times New Roman"/>
          <w:color w:val="000000"/>
          <w:kern w:val="0"/>
          <w:sz w:val="20"/>
          <w:szCs w:val="20"/>
          <w:shd w:val="clear" w:color="auto" w:fill="FFFFFF"/>
          <w:lang w:bidi="ar"/>
        </w:rPr>
        <w:t>The fol</w:t>
      </w:r>
      <w:r>
        <w:rPr>
          <w:rFonts w:ascii="Times New Roman" w:eastAsia="宋体" w:hAnsi="Times New Roman" w:cs="Times New Roman"/>
          <w:color w:val="000000"/>
          <w:kern w:val="0"/>
          <w:sz w:val="20"/>
          <w:szCs w:val="20"/>
          <w:shd w:val="clear" w:color="auto" w:fill="FFFFFF"/>
          <w:lang w:bidi="ar"/>
        </w:rPr>
        <w:t>lowing table presents information regarding our income and other taxes for the periods indicated:</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8"/>
        <w:gridCol w:w="2572"/>
        <w:gridCol w:w="37"/>
        <w:gridCol w:w="120"/>
        <w:gridCol w:w="1034"/>
        <w:gridCol w:w="187"/>
        <w:gridCol w:w="36"/>
        <w:gridCol w:w="36"/>
        <w:gridCol w:w="36"/>
        <w:gridCol w:w="120"/>
        <w:gridCol w:w="1034"/>
        <w:gridCol w:w="187"/>
        <w:gridCol w:w="36"/>
        <w:gridCol w:w="36"/>
        <w:gridCol w:w="36"/>
        <w:gridCol w:w="120"/>
        <w:gridCol w:w="1034"/>
        <w:gridCol w:w="187"/>
        <w:gridCol w:w="36"/>
        <w:gridCol w:w="36"/>
        <w:gridCol w:w="36"/>
        <w:gridCol w:w="120"/>
        <w:gridCol w:w="1035"/>
        <w:gridCol w:w="187"/>
      </w:tblGrid>
      <w:tr w:rsidR="00D7560A" w14:paraId="59E4C0EB" w14:textId="77777777">
        <w:tc>
          <w:tcPr>
            <w:tcW w:w="50" w:type="pct"/>
            <w:tcBorders>
              <w:top w:val="nil"/>
              <w:left w:val="nil"/>
              <w:bottom w:val="nil"/>
              <w:right w:val="nil"/>
            </w:tcBorders>
            <w:shd w:val="clear" w:color="auto" w:fill="auto"/>
            <w:vAlign w:val="bottom"/>
          </w:tcPr>
          <w:p w14:paraId="59E4C0D3" w14:textId="77777777" w:rsidR="00D7560A" w:rsidRDefault="00D7560A">
            <w:pPr>
              <w:widowControl/>
              <w:jc w:val="left"/>
              <w:rPr>
                <w:rFonts w:ascii="Times New Roman" w:eastAsia="宋体" w:hAnsi="宋体" w:cs="宋体"/>
                <w:kern w:val="0"/>
                <w:sz w:val="24"/>
              </w:rPr>
            </w:pPr>
          </w:p>
        </w:tc>
        <w:tc>
          <w:tcPr>
            <w:tcW w:w="1728" w:type="pct"/>
            <w:tcBorders>
              <w:top w:val="nil"/>
              <w:left w:val="nil"/>
              <w:bottom w:val="nil"/>
              <w:right w:val="nil"/>
            </w:tcBorders>
            <w:shd w:val="clear" w:color="auto" w:fill="auto"/>
            <w:vAlign w:val="bottom"/>
          </w:tcPr>
          <w:p w14:paraId="59E4C0D4"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C0D5"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C0D6" w14:textId="77777777" w:rsidR="00D7560A" w:rsidRDefault="00D7560A">
            <w:pPr>
              <w:widowControl/>
              <w:jc w:val="left"/>
              <w:rPr>
                <w:rFonts w:ascii="Times New Roman" w:eastAsia="宋体" w:hAnsi="宋体" w:cs="宋体"/>
                <w:kern w:val="0"/>
                <w:sz w:val="24"/>
              </w:rPr>
            </w:pPr>
          </w:p>
        </w:tc>
        <w:tc>
          <w:tcPr>
            <w:tcW w:w="727" w:type="pct"/>
            <w:tcBorders>
              <w:top w:val="nil"/>
              <w:left w:val="nil"/>
              <w:bottom w:val="nil"/>
              <w:right w:val="nil"/>
            </w:tcBorders>
            <w:shd w:val="clear" w:color="auto" w:fill="auto"/>
            <w:vAlign w:val="bottom"/>
          </w:tcPr>
          <w:p w14:paraId="59E4C0D7"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C0D8"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C0D9" w14:textId="77777777" w:rsidR="00D7560A" w:rsidRDefault="00D7560A">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59E4C0DA"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C0DB"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C0DC" w14:textId="77777777" w:rsidR="00D7560A" w:rsidRDefault="00D7560A">
            <w:pPr>
              <w:widowControl/>
              <w:jc w:val="left"/>
              <w:rPr>
                <w:rFonts w:ascii="Times New Roman" w:eastAsia="宋体" w:hAnsi="宋体" w:cs="宋体"/>
                <w:kern w:val="0"/>
                <w:sz w:val="24"/>
              </w:rPr>
            </w:pPr>
          </w:p>
        </w:tc>
        <w:tc>
          <w:tcPr>
            <w:tcW w:w="727" w:type="pct"/>
            <w:tcBorders>
              <w:top w:val="nil"/>
              <w:left w:val="nil"/>
              <w:bottom w:val="nil"/>
              <w:right w:val="nil"/>
            </w:tcBorders>
            <w:shd w:val="clear" w:color="auto" w:fill="auto"/>
            <w:vAlign w:val="bottom"/>
          </w:tcPr>
          <w:p w14:paraId="59E4C0DD"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C0DE"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C0DF" w14:textId="77777777" w:rsidR="00D7560A" w:rsidRDefault="00D7560A">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59E4C0E0"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C0E1"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C0E2" w14:textId="77777777" w:rsidR="00D7560A" w:rsidRDefault="00D7560A">
            <w:pPr>
              <w:widowControl/>
              <w:jc w:val="left"/>
              <w:rPr>
                <w:rFonts w:ascii="Times New Roman" w:eastAsia="宋体" w:hAnsi="宋体" w:cs="宋体"/>
                <w:kern w:val="0"/>
                <w:sz w:val="24"/>
              </w:rPr>
            </w:pPr>
          </w:p>
        </w:tc>
        <w:tc>
          <w:tcPr>
            <w:tcW w:w="727" w:type="pct"/>
            <w:tcBorders>
              <w:top w:val="nil"/>
              <w:left w:val="nil"/>
              <w:bottom w:val="nil"/>
              <w:right w:val="nil"/>
            </w:tcBorders>
            <w:shd w:val="clear" w:color="auto" w:fill="auto"/>
            <w:vAlign w:val="bottom"/>
          </w:tcPr>
          <w:p w14:paraId="59E4C0E3"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C0E4"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C0E5" w14:textId="77777777" w:rsidR="00D7560A" w:rsidRDefault="00D7560A">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59E4C0E6"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C0E7"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C0E8" w14:textId="77777777" w:rsidR="00D7560A" w:rsidRDefault="00D7560A">
            <w:pPr>
              <w:widowControl/>
              <w:jc w:val="left"/>
              <w:rPr>
                <w:rFonts w:ascii="Times New Roman" w:eastAsia="宋体" w:hAnsi="宋体" w:cs="宋体"/>
                <w:kern w:val="0"/>
                <w:sz w:val="24"/>
              </w:rPr>
            </w:pPr>
          </w:p>
        </w:tc>
        <w:tc>
          <w:tcPr>
            <w:tcW w:w="727" w:type="pct"/>
            <w:tcBorders>
              <w:top w:val="nil"/>
              <w:left w:val="nil"/>
              <w:bottom w:val="nil"/>
              <w:right w:val="nil"/>
            </w:tcBorders>
            <w:shd w:val="clear" w:color="auto" w:fill="auto"/>
            <w:vAlign w:val="bottom"/>
          </w:tcPr>
          <w:p w14:paraId="59E4C0E9"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C0EA" w14:textId="77777777" w:rsidR="00D7560A" w:rsidRDefault="00D7560A">
            <w:pPr>
              <w:widowControl/>
              <w:jc w:val="left"/>
              <w:rPr>
                <w:rFonts w:ascii="Times New Roman" w:eastAsia="宋体" w:hAnsi="宋体" w:cs="宋体"/>
                <w:kern w:val="0"/>
                <w:sz w:val="24"/>
              </w:rPr>
            </w:pPr>
          </w:p>
        </w:tc>
      </w:tr>
      <w:tr w:rsidR="00D7560A" w14:paraId="59E4C0F0"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C0EC" w14:textId="77777777" w:rsidR="00D7560A" w:rsidRDefault="00D7560A">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59E4C0ED"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Three Months Ended</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C0EE" w14:textId="77777777" w:rsidR="00D7560A" w:rsidRDefault="00D7560A">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59E4C0EF"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Six Months Ended</w:t>
            </w:r>
          </w:p>
        </w:tc>
      </w:tr>
      <w:tr w:rsidR="00D7560A" w14:paraId="59E4C0F9"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C0F1"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59E4C0F2"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29, 2022</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59E4C0F3"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59E4C0F4"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30, 2021</w:t>
            </w: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59E4C0F5"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59E4C0F6"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29, 2022</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59E4C0F7"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59E4C0F8"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30, 2021</w:t>
            </w:r>
          </w:p>
        </w:tc>
      </w:tr>
      <w:tr w:rsidR="00D7560A" w14:paraId="59E4C0FC"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C0FA" w14:textId="77777777" w:rsidR="00D7560A" w:rsidRDefault="00D7560A">
            <w:pPr>
              <w:widowControl/>
              <w:jc w:val="left"/>
              <w:rPr>
                <w:rFonts w:ascii="Times New Roman" w:eastAsia="宋体" w:hAnsi="宋体" w:cs="宋体"/>
                <w:kern w:val="0"/>
                <w:sz w:val="24"/>
              </w:rPr>
            </w:pPr>
          </w:p>
        </w:tc>
        <w:tc>
          <w:tcPr>
            <w:tcW w:w="0" w:type="auto"/>
            <w:gridSpan w:val="21"/>
            <w:tcBorders>
              <w:top w:val="single" w:sz="8" w:space="0" w:color="000000"/>
              <w:left w:val="nil"/>
              <w:bottom w:val="nil"/>
              <w:right w:val="nil"/>
            </w:tcBorders>
            <w:shd w:val="clear" w:color="auto" w:fill="auto"/>
            <w:tcMar>
              <w:top w:w="40" w:type="dxa"/>
              <w:left w:w="20" w:type="dxa"/>
              <w:bottom w:w="40" w:type="dxa"/>
              <w:right w:w="20" w:type="dxa"/>
            </w:tcMar>
            <w:vAlign w:val="bottom"/>
          </w:tcPr>
          <w:p w14:paraId="59E4C0FB"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(in </w:t>
            </w:r>
            <w:r>
              <w:rPr>
                <w:rFonts w:ascii="Times New Roman" w:eastAsia="宋体" w:hAnsi="Times New Roman" w:cs="Times New Roman"/>
                <w:color w:val="000000"/>
                <w:kern w:val="0"/>
                <w:sz w:val="20"/>
                <w:szCs w:val="20"/>
                <w:lang w:bidi="ar"/>
              </w:rPr>
              <w:t>millions, except percentages)</w:t>
            </w:r>
          </w:p>
        </w:tc>
      </w:tr>
      <w:tr w:rsidR="00D7560A" w14:paraId="59E4C10D"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9E4C0FD"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Income before income taxes</w:t>
            </w: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9E4C0FE"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9E4C0FF"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635 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C100"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C101"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9E4C102"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9E4C103"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725 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C104"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C105"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9E4C106"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9E4C107"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1,848 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C108"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C109"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9E4C10A"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9E4C10B"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1,424 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C10C" w14:textId="77777777" w:rsidR="00D7560A" w:rsidRDefault="00D7560A">
            <w:pPr>
              <w:widowControl/>
              <w:jc w:val="right"/>
              <w:rPr>
                <w:rFonts w:ascii="Times New Roman" w:eastAsia="宋体" w:hAnsi="宋体" w:cs="宋体"/>
                <w:kern w:val="0"/>
                <w:sz w:val="24"/>
              </w:rPr>
            </w:pPr>
          </w:p>
        </w:tc>
      </w:tr>
      <w:tr w:rsidR="00D7560A" w14:paraId="59E4C11E"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59E4C10E"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Income tax expense</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9E4C10F"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9E4C110"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129 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C111"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C112"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9E4C113"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9E4C114"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C115"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C116"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9E4C117"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9E4C118"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273 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C119"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C11A"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9E4C11B"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9E4C11C"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136 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C11D" w14:textId="77777777" w:rsidR="00D7560A" w:rsidRDefault="00D7560A">
            <w:pPr>
              <w:widowControl/>
              <w:jc w:val="right"/>
              <w:rPr>
                <w:rFonts w:ascii="Times New Roman" w:eastAsia="宋体" w:hAnsi="宋体" w:cs="宋体"/>
                <w:kern w:val="0"/>
                <w:sz w:val="24"/>
              </w:rPr>
            </w:pPr>
          </w:p>
        </w:tc>
      </w:tr>
      <w:tr w:rsidR="00D7560A" w14:paraId="59E4C12B"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9E4C11F"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Effective income tax rate</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C120"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20.3 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C121"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C122"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C123"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13.2 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C124"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C125"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C126"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14.8 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C127"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C128"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C129"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C12A"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r>
    </w:tbl>
    <w:p w14:paraId="59E4C12C"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C12D"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C12E"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75</w:t>
      </w:r>
    </w:p>
    <w:p w14:paraId="59E4C12F"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C130" w14:textId="77777777" w:rsidR="00D7560A" w:rsidRDefault="001E3CAB">
      <w:pPr>
        <w:widowControl/>
        <w:jc w:val="center"/>
      </w:pPr>
      <w:r>
        <w:rPr>
          <w:rFonts w:ascii="宋体" w:eastAsia="宋体" w:hAnsi="宋体" w:cs="宋体"/>
          <w:kern w:val="0"/>
          <w:sz w:val="24"/>
        </w:rPr>
        <w:pict w14:anchorId="59E4C816">
          <v:rect id="_x0000_i1099" style="width:6in;height:1.5pt" o:hralign="center" o:hrstd="t" o:hr="t" fillcolor="#a0a0a0" stroked="f"/>
        </w:pict>
      </w:r>
    </w:p>
    <w:p w14:paraId="59E4C131" w14:textId="77777777" w:rsidR="00D7560A" w:rsidRDefault="001E3CAB">
      <w:pPr>
        <w:widowControl/>
        <w:jc w:val="left"/>
        <w:rPr>
          <w:rFonts w:ascii="宋体" w:eastAsia="宋体" w:hAnsi="宋体" w:cs="宋体"/>
          <w:kern w:val="0"/>
          <w:sz w:val="24"/>
        </w:rPr>
      </w:pPr>
      <w:hyperlink w:anchor="if933dd1d5d004d2495dd7029e3ecad00_13" w:history="1">
        <w:r>
          <w:rPr>
            <w:rStyle w:val="a4"/>
            <w:rFonts w:ascii="Times New Roman" w:eastAsia="宋体" w:hAnsi="Times New Roman" w:cs="Times New Roman"/>
            <w:sz w:val="20"/>
            <w:szCs w:val="20"/>
          </w:rPr>
          <w:t>Table of Contents</w:t>
        </w:r>
      </w:hyperlink>
    </w:p>
    <w:p w14:paraId="59E4C132"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For the second quarter of Fiscal 2023 and Fiscal 2022, our effective income tax rate was 20.3% and 13.2%, respectively. For the first six months of Fiscal 2023 and Fiscal 2022, ou</w:t>
      </w:r>
      <w:r>
        <w:rPr>
          <w:rFonts w:ascii="Times New Roman" w:eastAsia="宋体" w:hAnsi="Times New Roman" w:cs="Times New Roman"/>
          <w:color w:val="000000"/>
          <w:kern w:val="0"/>
          <w:sz w:val="20"/>
          <w:szCs w:val="20"/>
          <w:lang w:bidi="ar"/>
        </w:rPr>
        <w:t xml:space="preserve">r effective income tax rate was 14.8% and 9.6%, respectively. For the second quarter and first six months of Fiscal 2023, the changes in the Company’s effective tax rates were primarily attributable to changes in discrete tax items. Other increases in our </w:t>
      </w:r>
      <w:r>
        <w:rPr>
          <w:rFonts w:ascii="Times New Roman" w:eastAsia="宋体" w:hAnsi="Times New Roman" w:cs="Times New Roman"/>
          <w:color w:val="000000"/>
          <w:kern w:val="0"/>
          <w:sz w:val="20"/>
          <w:szCs w:val="20"/>
          <w:lang w:bidi="ar"/>
        </w:rPr>
        <w:t>effective income tax rates were driven by a change in our jurisdictional mix of income and higher U.S. tax on foreign operations, the effects of which were partially offset by higher benefits from foreign tax credits.</w:t>
      </w:r>
    </w:p>
    <w:p w14:paraId="59E4C133"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C134"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Higher U.S. tax on foreign operation</w:t>
      </w:r>
      <w:r>
        <w:rPr>
          <w:rFonts w:ascii="Times New Roman" w:eastAsia="宋体" w:hAnsi="Times New Roman" w:cs="Times New Roman"/>
          <w:color w:val="000000"/>
          <w:kern w:val="0"/>
          <w:sz w:val="20"/>
          <w:szCs w:val="20"/>
          <w:lang w:bidi="ar"/>
        </w:rPr>
        <w:t>s was due to the capitalization of research and development costs. Under the Tax Cuts and Jobs Act, which was enacted on December 22, 2017, research and development expenses incurred for tax years beginning after December 31, 2021 must be capitalized and a</w:t>
      </w:r>
      <w:r>
        <w:rPr>
          <w:rFonts w:ascii="Times New Roman" w:eastAsia="宋体" w:hAnsi="Times New Roman" w:cs="Times New Roman"/>
          <w:color w:val="000000"/>
          <w:kern w:val="0"/>
          <w:sz w:val="20"/>
          <w:szCs w:val="20"/>
          <w:lang w:bidi="ar"/>
        </w:rPr>
        <w:t xml:space="preserve">mortized ratably over five or 15 years for tax purposes, depending on where the research activities were conducted. Our effective income tax rate for future quarters of Fiscal 2023 may be impacted by actions taken by the U.S. government to defer or repeal </w:t>
      </w:r>
      <w:r>
        <w:rPr>
          <w:rFonts w:ascii="Times New Roman" w:eastAsia="宋体" w:hAnsi="Times New Roman" w:cs="Times New Roman"/>
          <w:color w:val="000000"/>
          <w:kern w:val="0"/>
          <w:sz w:val="20"/>
          <w:szCs w:val="20"/>
          <w:lang w:bidi="ar"/>
        </w:rPr>
        <w:t>this provision, as well as by the actual mix of jurisdictions in which income is generated and the impact of any discrete tax items. In addition, if the provision is not deferred or repealed, we expect it will result in a significant increase in our cash t</w:t>
      </w:r>
      <w:r>
        <w:rPr>
          <w:rFonts w:ascii="Times New Roman" w:eastAsia="宋体" w:hAnsi="Times New Roman" w:cs="Times New Roman"/>
          <w:color w:val="000000"/>
          <w:kern w:val="0"/>
          <w:sz w:val="20"/>
          <w:szCs w:val="20"/>
          <w:lang w:bidi="ar"/>
        </w:rPr>
        <w:t>ax liabilities for Fiscal 2023, as well as a significant reduction to our deferred tax liabilities.</w:t>
      </w:r>
    </w:p>
    <w:p w14:paraId="59E4C135"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C136"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Our effective income tax rate can fluctuate depending on the geographic distribution of our worldwide earnings, as our foreign earnings are generally taxe</w:t>
      </w:r>
      <w:r>
        <w:rPr>
          <w:rFonts w:ascii="Times New Roman" w:eastAsia="宋体" w:hAnsi="Times New Roman" w:cs="Times New Roman"/>
          <w:color w:val="000000"/>
          <w:kern w:val="0"/>
          <w:sz w:val="20"/>
          <w:szCs w:val="20"/>
          <w:lang w:bidi="ar"/>
        </w:rPr>
        <w:t xml:space="preserve">d at lower rates than in the United States. The differences between our effective income tax rate and the U.S. federal statutory rate of 21% principally result from the geographical distribution of income, differences between the book and tax treatment of </w:t>
      </w:r>
      <w:r>
        <w:rPr>
          <w:rFonts w:ascii="Times New Roman" w:eastAsia="宋体" w:hAnsi="Times New Roman" w:cs="Times New Roman"/>
          <w:color w:val="000000"/>
          <w:kern w:val="0"/>
          <w:sz w:val="20"/>
          <w:szCs w:val="20"/>
          <w:lang w:bidi="ar"/>
        </w:rPr>
        <w:t xml:space="preserve">certain items, and discrete tax items. In certain jurisdictions, our tax rate is significantly less than the applicable statutory rate as a result of tax holidays. The majority of our foreign income that is subject to these tax holidays is attributable to </w:t>
      </w:r>
      <w:r>
        <w:rPr>
          <w:rFonts w:ascii="Times New Roman" w:eastAsia="宋体" w:hAnsi="Times New Roman" w:cs="Times New Roman"/>
          <w:color w:val="000000"/>
          <w:kern w:val="0"/>
          <w:sz w:val="20"/>
          <w:szCs w:val="20"/>
          <w:lang w:bidi="ar"/>
        </w:rPr>
        <w:t>Singapore and China. A significant portion of these income tax benefits relates to a tax holiday that will be effective until January 31, 2029. Our other tax holidays will expire in whole or in part during Fiscal 2030 through Fiscal 2031. Many of these tax</w:t>
      </w:r>
      <w:r>
        <w:rPr>
          <w:rFonts w:ascii="Times New Roman" w:eastAsia="宋体" w:hAnsi="Times New Roman" w:cs="Times New Roman"/>
          <w:color w:val="000000"/>
          <w:kern w:val="0"/>
          <w:sz w:val="20"/>
          <w:szCs w:val="20"/>
          <w:lang w:bidi="ar"/>
        </w:rPr>
        <w:t xml:space="preserve"> holidays and reduced tax rates may be extended when certain conditions are met or may be terminated early if certain conditions are not met. As of July 29, 2022, we were not aware of any matters of noncompliance related to these tax holidays.</w:t>
      </w:r>
    </w:p>
    <w:p w14:paraId="59E4C137"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C138"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For furthe</w:t>
      </w:r>
      <w:r>
        <w:rPr>
          <w:rFonts w:ascii="Times New Roman" w:eastAsia="宋体" w:hAnsi="Times New Roman" w:cs="Times New Roman"/>
          <w:color w:val="000000"/>
          <w:kern w:val="0"/>
          <w:sz w:val="20"/>
          <w:szCs w:val="20"/>
          <w:lang w:bidi="ar"/>
        </w:rPr>
        <w:t xml:space="preserve">r discussion regarding tax matters, including the status of income tax audits, see Note 12 of the Notes to the Condensed Consolidated Financial Statements included in this report. </w:t>
      </w:r>
    </w:p>
    <w:p w14:paraId="59E4C139"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C13A"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See “Introduction – Business Trends and Challenges – Inflation Reduction </w:t>
      </w:r>
      <w:r>
        <w:rPr>
          <w:rFonts w:ascii="Times New Roman" w:eastAsia="宋体" w:hAnsi="Times New Roman" w:cs="Times New Roman"/>
          <w:color w:val="000000"/>
          <w:kern w:val="0"/>
          <w:sz w:val="20"/>
          <w:szCs w:val="20"/>
          <w:lang w:bidi="ar"/>
        </w:rPr>
        <w:t>Act” for a discussion of recent tax legislation.</w:t>
      </w:r>
    </w:p>
    <w:p w14:paraId="59E4C13B"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C13C"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Net Income from Continuing Operations</w:t>
      </w:r>
    </w:p>
    <w:p w14:paraId="59E4C13D"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C13E"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Net income from continuing operations was $0.5 billion and $0.6 billion during the second quarter of Fiscal 2023 and Fiscal 2022, respectively. The decrease was driv</w:t>
      </w:r>
      <w:r>
        <w:rPr>
          <w:rFonts w:ascii="Times New Roman" w:eastAsia="宋体" w:hAnsi="Times New Roman" w:cs="Times New Roman"/>
          <w:color w:val="000000"/>
          <w:kern w:val="0"/>
          <w:sz w:val="20"/>
          <w:szCs w:val="20"/>
          <w:lang w:bidi="ar"/>
        </w:rPr>
        <w:t>en principally by an unfavorable change in interest and other, net, partially offset by an increase in operating income.</w:t>
      </w:r>
    </w:p>
    <w:p w14:paraId="59E4C13F"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C140"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During the first six months of Fiscal 2023 and Fiscal 2022, net income from continuing operations was $1.6 billion and $1.3 billion, </w:t>
      </w:r>
      <w:r>
        <w:rPr>
          <w:rFonts w:ascii="Times New Roman" w:eastAsia="宋体" w:hAnsi="Times New Roman" w:cs="Times New Roman"/>
          <w:color w:val="000000"/>
          <w:kern w:val="0"/>
          <w:sz w:val="20"/>
          <w:szCs w:val="20"/>
          <w:lang w:bidi="ar"/>
        </w:rPr>
        <w:t>respectively. The increase was primarily due to an increase in operating income, partially offset by an unfavorable change in interest and other, net and an increase in tax expense.</w:t>
      </w:r>
    </w:p>
    <w:p w14:paraId="59E4C141"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C142"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Non-GAAP net income was $1.3 billion and $2.7 billion for the </w:t>
      </w:r>
      <w:r>
        <w:rPr>
          <w:rFonts w:ascii="Times New Roman" w:eastAsia="宋体" w:hAnsi="Times New Roman" w:cs="Times New Roman"/>
          <w:color w:val="000000"/>
          <w:kern w:val="0"/>
          <w:sz w:val="20"/>
          <w:szCs w:val="20"/>
          <w:lang w:bidi="ar"/>
        </w:rPr>
        <w:t>second quarter and first six months of Fiscal 2023, respectively, compared to $1.2 billion and $2.2 billion for the second quarter and first six months of Fiscal 2022, respectively. The increases were primarily attributable to an increase in non-GAAP opera</w:t>
      </w:r>
      <w:r>
        <w:rPr>
          <w:rFonts w:ascii="Times New Roman" w:eastAsia="宋体" w:hAnsi="Times New Roman" w:cs="Times New Roman"/>
          <w:color w:val="000000"/>
          <w:kern w:val="0"/>
          <w:sz w:val="20"/>
          <w:szCs w:val="20"/>
          <w:lang w:bidi="ar"/>
        </w:rPr>
        <w:t>ting income and a favorable change in interest and other, net, partially offset by an increase in tax expense during the current periods.</w:t>
      </w:r>
    </w:p>
    <w:p w14:paraId="59E4C143"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C144"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C145"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76</w:t>
      </w:r>
    </w:p>
    <w:p w14:paraId="59E4C146"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C147" w14:textId="77777777" w:rsidR="00D7560A" w:rsidRDefault="001E3CAB">
      <w:pPr>
        <w:widowControl/>
        <w:jc w:val="center"/>
      </w:pPr>
      <w:r>
        <w:rPr>
          <w:rFonts w:ascii="宋体" w:eastAsia="宋体" w:hAnsi="宋体" w:cs="宋体"/>
          <w:kern w:val="0"/>
          <w:sz w:val="24"/>
        </w:rPr>
        <w:pict w14:anchorId="59E4C817">
          <v:rect id="_x0000_i1100" style="width:6in;height:1.5pt" o:hralign="center" o:hrstd="t" o:hr="t" fillcolor="#a0a0a0" stroked="f"/>
        </w:pict>
      </w:r>
    </w:p>
    <w:p w14:paraId="59E4C148" w14:textId="77777777" w:rsidR="00D7560A" w:rsidRDefault="001E3CAB">
      <w:pPr>
        <w:widowControl/>
        <w:jc w:val="left"/>
        <w:rPr>
          <w:rFonts w:ascii="宋体" w:eastAsia="宋体" w:hAnsi="宋体" w:cs="宋体"/>
          <w:kern w:val="0"/>
          <w:sz w:val="24"/>
        </w:rPr>
      </w:pPr>
      <w:hyperlink w:anchor="if933dd1d5d004d2495dd7029e3ecad00_13" w:history="1">
        <w:r>
          <w:rPr>
            <w:rStyle w:val="a4"/>
            <w:rFonts w:ascii="Times New Roman" w:eastAsia="宋体" w:hAnsi="Times New Roman" w:cs="Times New Roman"/>
            <w:sz w:val="20"/>
            <w:szCs w:val="20"/>
          </w:rPr>
          <w:t>Table of Contents</w:t>
        </w:r>
      </w:hyperlink>
    </w:p>
    <w:p w14:paraId="59E4C149"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Business Unit Results</w:t>
      </w:r>
    </w:p>
    <w:p w14:paraId="59E4C14A"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C14B"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Our reportable segments are based on the ISG and CSG business units. A description of our business units is provided under “Introduction.” See Note 17 of t</w:t>
      </w:r>
      <w:r>
        <w:rPr>
          <w:rFonts w:ascii="Times New Roman" w:eastAsia="宋体" w:hAnsi="Times New Roman" w:cs="Times New Roman"/>
          <w:color w:val="000000"/>
          <w:kern w:val="0"/>
          <w:sz w:val="20"/>
          <w:szCs w:val="20"/>
          <w:lang w:bidi="ar"/>
        </w:rPr>
        <w:t>he Notes to the Condensed Consolidated Financial Statements included in this report for a reconciliation of net revenue and operating income by reportable segment to consolidated net revenue and consolidated operating income (loss), respectively.</w:t>
      </w:r>
    </w:p>
    <w:p w14:paraId="59E4C14C"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C14D"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Infrast</w:t>
      </w:r>
      <w:r>
        <w:rPr>
          <w:rFonts w:ascii="Times New Roman" w:eastAsia="宋体" w:hAnsi="Times New Roman" w:cs="Times New Roman"/>
          <w:b/>
          <w:bCs/>
          <w:color w:val="000000"/>
          <w:kern w:val="0"/>
          <w:sz w:val="20"/>
          <w:szCs w:val="20"/>
          <w:lang w:bidi="ar"/>
        </w:rPr>
        <w:t>ructure Solutions Group</w:t>
      </w:r>
    </w:p>
    <w:p w14:paraId="59E4C14E"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C14F"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shd w:val="clear" w:color="auto" w:fill="FFFFFF"/>
          <w:lang w:bidi="ar"/>
        </w:rPr>
        <w:t>The following table presents net revenue and operating income attributable to ISG for the periods indicated: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1"/>
        <w:gridCol w:w="1770"/>
        <w:gridCol w:w="36"/>
        <w:gridCol w:w="120"/>
        <w:gridCol w:w="675"/>
        <w:gridCol w:w="187"/>
        <w:gridCol w:w="36"/>
        <w:gridCol w:w="36"/>
        <w:gridCol w:w="36"/>
        <w:gridCol w:w="67"/>
        <w:gridCol w:w="623"/>
        <w:gridCol w:w="187"/>
        <w:gridCol w:w="36"/>
        <w:gridCol w:w="36"/>
        <w:gridCol w:w="36"/>
        <w:gridCol w:w="121"/>
        <w:gridCol w:w="585"/>
        <w:gridCol w:w="188"/>
        <w:gridCol w:w="36"/>
        <w:gridCol w:w="36"/>
        <w:gridCol w:w="36"/>
        <w:gridCol w:w="121"/>
        <w:gridCol w:w="683"/>
        <w:gridCol w:w="189"/>
        <w:gridCol w:w="36"/>
        <w:gridCol w:w="36"/>
        <w:gridCol w:w="36"/>
        <w:gridCol w:w="67"/>
        <w:gridCol w:w="623"/>
        <w:gridCol w:w="187"/>
        <w:gridCol w:w="36"/>
        <w:gridCol w:w="36"/>
        <w:gridCol w:w="36"/>
        <w:gridCol w:w="121"/>
        <w:gridCol w:w="584"/>
        <w:gridCol w:w="189"/>
        <w:gridCol w:w="36"/>
        <w:gridCol w:w="36"/>
        <w:gridCol w:w="36"/>
        <w:gridCol w:w="36"/>
        <w:gridCol w:w="36"/>
        <w:gridCol w:w="36"/>
        <w:gridCol w:w="36"/>
        <w:gridCol w:w="36"/>
        <w:gridCol w:w="36"/>
        <w:gridCol w:w="36"/>
        <w:gridCol w:w="36"/>
        <w:gridCol w:w="36"/>
      </w:tblGrid>
      <w:tr w:rsidR="00D7560A" w14:paraId="59E4C178" w14:textId="77777777">
        <w:trPr>
          <w:jc w:val="center"/>
        </w:trPr>
        <w:tc>
          <w:tcPr>
            <w:tcW w:w="50" w:type="pct"/>
            <w:tcBorders>
              <w:top w:val="nil"/>
              <w:left w:val="nil"/>
              <w:bottom w:val="nil"/>
              <w:right w:val="nil"/>
            </w:tcBorders>
            <w:shd w:val="clear" w:color="auto" w:fill="auto"/>
            <w:vAlign w:val="bottom"/>
          </w:tcPr>
          <w:p w14:paraId="59E4C150" w14:textId="77777777" w:rsidR="00D7560A" w:rsidRDefault="00D7560A">
            <w:pPr>
              <w:widowControl/>
              <w:jc w:val="left"/>
              <w:rPr>
                <w:rFonts w:ascii="Times New Roman" w:eastAsia="宋体" w:hAnsi="宋体" w:cs="宋体"/>
                <w:kern w:val="0"/>
                <w:sz w:val="24"/>
              </w:rPr>
            </w:pPr>
          </w:p>
        </w:tc>
        <w:tc>
          <w:tcPr>
            <w:tcW w:w="1297" w:type="pct"/>
            <w:tcBorders>
              <w:top w:val="nil"/>
              <w:left w:val="nil"/>
              <w:bottom w:val="nil"/>
              <w:right w:val="nil"/>
            </w:tcBorders>
            <w:shd w:val="clear" w:color="auto" w:fill="auto"/>
            <w:vAlign w:val="bottom"/>
          </w:tcPr>
          <w:p w14:paraId="59E4C151"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C152"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C153" w14:textId="77777777" w:rsidR="00D7560A" w:rsidRDefault="00D7560A">
            <w:pPr>
              <w:widowControl/>
              <w:jc w:val="left"/>
              <w:rPr>
                <w:rFonts w:ascii="Times New Roman" w:eastAsia="宋体" w:hAnsi="宋体" w:cs="宋体"/>
                <w:kern w:val="0"/>
                <w:sz w:val="24"/>
              </w:rPr>
            </w:pPr>
          </w:p>
        </w:tc>
        <w:tc>
          <w:tcPr>
            <w:tcW w:w="551" w:type="pct"/>
            <w:tcBorders>
              <w:top w:val="nil"/>
              <w:left w:val="nil"/>
              <w:bottom w:val="nil"/>
              <w:right w:val="nil"/>
            </w:tcBorders>
            <w:shd w:val="clear" w:color="auto" w:fill="auto"/>
            <w:vAlign w:val="bottom"/>
          </w:tcPr>
          <w:p w14:paraId="59E4C154"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C155"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C156" w14:textId="77777777" w:rsidR="00D7560A" w:rsidRDefault="00D7560A">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59E4C157"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C158"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C159" w14:textId="77777777" w:rsidR="00D7560A" w:rsidRDefault="00D7560A">
            <w:pPr>
              <w:widowControl/>
              <w:jc w:val="left"/>
              <w:rPr>
                <w:rFonts w:ascii="Times New Roman" w:eastAsia="宋体" w:hAnsi="宋体" w:cs="宋体"/>
                <w:kern w:val="0"/>
                <w:sz w:val="24"/>
              </w:rPr>
            </w:pPr>
          </w:p>
        </w:tc>
        <w:tc>
          <w:tcPr>
            <w:tcW w:w="471" w:type="pct"/>
            <w:tcBorders>
              <w:top w:val="nil"/>
              <w:left w:val="nil"/>
              <w:bottom w:val="nil"/>
              <w:right w:val="nil"/>
            </w:tcBorders>
            <w:shd w:val="clear" w:color="auto" w:fill="auto"/>
            <w:vAlign w:val="bottom"/>
          </w:tcPr>
          <w:p w14:paraId="59E4C15A"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C15B"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C15C" w14:textId="77777777" w:rsidR="00D7560A" w:rsidRDefault="00D7560A">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59E4C15D"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C15E"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C15F" w14:textId="77777777" w:rsidR="00D7560A" w:rsidRDefault="00D7560A">
            <w:pPr>
              <w:widowControl/>
              <w:jc w:val="left"/>
              <w:rPr>
                <w:rFonts w:ascii="Times New Roman" w:eastAsia="宋体" w:hAnsi="宋体" w:cs="宋体"/>
                <w:kern w:val="0"/>
                <w:sz w:val="24"/>
              </w:rPr>
            </w:pPr>
          </w:p>
        </w:tc>
        <w:tc>
          <w:tcPr>
            <w:tcW w:w="551" w:type="pct"/>
            <w:tcBorders>
              <w:top w:val="nil"/>
              <w:left w:val="nil"/>
              <w:bottom w:val="nil"/>
              <w:right w:val="nil"/>
            </w:tcBorders>
            <w:shd w:val="clear" w:color="auto" w:fill="auto"/>
            <w:vAlign w:val="bottom"/>
          </w:tcPr>
          <w:p w14:paraId="59E4C160"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C161"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C162" w14:textId="77777777" w:rsidR="00D7560A" w:rsidRDefault="00D7560A">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59E4C163"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C164"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C165" w14:textId="77777777" w:rsidR="00D7560A" w:rsidRDefault="00D7560A">
            <w:pPr>
              <w:widowControl/>
              <w:jc w:val="left"/>
              <w:rPr>
                <w:rFonts w:ascii="Times New Roman" w:eastAsia="宋体" w:hAnsi="宋体" w:cs="宋体"/>
                <w:kern w:val="0"/>
                <w:sz w:val="24"/>
              </w:rPr>
            </w:pPr>
          </w:p>
        </w:tc>
        <w:tc>
          <w:tcPr>
            <w:tcW w:w="551" w:type="pct"/>
            <w:tcBorders>
              <w:top w:val="nil"/>
              <w:left w:val="nil"/>
              <w:bottom w:val="nil"/>
              <w:right w:val="nil"/>
            </w:tcBorders>
            <w:shd w:val="clear" w:color="auto" w:fill="auto"/>
            <w:vAlign w:val="bottom"/>
          </w:tcPr>
          <w:p w14:paraId="59E4C166"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C167"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C168" w14:textId="77777777" w:rsidR="00D7560A" w:rsidRDefault="00D7560A">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59E4C169"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C16A"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C16B" w14:textId="77777777" w:rsidR="00D7560A" w:rsidRDefault="00D7560A">
            <w:pPr>
              <w:widowControl/>
              <w:jc w:val="left"/>
              <w:rPr>
                <w:rFonts w:ascii="Times New Roman" w:eastAsia="宋体" w:hAnsi="宋体" w:cs="宋体"/>
                <w:kern w:val="0"/>
                <w:sz w:val="24"/>
              </w:rPr>
            </w:pPr>
          </w:p>
        </w:tc>
        <w:tc>
          <w:tcPr>
            <w:tcW w:w="471" w:type="pct"/>
            <w:tcBorders>
              <w:top w:val="nil"/>
              <w:left w:val="nil"/>
              <w:bottom w:val="nil"/>
              <w:right w:val="nil"/>
            </w:tcBorders>
            <w:shd w:val="clear" w:color="auto" w:fill="auto"/>
            <w:vAlign w:val="bottom"/>
          </w:tcPr>
          <w:p w14:paraId="59E4C16C"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C16D"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C16E" w14:textId="77777777" w:rsidR="00D7560A" w:rsidRDefault="00D7560A">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59E4C16F"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C170"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C171" w14:textId="77777777" w:rsidR="00D7560A" w:rsidRDefault="00D7560A">
            <w:pPr>
              <w:widowControl/>
              <w:jc w:val="left"/>
              <w:rPr>
                <w:rFonts w:ascii="Times New Roman" w:eastAsia="宋体" w:hAnsi="宋体" w:cs="宋体"/>
                <w:kern w:val="0"/>
                <w:sz w:val="24"/>
              </w:rPr>
            </w:pPr>
          </w:p>
        </w:tc>
        <w:tc>
          <w:tcPr>
            <w:tcW w:w="552" w:type="pct"/>
            <w:tcBorders>
              <w:top w:val="nil"/>
              <w:left w:val="nil"/>
              <w:bottom w:val="nil"/>
              <w:right w:val="nil"/>
            </w:tcBorders>
            <w:shd w:val="clear" w:color="auto" w:fill="auto"/>
            <w:vAlign w:val="bottom"/>
          </w:tcPr>
          <w:p w14:paraId="59E4C172"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C173"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59E4C174"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C175"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C176"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C177" w14:textId="77777777" w:rsidR="00D7560A" w:rsidRDefault="00D7560A">
            <w:pPr>
              <w:widowControl/>
              <w:jc w:val="left"/>
              <w:rPr>
                <w:rFonts w:ascii="Times New Roman" w:eastAsia="宋体" w:hAnsi="宋体" w:cs="宋体"/>
                <w:vanish/>
                <w:kern w:val="0"/>
                <w:sz w:val="24"/>
              </w:rPr>
            </w:pPr>
          </w:p>
        </w:tc>
      </w:tr>
      <w:tr w:rsidR="00D7560A" w14:paraId="59E4C189"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C179" w14:textId="77777777" w:rsidR="00D7560A" w:rsidRDefault="00D7560A">
            <w:pPr>
              <w:widowControl/>
              <w:jc w:val="left"/>
              <w:rPr>
                <w:rFonts w:ascii="Times New Roman" w:eastAsia="宋体" w:hAnsi="宋体" w:cs="宋体"/>
                <w:kern w:val="0"/>
                <w:sz w:val="24"/>
              </w:rPr>
            </w:pPr>
          </w:p>
        </w:tc>
        <w:tc>
          <w:tcPr>
            <w:tcW w:w="0" w:type="auto"/>
            <w:gridSpan w:val="15"/>
            <w:tcBorders>
              <w:top w:val="nil"/>
              <w:left w:val="nil"/>
              <w:bottom w:val="nil"/>
              <w:right w:val="nil"/>
            </w:tcBorders>
            <w:shd w:val="clear" w:color="auto" w:fill="auto"/>
            <w:tcMar>
              <w:top w:w="40" w:type="dxa"/>
              <w:left w:w="20" w:type="dxa"/>
              <w:bottom w:w="40" w:type="dxa"/>
              <w:right w:w="20" w:type="dxa"/>
            </w:tcMar>
            <w:vAlign w:val="bottom"/>
          </w:tcPr>
          <w:p w14:paraId="59E4C17A"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Three Months Ended</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C17B" w14:textId="77777777" w:rsidR="00D7560A" w:rsidRDefault="00D7560A">
            <w:pPr>
              <w:widowControl/>
              <w:jc w:val="left"/>
              <w:rPr>
                <w:rFonts w:ascii="Times New Roman" w:eastAsia="宋体" w:hAnsi="宋体" w:cs="宋体"/>
                <w:kern w:val="0"/>
                <w:sz w:val="24"/>
              </w:rPr>
            </w:pPr>
          </w:p>
        </w:tc>
        <w:tc>
          <w:tcPr>
            <w:tcW w:w="0" w:type="auto"/>
            <w:gridSpan w:val="15"/>
            <w:tcBorders>
              <w:top w:val="nil"/>
              <w:left w:val="nil"/>
              <w:bottom w:val="nil"/>
              <w:right w:val="nil"/>
            </w:tcBorders>
            <w:shd w:val="clear" w:color="auto" w:fill="auto"/>
            <w:tcMar>
              <w:top w:w="40" w:type="dxa"/>
              <w:left w:w="20" w:type="dxa"/>
              <w:bottom w:w="40" w:type="dxa"/>
              <w:right w:w="20" w:type="dxa"/>
            </w:tcMar>
            <w:vAlign w:val="bottom"/>
          </w:tcPr>
          <w:p w14:paraId="59E4C17C"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Six Months Ended</w:t>
            </w:r>
          </w:p>
        </w:tc>
        <w:tc>
          <w:tcPr>
            <w:tcW w:w="0" w:type="auto"/>
            <w:tcBorders>
              <w:top w:val="nil"/>
              <w:left w:val="nil"/>
              <w:bottom w:val="nil"/>
              <w:right w:val="nil"/>
            </w:tcBorders>
            <w:shd w:val="clear" w:color="auto" w:fill="auto"/>
            <w:vAlign w:val="bottom"/>
          </w:tcPr>
          <w:p w14:paraId="59E4C17D"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C17E"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C17F"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C180"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C181"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C182"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C183"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C184"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C185"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C186"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C187"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C188" w14:textId="77777777" w:rsidR="00D7560A" w:rsidRDefault="00D7560A">
            <w:pPr>
              <w:widowControl/>
              <w:jc w:val="left"/>
              <w:rPr>
                <w:rFonts w:ascii="Times New Roman" w:eastAsia="宋体" w:hAnsi="宋体" w:cs="宋体"/>
                <w:kern w:val="0"/>
                <w:sz w:val="24"/>
              </w:rPr>
            </w:pPr>
          </w:p>
        </w:tc>
      </w:tr>
      <w:tr w:rsidR="00D7560A" w14:paraId="59E4C19A"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9E4C18A"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59E4C18B"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29, 2022</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59E4C18C"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59E4C18D"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 Change</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59E4C18E"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59E4C18F"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30, 2021</w:t>
            </w: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59E4C190"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59E4C191"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29, 2022</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59E4C192"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59E4C193"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 Change</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59E4C194"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59E4C195"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30, 2021</w:t>
            </w:r>
          </w:p>
        </w:tc>
        <w:tc>
          <w:tcPr>
            <w:tcW w:w="0" w:type="auto"/>
            <w:gridSpan w:val="3"/>
            <w:tcBorders>
              <w:top w:val="nil"/>
              <w:left w:val="nil"/>
              <w:bottom w:val="nil"/>
              <w:right w:val="nil"/>
            </w:tcBorders>
            <w:shd w:val="clear" w:color="auto" w:fill="auto"/>
            <w:vAlign w:val="bottom"/>
          </w:tcPr>
          <w:p w14:paraId="59E4C196"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C197"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C198"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C199" w14:textId="77777777" w:rsidR="00D7560A" w:rsidRDefault="00D7560A">
            <w:pPr>
              <w:widowControl/>
              <w:jc w:val="left"/>
              <w:rPr>
                <w:rFonts w:ascii="Times New Roman" w:eastAsia="宋体" w:hAnsi="宋体" w:cs="宋体"/>
                <w:vanish/>
                <w:kern w:val="0"/>
                <w:sz w:val="24"/>
              </w:rPr>
            </w:pPr>
          </w:p>
        </w:tc>
      </w:tr>
      <w:tr w:rsidR="00D7560A" w14:paraId="59E4C1A9"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C19B" w14:textId="77777777" w:rsidR="00D7560A" w:rsidRDefault="00D7560A">
            <w:pPr>
              <w:widowControl/>
              <w:jc w:val="left"/>
              <w:rPr>
                <w:rFonts w:ascii="Times New Roman" w:eastAsia="宋体" w:hAnsi="宋体" w:cs="宋体"/>
                <w:kern w:val="0"/>
                <w:sz w:val="24"/>
              </w:rPr>
            </w:pPr>
          </w:p>
        </w:tc>
        <w:tc>
          <w:tcPr>
            <w:tcW w:w="0" w:type="auto"/>
            <w:gridSpan w:val="3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59E4C19C"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(in millions, except percentages)</w:t>
            </w:r>
          </w:p>
        </w:tc>
        <w:tc>
          <w:tcPr>
            <w:tcW w:w="0" w:type="auto"/>
            <w:tcBorders>
              <w:top w:val="nil"/>
              <w:left w:val="nil"/>
              <w:bottom w:val="nil"/>
              <w:right w:val="nil"/>
            </w:tcBorders>
            <w:shd w:val="clear" w:color="auto" w:fill="auto"/>
            <w:vAlign w:val="bottom"/>
          </w:tcPr>
          <w:p w14:paraId="59E4C19D"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C19E"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C19F"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C1A0"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C1A1"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C1A2"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C1A3"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C1A4"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C1A5"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C1A6"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C1A7"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C1A8" w14:textId="77777777" w:rsidR="00D7560A" w:rsidRDefault="00D7560A">
            <w:pPr>
              <w:widowControl/>
              <w:jc w:val="left"/>
              <w:rPr>
                <w:rFonts w:ascii="Times New Roman" w:eastAsia="宋体" w:hAnsi="宋体" w:cs="宋体"/>
                <w:kern w:val="0"/>
                <w:sz w:val="24"/>
              </w:rPr>
            </w:pPr>
          </w:p>
        </w:tc>
      </w:tr>
      <w:tr w:rsidR="00D7560A" w14:paraId="59E4C1BA"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9E4C1AA"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i/>
                <w:iCs/>
                <w:color w:val="000000"/>
                <w:kern w:val="0"/>
                <w:sz w:val="20"/>
                <w:szCs w:val="20"/>
                <w:lang w:bidi="ar"/>
              </w:rPr>
              <w:t>Net revenue:</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C1AB"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C1AC"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C1AD"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C1AE"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C1AF"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C1B0"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C1B1"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C1B2"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C1B3"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C1B4"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C1B5"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59E4C1B6"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C1B7"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C1B8"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C1B9" w14:textId="77777777" w:rsidR="00D7560A" w:rsidRDefault="00D7560A">
            <w:pPr>
              <w:widowControl/>
              <w:jc w:val="left"/>
              <w:rPr>
                <w:rFonts w:ascii="Times New Roman" w:eastAsia="宋体" w:hAnsi="宋体" w:cs="宋体"/>
                <w:vanish/>
                <w:kern w:val="0"/>
                <w:sz w:val="24"/>
              </w:rPr>
            </w:pPr>
          </w:p>
        </w:tc>
      </w:tr>
      <w:tr w:rsidR="00D7560A" w14:paraId="59E4C1D2" w14:textId="77777777">
        <w:trPr>
          <w:jc w:val="center"/>
        </w:trPr>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59E4C1BB"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Servers and networking</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9E4C1BC"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9E4C1BD"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5,209 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C1BE"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C1BF"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C1C0"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C1C1"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C1C2"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9E4C1C3"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2"/>
            <w:tcBorders>
              <w:top w:val="nil"/>
              <w:left w:val="nil"/>
              <w:bottom w:val="nil"/>
              <w:right w:val="nil"/>
            </w:tcBorders>
            <w:shd w:val="clear" w:color="auto" w:fill="FFFFFF"/>
            <w:tcMar>
              <w:top w:w="40" w:type="dxa"/>
              <w:left w:w="0" w:type="dxa"/>
              <w:bottom w:w="40" w:type="dxa"/>
              <w:right w:w="140" w:type="dxa"/>
            </w:tcMar>
            <w:vAlign w:val="bottom"/>
          </w:tcPr>
          <w:p w14:paraId="59E4C1C4"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4,480</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C1C5"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9E4C1C6"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2"/>
            <w:tcBorders>
              <w:top w:val="nil"/>
              <w:left w:val="nil"/>
              <w:bottom w:val="nil"/>
              <w:right w:val="nil"/>
            </w:tcBorders>
            <w:shd w:val="clear" w:color="auto" w:fill="FFFFFF"/>
            <w:tcMar>
              <w:top w:w="40" w:type="dxa"/>
              <w:left w:w="0" w:type="dxa"/>
              <w:bottom w:w="40" w:type="dxa"/>
              <w:right w:w="140" w:type="dxa"/>
            </w:tcMar>
            <w:vAlign w:val="bottom"/>
          </w:tcPr>
          <w:p w14:paraId="59E4C1C7"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10,257</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C1C8"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C1C9"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C1CA"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C1CB"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9E4C1CC"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2"/>
            <w:tcBorders>
              <w:top w:val="nil"/>
              <w:left w:val="nil"/>
              <w:bottom w:val="nil"/>
              <w:right w:val="nil"/>
            </w:tcBorders>
            <w:shd w:val="clear" w:color="auto" w:fill="FFFFFF"/>
            <w:tcMar>
              <w:top w:w="40" w:type="dxa"/>
              <w:left w:w="0" w:type="dxa"/>
              <w:bottom w:w="40" w:type="dxa"/>
              <w:right w:w="140" w:type="dxa"/>
            </w:tcMar>
            <w:vAlign w:val="bottom"/>
          </w:tcPr>
          <w:p w14:paraId="59E4C1CD"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8,620</w:t>
            </w:r>
          </w:p>
        </w:tc>
        <w:tc>
          <w:tcPr>
            <w:tcW w:w="0" w:type="auto"/>
            <w:gridSpan w:val="3"/>
            <w:tcBorders>
              <w:top w:val="nil"/>
              <w:left w:val="nil"/>
              <w:bottom w:val="nil"/>
              <w:right w:val="nil"/>
            </w:tcBorders>
            <w:shd w:val="clear" w:color="auto" w:fill="auto"/>
            <w:vAlign w:val="bottom"/>
          </w:tcPr>
          <w:p w14:paraId="59E4C1CE"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C1CF"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C1D0"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C1D1" w14:textId="77777777" w:rsidR="00D7560A" w:rsidRDefault="00D7560A">
            <w:pPr>
              <w:widowControl/>
              <w:jc w:val="left"/>
              <w:rPr>
                <w:rFonts w:ascii="Times New Roman" w:eastAsia="宋体" w:hAnsi="宋体" w:cs="宋体"/>
                <w:vanish/>
                <w:kern w:val="0"/>
                <w:sz w:val="24"/>
              </w:rPr>
            </w:pPr>
          </w:p>
        </w:tc>
      </w:tr>
      <w:tr w:rsidR="00D7560A" w14:paraId="59E4C1E6" w14:textId="77777777">
        <w:trPr>
          <w:jc w:val="center"/>
        </w:trPr>
        <w:tc>
          <w:tcPr>
            <w:tcW w:w="0" w:type="auto"/>
            <w:gridSpan w:val="3"/>
            <w:tcBorders>
              <w:top w:val="nil"/>
              <w:left w:val="nil"/>
              <w:bottom w:val="nil"/>
              <w:right w:val="nil"/>
            </w:tcBorders>
            <w:shd w:val="clear" w:color="auto" w:fill="CCEEFF"/>
            <w:tcMar>
              <w:top w:w="40" w:type="dxa"/>
              <w:left w:w="155" w:type="dxa"/>
              <w:bottom w:w="40" w:type="dxa"/>
              <w:right w:w="20" w:type="dxa"/>
            </w:tcMar>
            <w:vAlign w:val="bottom"/>
          </w:tcPr>
          <w:p w14:paraId="59E4C1D3"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Storage</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C1D4"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4,327 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C1D5"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C1D6"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C1D7"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C1D8"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C1D9"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140" w:type="dxa"/>
            </w:tcMar>
            <w:vAlign w:val="bottom"/>
          </w:tcPr>
          <w:p w14:paraId="59E4C1DA"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4,070</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C1DB"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140" w:type="dxa"/>
            </w:tcMar>
            <w:vAlign w:val="bottom"/>
          </w:tcPr>
          <w:p w14:paraId="59E4C1DC"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8,564</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C1DD"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C1DE"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C1DF"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C1E0"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140" w:type="dxa"/>
            </w:tcMar>
            <w:vAlign w:val="bottom"/>
          </w:tcPr>
          <w:p w14:paraId="59E4C1E1"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7,963</w:t>
            </w:r>
          </w:p>
        </w:tc>
        <w:tc>
          <w:tcPr>
            <w:tcW w:w="0" w:type="auto"/>
            <w:gridSpan w:val="3"/>
            <w:tcBorders>
              <w:top w:val="nil"/>
              <w:left w:val="nil"/>
              <w:bottom w:val="nil"/>
              <w:right w:val="nil"/>
            </w:tcBorders>
            <w:shd w:val="clear" w:color="auto" w:fill="auto"/>
            <w:vAlign w:val="bottom"/>
          </w:tcPr>
          <w:p w14:paraId="59E4C1E2"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C1E3"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C1E4"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C1E5" w14:textId="77777777" w:rsidR="00D7560A" w:rsidRDefault="00D7560A">
            <w:pPr>
              <w:widowControl/>
              <w:jc w:val="left"/>
              <w:rPr>
                <w:rFonts w:ascii="Times New Roman" w:eastAsia="宋体" w:hAnsi="宋体" w:cs="宋体"/>
                <w:vanish/>
                <w:kern w:val="0"/>
                <w:sz w:val="24"/>
              </w:rPr>
            </w:pPr>
          </w:p>
        </w:tc>
      </w:tr>
      <w:tr w:rsidR="00D7560A" w14:paraId="59E4C1FE" w14:textId="77777777">
        <w:trPr>
          <w:jc w:val="center"/>
        </w:trPr>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59E4C1E7"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Total ISG net revenue</w:t>
            </w: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59E4C1E8"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0" w:type="dxa"/>
            </w:tcMar>
            <w:vAlign w:val="bottom"/>
          </w:tcPr>
          <w:p w14:paraId="59E4C1E9"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9,536 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59E4C1EA"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C1EB"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C1EC"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C1ED"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C1EE"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59E4C1EF"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2"/>
            <w:tcBorders>
              <w:top w:val="single" w:sz="8" w:space="0" w:color="000000"/>
              <w:left w:val="nil"/>
              <w:bottom w:val="single" w:sz="8" w:space="0" w:color="000000"/>
              <w:right w:val="nil"/>
            </w:tcBorders>
            <w:shd w:val="clear" w:color="auto" w:fill="FFFFFF"/>
            <w:tcMar>
              <w:top w:w="40" w:type="dxa"/>
              <w:left w:w="0" w:type="dxa"/>
              <w:bottom w:w="40" w:type="dxa"/>
              <w:right w:w="140" w:type="dxa"/>
            </w:tcMar>
            <w:vAlign w:val="bottom"/>
          </w:tcPr>
          <w:p w14:paraId="59E4C1F0"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8,550</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C1F1"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59E4C1F2"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2"/>
            <w:tcBorders>
              <w:top w:val="single" w:sz="8" w:space="0" w:color="000000"/>
              <w:left w:val="nil"/>
              <w:bottom w:val="single" w:sz="8" w:space="0" w:color="000000"/>
              <w:right w:val="nil"/>
            </w:tcBorders>
            <w:shd w:val="clear" w:color="auto" w:fill="FFFFFF"/>
            <w:tcMar>
              <w:top w:w="40" w:type="dxa"/>
              <w:left w:w="0" w:type="dxa"/>
              <w:bottom w:w="40" w:type="dxa"/>
              <w:right w:w="140" w:type="dxa"/>
            </w:tcMar>
            <w:vAlign w:val="bottom"/>
          </w:tcPr>
          <w:p w14:paraId="59E4C1F3"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18,821</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C1F4"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C1F5"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C1F6"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C1F7"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59E4C1F8"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2"/>
            <w:tcBorders>
              <w:top w:val="single" w:sz="8" w:space="0" w:color="000000"/>
              <w:left w:val="nil"/>
              <w:bottom w:val="single" w:sz="8" w:space="0" w:color="000000"/>
              <w:right w:val="nil"/>
            </w:tcBorders>
            <w:shd w:val="clear" w:color="auto" w:fill="FFFFFF"/>
            <w:tcMar>
              <w:top w:w="40" w:type="dxa"/>
              <w:left w:w="0" w:type="dxa"/>
              <w:bottom w:w="40" w:type="dxa"/>
              <w:right w:w="140" w:type="dxa"/>
            </w:tcMar>
            <w:vAlign w:val="bottom"/>
          </w:tcPr>
          <w:p w14:paraId="59E4C1F9"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16,583</w:t>
            </w:r>
          </w:p>
        </w:tc>
        <w:tc>
          <w:tcPr>
            <w:tcW w:w="0" w:type="auto"/>
            <w:gridSpan w:val="3"/>
            <w:tcBorders>
              <w:top w:val="nil"/>
              <w:left w:val="nil"/>
              <w:bottom w:val="nil"/>
              <w:right w:val="nil"/>
            </w:tcBorders>
            <w:shd w:val="clear" w:color="auto" w:fill="auto"/>
            <w:vAlign w:val="bottom"/>
          </w:tcPr>
          <w:p w14:paraId="59E4C1FA"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C1FB"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C1FC"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C1FD" w14:textId="77777777" w:rsidR="00D7560A" w:rsidRDefault="00D7560A">
            <w:pPr>
              <w:widowControl/>
              <w:jc w:val="left"/>
              <w:rPr>
                <w:rFonts w:ascii="Times New Roman" w:eastAsia="宋体" w:hAnsi="宋体" w:cs="宋体"/>
                <w:vanish/>
                <w:kern w:val="0"/>
                <w:sz w:val="24"/>
              </w:rPr>
            </w:pPr>
          </w:p>
        </w:tc>
      </w:tr>
      <w:tr w:rsidR="00D7560A" w14:paraId="59E4C20F" w14:textId="77777777">
        <w:trPr>
          <w:trHeight w:val="300"/>
          <w:jc w:val="center"/>
        </w:trPr>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C1FF"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59E4C200"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C201"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C202"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C203"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59E4C204"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C205"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59E4C206"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C207"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C208"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C209"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59E4C20A"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59E4C20B"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C20C"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C20D"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C20E" w14:textId="77777777" w:rsidR="00D7560A" w:rsidRDefault="00D7560A">
            <w:pPr>
              <w:widowControl/>
              <w:jc w:val="left"/>
              <w:rPr>
                <w:rFonts w:ascii="Times New Roman" w:eastAsia="宋体" w:hAnsi="宋体" w:cs="宋体"/>
                <w:vanish/>
                <w:kern w:val="0"/>
                <w:sz w:val="24"/>
              </w:rPr>
            </w:pPr>
          </w:p>
        </w:tc>
      </w:tr>
      <w:tr w:rsidR="00D7560A" w14:paraId="59E4C220"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59E4C210"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i/>
                <w:iCs/>
                <w:color w:val="000000"/>
                <w:kern w:val="0"/>
                <w:sz w:val="20"/>
                <w:szCs w:val="20"/>
                <w:lang w:bidi="ar"/>
              </w:rPr>
              <w:t>Operating income:</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C211"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C212"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C213"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C214"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C215"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C216"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C217"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C218"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C219"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C21A"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C21B"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59E4C21C"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C21D"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C21E"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C21F" w14:textId="77777777" w:rsidR="00D7560A" w:rsidRDefault="00D7560A">
            <w:pPr>
              <w:widowControl/>
              <w:jc w:val="left"/>
              <w:rPr>
                <w:rFonts w:ascii="Times New Roman" w:eastAsia="宋体" w:hAnsi="宋体" w:cs="宋体"/>
                <w:vanish/>
                <w:kern w:val="0"/>
                <w:sz w:val="24"/>
              </w:rPr>
            </w:pPr>
          </w:p>
        </w:tc>
      </w:tr>
      <w:tr w:rsidR="00D7560A" w14:paraId="59E4C238" w14:textId="77777777">
        <w:trPr>
          <w:jc w:val="center"/>
        </w:trPr>
        <w:tc>
          <w:tcPr>
            <w:tcW w:w="0" w:type="auto"/>
            <w:gridSpan w:val="3"/>
            <w:tcBorders>
              <w:top w:val="nil"/>
              <w:left w:val="nil"/>
              <w:bottom w:val="nil"/>
              <w:right w:val="nil"/>
            </w:tcBorders>
            <w:shd w:val="clear" w:color="auto" w:fill="CCEEFF"/>
            <w:tcMar>
              <w:top w:w="40" w:type="dxa"/>
              <w:left w:w="155" w:type="dxa"/>
              <w:bottom w:w="40" w:type="dxa"/>
              <w:right w:w="20" w:type="dxa"/>
            </w:tcMar>
            <w:vAlign w:val="bottom"/>
          </w:tcPr>
          <w:p w14:paraId="59E4C221"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ISG operating income</w:t>
            </w: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59E4C222"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0" w:type="dxa"/>
            </w:tcMar>
            <w:vAlign w:val="bottom"/>
          </w:tcPr>
          <w:p w14:paraId="59E4C223"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1,046 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59E4C224"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C225"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C226"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C227"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C228"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59E4C229"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2"/>
            <w:tcBorders>
              <w:top w:val="single" w:sz="8" w:space="0" w:color="000000"/>
              <w:left w:val="nil"/>
              <w:bottom w:val="nil"/>
              <w:right w:val="nil"/>
            </w:tcBorders>
            <w:shd w:val="clear" w:color="auto" w:fill="CCEEFF"/>
            <w:tcMar>
              <w:top w:w="40" w:type="dxa"/>
              <w:left w:w="0" w:type="dxa"/>
              <w:bottom w:w="40" w:type="dxa"/>
              <w:right w:w="140" w:type="dxa"/>
            </w:tcMar>
            <w:vAlign w:val="bottom"/>
          </w:tcPr>
          <w:p w14:paraId="59E4C22A"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962</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C22B"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59E4C22C"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2"/>
            <w:tcBorders>
              <w:top w:val="single" w:sz="8" w:space="0" w:color="000000"/>
              <w:left w:val="nil"/>
              <w:bottom w:val="nil"/>
              <w:right w:val="nil"/>
            </w:tcBorders>
            <w:shd w:val="clear" w:color="auto" w:fill="CCEEFF"/>
            <w:tcMar>
              <w:top w:w="40" w:type="dxa"/>
              <w:left w:w="0" w:type="dxa"/>
              <w:bottom w:w="40" w:type="dxa"/>
              <w:right w:w="140" w:type="dxa"/>
            </w:tcMar>
            <w:vAlign w:val="bottom"/>
          </w:tcPr>
          <w:p w14:paraId="59E4C22D"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2,128</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C22E"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C22F"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C230"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C231"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59E4C232"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2"/>
            <w:tcBorders>
              <w:top w:val="single" w:sz="8" w:space="0" w:color="000000"/>
              <w:left w:val="nil"/>
              <w:bottom w:val="nil"/>
              <w:right w:val="nil"/>
            </w:tcBorders>
            <w:shd w:val="clear" w:color="auto" w:fill="CCEEFF"/>
            <w:tcMar>
              <w:top w:w="40" w:type="dxa"/>
              <w:left w:w="0" w:type="dxa"/>
              <w:bottom w:w="40" w:type="dxa"/>
              <w:right w:w="140" w:type="dxa"/>
            </w:tcMar>
            <w:vAlign w:val="bottom"/>
          </w:tcPr>
          <w:p w14:paraId="59E4C233"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1,740</w:t>
            </w:r>
          </w:p>
        </w:tc>
        <w:tc>
          <w:tcPr>
            <w:tcW w:w="0" w:type="auto"/>
            <w:gridSpan w:val="3"/>
            <w:tcBorders>
              <w:top w:val="nil"/>
              <w:left w:val="nil"/>
              <w:bottom w:val="nil"/>
              <w:right w:val="nil"/>
            </w:tcBorders>
            <w:shd w:val="clear" w:color="auto" w:fill="auto"/>
            <w:vAlign w:val="bottom"/>
          </w:tcPr>
          <w:p w14:paraId="59E4C234"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C235"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C236"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C237" w14:textId="77777777" w:rsidR="00D7560A" w:rsidRDefault="00D7560A">
            <w:pPr>
              <w:widowControl/>
              <w:jc w:val="left"/>
              <w:rPr>
                <w:rFonts w:ascii="Times New Roman" w:eastAsia="宋体" w:hAnsi="宋体" w:cs="宋体"/>
                <w:vanish/>
                <w:kern w:val="0"/>
                <w:sz w:val="24"/>
              </w:rPr>
            </w:pPr>
          </w:p>
        </w:tc>
      </w:tr>
      <w:tr w:rsidR="00D7560A" w14:paraId="59E4C24D" w14:textId="77777777">
        <w:trPr>
          <w:jc w:val="center"/>
        </w:trPr>
        <w:tc>
          <w:tcPr>
            <w:tcW w:w="0" w:type="auto"/>
            <w:gridSpan w:val="3"/>
            <w:tcBorders>
              <w:top w:val="nil"/>
              <w:left w:val="nil"/>
              <w:bottom w:val="nil"/>
              <w:right w:val="nil"/>
            </w:tcBorders>
            <w:shd w:val="clear" w:color="auto" w:fill="auto"/>
            <w:tcMar>
              <w:top w:w="40" w:type="dxa"/>
              <w:left w:w="155" w:type="dxa"/>
              <w:bottom w:w="40" w:type="dxa"/>
              <w:right w:w="20" w:type="dxa"/>
            </w:tcMar>
            <w:vAlign w:val="bottom"/>
          </w:tcPr>
          <w:p w14:paraId="59E4C239"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i/>
                <w:iCs/>
                <w:color w:val="000000"/>
                <w:kern w:val="0"/>
                <w:sz w:val="20"/>
                <w:szCs w:val="20"/>
                <w:lang w:bidi="ar"/>
              </w:rPr>
              <w:t>% of segment net revenue</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59E4C23A"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i/>
                <w:iCs/>
                <w:color w:val="000000"/>
                <w:kern w:val="0"/>
                <w:sz w:val="20"/>
                <w:szCs w:val="20"/>
                <w:lang w:bidi="ar"/>
              </w:rPr>
              <w:t>11.0 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59E4C23B"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i/>
                <w:iCs/>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C23C"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C23D"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C23E" w14:textId="77777777" w:rsidR="00D7560A" w:rsidRDefault="00D7560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59E4C23F"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i/>
                <w:iCs/>
                <w:color w:val="000000"/>
                <w:kern w:val="0"/>
                <w:sz w:val="20"/>
                <w:szCs w:val="20"/>
                <w:lang w:bidi="ar"/>
              </w:rPr>
              <w:t>11.3 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59E4C240"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i/>
                <w:iCs/>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C241" w14:textId="77777777" w:rsidR="00D7560A" w:rsidRDefault="00D7560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59E4C242"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i/>
                <w:iCs/>
                <w:color w:val="000000"/>
                <w:kern w:val="0"/>
                <w:sz w:val="20"/>
                <w:szCs w:val="20"/>
                <w:lang w:bidi="ar"/>
              </w:rPr>
              <w:t>11.3 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59E4C243"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i/>
                <w:iCs/>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C244"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C245"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C246" w14:textId="77777777" w:rsidR="00D7560A" w:rsidRDefault="00D7560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59E4C247"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i/>
                <w:iCs/>
                <w:color w:val="000000"/>
                <w:kern w:val="0"/>
                <w:sz w:val="20"/>
                <w:szCs w:val="20"/>
                <w:lang w:bidi="ar"/>
              </w:rPr>
              <w:t>10.5 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59E4C248"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i/>
                <w:iCs/>
                <w:color w:val="000000"/>
                <w:kern w:val="0"/>
                <w:sz w:val="20"/>
                <w:szCs w:val="20"/>
                <w:lang w:bidi="ar"/>
              </w:rPr>
              <w:t>%</w:t>
            </w:r>
          </w:p>
        </w:tc>
        <w:tc>
          <w:tcPr>
            <w:tcW w:w="0" w:type="auto"/>
            <w:gridSpan w:val="3"/>
            <w:tcBorders>
              <w:top w:val="nil"/>
              <w:left w:val="nil"/>
              <w:bottom w:val="nil"/>
              <w:right w:val="nil"/>
            </w:tcBorders>
            <w:shd w:val="clear" w:color="auto" w:fill="auto"/>
            <w:vAlign w:val="bottom"/>
          </w:tcPr>
          <w:p w14:paraId="59E4C249"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C24A"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C24B"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C24C" w14:textId="77777777" w:rsidR="00D7560A" w:rsidRDefault="00D7560A">
            <w:pPr>
              <w:widowControl/>
              <w:jc w:val="left"/>
              <w:rPr>
                <w:rFonts w:ascii="Times New Roman" w:eastAsia="宋体" w:hAnsi="宋体" w:cs="宋体"/>
                <w:vanish/>
                <w:kern w:val="0"/>
                <w:sz w:val="24"/>
              </w:rPr>
            </w:pPr>
          </w:p>
        </w:tc>
      </w:tr>
    </w:tbl>
    <w:p w14:paraId="59E4C24E"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C24F"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i/>
          <w:iCs/>
          <w:color w:val="000000"/>
          <w:kern w:val="0"/>
          <w:sz w:val="20"/>
          <w:szCs w:val="20"/>
          <w:u w:val="single"/>
          <w:lang w:bidi="ar"/>
        </w:rPr>
        <w:t>Net Revenue</w:t>
      </w:r>
      <w:r>
        <w:rPr>
          <w:rFonts w:ascii="Times New Roman" w:eastAsia="宋体" w:hAnsi="Times New Roman" w:cs="Times New Roman"/>
          <w:color w:val="000000"/>
          <w:kern w:val="0"/>
          <w:sz w:val="20"/>
          <w:szCs w:val="20"/>
          <w:lang w:bidi="ar"/>
        </w:rPr>
        <w:t xml:space="preserve"> </w:t>
      </w:r>
      <w:r>
        <w:rPr>
          <w:rFonts w:ascii="Times New Roman" w:eastAsia="宋体" w:hAnsi="Times New Roman" w:cs="Times New Roman"/>
          <w:i/>
          <w:iCs/>
          <w:color w:val="000000"/>
          <w:kern w:val="0"/>
          <w:sz w:val="20"/>
          <w:szCs w:val="20"/>
          <w:lang w:bidi="ar"/>
        </w:rPr>
        <w:t xml:space="preserve">— </w:t>
      </w:r>
      <w:r>
        <w:rPr>
          <w:rFonts w:ascii="Times New Roman" w:eastAsia="宋体" w:hAnsi="Times New Roman" w:cs="Times New Roman"/>
          <w:color w:val="000000"/>
          <w:kern w:val="0"/>
          <w:sz w:val="20"/>
          <w:szCs w:val="20"/>
          <w:lang w:bidi="ar"/>
        </w:rPr>
        <w:t>During the second quarter and first six months of Fiscal 2023, ISG net revenue increased 12% and 13%, respectively, driven by strength across both servers and networking and storage offerings.</w:t>
      </w:r>
    </w:p>
    <w:p w14:paraId="59E4C250"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C251"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Revenue from sales of servers and networking increased 16% an</w:t>
      </w:r>
      <w:r>
        <w:rPr>
          <w:rFonts w:ascii="Times New Roman" w:eastAsia="宋体" w:hAnsi="Times New Roman" w:cs="Times New Roman"/>
          <w:color w:val="000000"/>
          <w:kern w:val="0"/>
          <w:sz w:val="20"/>
          <w:szCs w:val="20"/>
          <w:lang w:bidi="ar"/>
        </w:rPr>
        <w:t>d 19% during the second quarter and first six months of Fiscal 2023, respectively. The increases were primarily driven by an increase in average selling price of our server offerings, the effect of which was partially offset by a decrease in units sold. Th</w:t>
      </w:r>
      <w:r>
        <w:rPr>
          <w:rFonts w:ascii="Times New Roman" w:eastAsia="宋体" w:hAnsi="Times New Roman" w:cs="Times New Roman"/>
          <w:color w:val="000000"/>
          <w:kern w:val="0"/>
          <w:sz w:val="20"/>
          <w:szCs w:val="20"/>
          <w:lang w:bidi="ar"/>
        </w:rPr>
        <w:t>e average selling price for our server offerings increased as a result of a shift in mix within servers, richer configurations, and continued actions to manage pricing in response to increased input costs.</w:t>
      </w:r>
    </w:p>
    <w:p w14:paraId="59E4C252"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C253"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During the second quarter and first six months o</w:t>
      </w:r>
      <w:r>
        <w:rPr>
          <w:rFonts w:ascii="Times New Roman" w:eastAsia="宋体" w:hAnsi="Times New Roman" w:cs="Times New Roman"/>
          <w:color w:val="000000"/>
          <w:kern w:val="0"/>
          <w:sz w:val="20"/>
          <w:szCs w:val="20"/>
          <w:lang w:bidi="ar"/>
        </w:rPr>
        <w:t xml:space="preserve">f Fiscal 2023, storage revenue increased 6% and 8%, respectively, due to continued strength across the majority of our storage offerings. </w:t>
      </w:r>
    </w:p>
    <w:p w14:paraId="59E4C254"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C255"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ISG customers are interested in new and innovative models that address how they consume our solutions. We offer opt</w:t>
      </w:r>
      <w:r>
        <w:rPr>
          <w:rFonts w:ascii="Times New Roman" w:eastAsia="宋体" w:hAnsi="Times New Roman" w:cs="Times New Roman"/>
          <w:color w:val="000000"/>
          <w:kern w:val="0"/>
          <w:sz w:val="20"/>
          <w:szCs w:val="20"/>
          <w:lang w:bidi="ar"/>
        </w:rPr>
        <w:t>ions that include as-a-Service, utility, leases, and immediate pay models which are designed to match customers’ consumption and financing preferences. Our multiyear agreements typically result in recurring revenue streams over the term of the arrangement.</w:t>
      </w:r>
      <w:r>
        <w:rPr>
          <w:rFonts w:ascii="Times New Roman" w:eastAsia="宋体" w:hAnsi="Times New Roman" w:cs="Times New Roman"/>
          <w:color w:val="000000"/>
          <w:kern w:val="0"/>
          <w:sz w:val="20"/>
          <w:szCs w:val="20"/>
          <w:lang w:bidi="ar"/>
        </w:rPr>
        <w:t xml:space="preserve"> We expect that our flexible consumption models and as-a-Service offerings through APEX will further strengthen our customer relationships and provide a foundation for growth in recurring revenue. </w:t>
      </w:r>
    </w:p>
    <w:p w14:paraId="59E4C256"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C257"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From a geographical perspective, net revenue attributabl</w:t>
      </w:r>
      <w:r>
        <w:rPr>
          <w:rFonts w:ascii="Times New Roman" w:eastAsia="宋体" w:hAnsi="Times New Roman" w:cs="Times New Roman"/>
          <w:color w:val="000000"/>
          <w:kern w:val="0"/>
          <w:sz w:val="20"/>
          <w:szCs w:val="20"/>
          <w:lang w:bidi="ar"/>
        </w:rPr>
        <w:t>e to ISG increased in all regions during the second quarter and first six months of Fiscal 2023.</w:t>
      </w:r>
    </w:p>
    <w:p w14:paraId="59E4C258"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C259"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i/>
          <w:iCs/>
          <w:color w:val="000000"/>
          <w:kern w:val="0"/>
          <w:sz w:val="20"/>
          <w:szCs w:val="20"/>
          <w:u w:val="single"/>
          <w:lang w:bidi="ar"/>
        </w:rPr>
        <w:t>Operating Income</w:t>
      </w:r>
      <w:r>
        <w:rPr>
          <w:rFonts w:ascii="Times New Roman" w:eastAsia="宋体" w:hAnsi="Times New Roman" w:cs="Times New Roman"/>
          <w:color w:val="000000"/>
          <w:kern w:val="0"/>
          <w:sz w:val="20"/>
          <w:szCs w:val="20"/>
          <w:lang w:bidi="ar"/>
        </w:rPr>
        <w:t xml:space="preserve"> </w:t>
      </w:r>
      <w:r>
        <w:rPr>
          <w:rFonts w:ascii="Times New Roman" w:eastAsia="宋体" w:hAnsi="Times New Roman" w:cs="Times New Roman"/>
          <w:i/>
          <w:iCs/>
          <w:color w:val="000000"/>
          <w:kern w:val="0"/>
          <w:sz w:val="20"/>
          <w:szCs w:val="20"/>
          <w:lang w:bidi="ar"/>
        </w:rPr>
        <w:t xml:space="preserve">— </w:t>
      </w:r>
      <w:r>
        <w:rPr>
          <w:rFonts w:ascii="Times New Roman" w:eastAsia="宋体" w:hAnsi="Times New Roman" w:cs="Times New Roman"/>
          <w:color w:val="000000"/>
          <w:kern w:val="0"/>
          <w:sz w:val="20"/>
          <w:szCs w:val="20"/>
          <w:lang w:bidi="ar"/>
        </w:rPr>
        <w:t>During the second quarter of Fiscal 2023, ISG operating income as a percentage of net revenue decreased 30 basis points to 11.0%. The decr</w:t>
      </w:r>
      <w:r>
        <w:rPr>
          <w:rFonts w:ascii="Times New Roman" w:eastAsia="宋体" w:hAnsi="Times New Roman" w:cs="Times New Roman"/>
          <w:color w:val="000000"/>
          <w:kern w:val="0"/>
          <w:sz w:val="20"/>
          <w:szCs w:val="20"/>
          <w:lang w:bidi="ar"/>
        </w:rPr>
        <w:t>ease was principally attributable to the impacts of an increase in cost of net revenue and foreign currency exchange rate fluctuations which were not entirely offset by pricing adjustments. The effect of these impacts was partially mitigated by the favorab</w:t>
      </w:r>
      <w:r>
        <w:rPr>
          <w:rFonts w:ascii="Times New Roman" w:eastAsia="宋体" w:hAnsi="Times New Roman" w:cs="Times New Roman"/>
          <w:color w:val="000000"/>
          <w:kern w:val="0"/>
          <w:sz w:val="20"/>
          <w:szCs w:val="20"/>
          <w:lang w:bidi="ar"/>
        </w:rPr>
        <w:t>le impact of a decrease in operating expense as a percentage of revenue.</w:t>
      </w:r>
    </w:p>
    <w:p w14:paraId="59E4C25A"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C25B"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C25C"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77</w:t>
      </w:r>
    </w:p>
    <w:p w14:paraId="59E4C25D"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C25E" w14:textId="77777777" w:rsidR="00D7560A" w:rsidRDefault="001E3CAB">
      <w:pPr>
        <w:widowControl/>
        <w:jc w:val="center"/>
      </w:pPr>
      <w:r>
        <w:rPr>
          <w:rFonts w:ascii="宋体" w:eastAsia="宋体" w:hAnsi="宋体" w:cs="宋体"/>
          <w:kern w:val="0"/>
          <w:sz w:val="24"/>
        </w:rPr>
        <w:pict w14:anchorId="59E4C818">
          <v:rect id="_x0000_i1101" style="width:6in;height:1.5pt" o:hralign="center" o:hrstd="t" o:hr="t" fillcolor="#a0a0a0" stroked="f"/>
        </w:pict>
      </w:r>
    </w:p>
    <w:p w14:paraId="59E4C25F" w14:textId="77777777" w:rsidR="00D7560A" w:rsidRDefault="001E3CAB">
      <w:pPr>
        <w:widowControl/>
        <w:jc w:val="left"/>
        <w:rPr>
          <w:rFonts w:ascii="宋体" w:eastAsia="宋体" w:hAnsi="宋体" w:cs="宋体"/>
          <w:kern w:val="0"/>
          <w:sz w:val="24"/>
        </w:rPr>
      </w:pPr>
      <w:hyperlink w:anchor="if933dd1d5d004d2495dd7029e3ecad00_13" w:history="1">
        <w:r>
          <w:rPr>
            <w:rStyle w:val="a4"/>
            <w:rFonts w:ascii="Times New Roman" w:eastAsia="宋体" w:hAnsi="Times New Roman" w:cs="Times New Roman"/>
            <w:sz w:val="20"/>
            <w:szCs w:val="20"/>
          </w:rPr>
          <w:t>Table of Contents</w:t>
        </w:r>
      </w:hyperlink>
    </w:p>
    <w:p w14:paraId="59E4C260"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During the first six months of Fiscal 2023, ISG operating income as a percentage of net </w:t>
      </w:r>
      <w:r>
        <w:rPr>
          <w:rFonts w:ascii="Times New Roman" w:eastAsia="宋体" w:hAnsi="Times New Roman" w:cs="Times New Roman"/>
          <w:color w:val="000000"/>
          <w:kern w:val="0"/>
          <w:sz w:val="20"/>
          <w:szCs w:val="20"/>
          <w:lang w:bidi="ar"/>
        </w:rPr>
        <w:t>revenue increased 80 basis points to 11.3%, primarily due to a decrease in operating expenses as a percentage of revenue that resulted from strong revenue growth and disciplined cost management. The favorable impact of the decrease in operating expenses as</w:t>
      </w:r>
      <w:r>
        <w:rPr>
          <w:rFonts w:ascii="Times New Roman" w:eastAsia="宋体" w:hAnsi="Times New Roman" w:cs="Times New Roman"/>
          <w:color w:val="000000"/>
          <w:kern w:val="0"/>
          <w:sz w:val="20"/>
          <w:szCs w:val="20"/>
          <w:lang w:bidi="ar"/>
        </w:rPr>
        <w:t xml:space="preserve"> a percentage of revenue was partially offset by the impacts of an increase in cost of net revenue and foreign currency exchange rate fluctuations which were not entirely offset by pricing adjustments, coupled with a shift in revenue mix towards servers an</w:t>
      </w:r>
      <w:r>
        <w:rPr>
          <w:rFonts w:ascii="Times New Roman" w:eastAsia="宋体" w:hAnsi="Times New Roman" w:cs="Times New Roman"/>
          <w:color w:val="000000"/>
          <w:kern w:val="0"/>
          <w:sz w:val="20"/>
          <w:szCs w:val="20"/>
          <w:lang w:bidi="ar"/>
        </w:rPr>
        <w:t>d networking.</w:t>
      </w:r>
    </w:p>
    <w:p w14:paraId="59E4C261"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C262"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C263"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C264"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78</w:t>
      </w:r>
    </w:p>
    <w:p w14:paraId="59E4C265"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C266" w14:textId="77777777" w:rsidR="00D7560A" w:rsidRDefault="001E3CAB">
      <w:pPr>
        <w:widowControl/>
        <w:jc w:val="center"/>
      </w:pPr>
      <w:r>
        <w:rPr>
          <w:rFonts w:ascii="宋体" w:eastAsia="宋体" w:hAnsi="宋体" w:cs="宋体"/>
          <w:kern w:val="0"/>
          <w:sz w:val="24"/>
        </w:rPr>
        <w:pict w14:anchorId="59E4C819">
          <v:rect id="_x0000_i1102" style="width:6in;height:1.5pt" o:hralign="center" o:hrstd="t" o:hr="t" fillcolor="#a0a0a0" stroked="f"/>
        </w:pict>
      </w:r>
    </w:p>
    <w:p w14:paraId="59E4C267" w14:textId="77777777" w:rsidR="00D7560A" w:rsidRDefault="001E3CAB">
      <w:pPr>
        <w:widowControl/>
        <w:jc w:val="left"/>
        <w:rPr>
          <w:rFonts w:ascii="宋体" w:eastAsia="宋体" w:hAnsi="宋体" w:cs="宋体"/>
          <w:kern w:val="0"/>
          <w:sz w:val="24"/>
        </w:rPr>
      </w:pPr>
      <w:hyperlink w:anchor="if933dd1d5d004d2495dd7029e3ecad00_13" w:history="1">
        <w:r>
          <w:rPr>
            <w:rStyle w:val="a4"/>
            <w:rFonts w:ascii="Times New Roman" w:eastAsia="宋体" w:hAnsi="Times New Roman" w:cs="Times New Roman"/>
            <w:sz w:val="20"/>
            <w:szCs w:val="20"/>
          </w:rPr>
          <w:t>Table of Contents</w:t>
        </w:r>
      </w:hyperlink>
    </w:p>
    <w:p w14:paraId="59E4C268"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Client Solutions Group</w:t>
      </w:r>
    </w:p>
    <w:p w14:paraId="59E4C269"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C26A"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shd w:val="clear" w:color="auto" w:fill="FFFFFF"/>
          <w:lang w:bidi="ar"/>
        </w:rPr>
        <w:t>The following table presents net revenue and operating income attributable to CSG for the periods indicated: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4"/>
        <w:gridCol w:w="1645"/>
        <w:gridCol w:w="36"/>
        <w:gridCol w:w="120"/>
        <w:gridCol w:w="600"/>
        <w:gridCol w:w="187"/>
        <w:gridCol w:w="36"/>
        <w:gridCol w:w="36"/>
        <w:gridCol w:w="36"/>
        <w:gridCol w:w="67"/>
        <w:gridCol w:w="623"/>
        <w:gridCol w:w="187"/>
        <w:gridCol w:w="36"/>
        <w:gridCol w:w="36"/>
        <w:gridCol w:w="36"/>
        <w:gridCol w:w="121"/>
        <w:gridCol w:w="683"/>
        <w:gridCol w:w="188"/>
        <w:gridCol w:w="36"/>
        <w:gridCol w:w="36"/>
        <w:gridCol w:w="36"/>
        <w:gridCol w:w="121"/>
        <w:gridCol w:w="683"/>
        <w:gridCol w:w="189"/>
        <w:gridCol w:w="36"/>
        <w:gridCol w:w="36"/>
        <w:gridCol w:w="36"/>
        <w:gridCol w:w="67"/>
        <w:gridCol w:w="623"/>
        <w:gridCol w:w="187"/>
        <w:gridCol w:w="36"/>
        <w:gridCol w:w="36"/>
        <w:gridCol w:w="36"/>
        <w:gridCol w:w="121"/>
        <w:gridCol w:w="683"/>
        <w:gridCol w:w="189"/>
        <w:gridCol w:w="36"/>
        <w:gridCol w:w="36"/>
        <w:gridCol w:w="36"/>
        <w:gridCol w:w="36"/>
        <w:gridCol w:w="36"/>
        <w:gridCol w:w="36"/>
        <w:gridCol w:w="36"/>
        <w:gridCol w:w="36"/>
        <w:gridCol w:w="36"/>
        <w:gridCol w:w="36"/>
        <w:gridCol w:w="36"/>
        <w:gridCol w:w="36"/>
      </w:tblGrid>
      <w:tr w:rsidR="00D7560A" w14:paraId="59E4C293" w14:textId="77777777">
        <w:trPr>
          <w:jc w:val="center"/>
        </w:trPr>
        <w:tc>
          <w:tcPr>
            <w:tcW w:w="50" w:type="pct"/>
            <w:tcBorders>
              <w:top w:val="nil"/>
              <w:left w:val="nil"/>
              <w:bottom w:val="nil"/>
              <w:right w:val="nil"/>
            </w:tcBorders>
            <w:shd w:val="clear" w:color="auto" w:fill="auto"/>
            <w:vAlign w:val="bottom"/>
          </w:tcPr>
          <w:p w14:paraId="59E4C26B" w14:textId="77777777" w:rsidR="00D7560A" w:rsidRDefault="00D7560A">
            <w:pPr>
              <w:widowControl/>
              <w:jc w:val="left"/>
              <w:rPr>
                <w:rFonts w:ascii="Times New Roman" w:eastAsia="宋体" w:hAnsi="宋体" w:cs="宋体"/>
                <w:kern w:val="0"/>
                <w:sz w:val="24"/>
              </w:rPr>
            </w:pPr>
          </w:p>
        </w:tc>
        <w:tc>
          <w:tcPr>
            <w:tcW w:w="1297" w:type="pct"/>
            <w:tcBorders>
              <w:top w:val="nil"/>
              <w:left w:val="nil"/>
              <w:bottom w:val="nil"/>
              <w:right w:val="nil"/>
            </w:tcBorders>
            <w:shd w:val="clear" w:color="auto" w:fill="auto"/>
            <w:vAlign w:val="bottom"/>
          </w:tcPr>
          <w:p w14:paraId="59E4C26C"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C26D"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C26E" w14:textId="77777777" w:rsidR="00D7560A" w:rsidRDefault="00D7560A">
            <w:pPr>
              <w:widowControl/>
              <w:jc w:val="left"/>
              <w:rPr>
                <w:rFonts w:ascii="Times New Roman" w:eastAsia="宋体" w:hAnsi="宋体" w:cs="宋体"/>
                <w:kern w:val="0"/>
                <w:sz w:val="24"/>
              </w:rPr>
            </w:pPr>
          </w:p>
        </w:tc>
        <w:tc>
          <w:tcPr>
            <w:tcW w:w="551" w:type="pct"/>
            <w:tcBorders>
              <w:top w:val="nil"/>
              <w:left w:val="nil"/>
              <w:bottom w:val="nil"/>
              <w:right w:val="nil"/>
            </w:tcBorders>
            <w:shd w:val="clear" w:color="auto" w:fill="auto"/>
            <w:vAlign w:val="bottom"/>
          </w:tcPr>
          <w:p w14:paraId="59E4C26F"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C270"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C271" w14:textId="77777777" w:rsidR="00D7560A" w:rsidRDefault="00D7560A">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59E4C272"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C273"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C274" w14:textId="77777777" w:rsidR="00D7560A" w:rsidRDefault="00D7560A">
            <w:pPr>
              <w:widowControl/>
              <w:jc w:val="left"/>
              <w:rPr>
                <w:rFonts w:ascii="Times New Roman" w:eastAsia="宋体" w:hAnsi="宋体" w:cs="宋体"/>
                <w:kern w:val="0"/>
                <w:sz w:val="24"/>
              </w:rPr>
            </w:pPr>
          </w:p>
        </w:tc>
        <w:tc>
          <w:tcPr>
            <w:tcW w:w="471" w:type="pct"/>
            <w:tcBorders>
              <w:top w:val="nil"/>
              <w:left w:val="nil"/>
              <w:bottom w:val="nil"/>
              <w:right w:val="nil"/>
            </w:tcBorders>
            <w:shd w:val="clear" w:color="auto" w:fill="auto"/>
            <w:vAlign w:val="bottom"/>
          </w:tcPr>
          <w:p w14:paraId="59E4C275"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C276"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C277" w14:textId="77777777" w:rsidR="00D7560A" w:rsidRDefault="00D7560A">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59E4C278"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C279"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C27A" w14:textId="77777777" w:rsidR="00D7560A" w:rsidRDefault="00D7560A">
            <w:pPr>
              <w:widowControl/>
              <w:jc w:val="left"/>
              <w:rPr>
                <w:rFonts w:ascii="Times New Roman" w:eastAsia="宋体" w:hAnsi="宋体" w:cs="宋体"/>
                <w:kern w:val="0"/>
                <w:sz w:val="24"/>
              </w:rPr>
            </w:pPr>
          </w:p>
        </w:tc>
        <w:tc>
          <w:tcPr>
            <w:tcW w:w="551" w:type="pct"/>
            <w:tcBorders>
              <w:top w:val="nil"/>
              <w:left w:val="nil"/>
              <w:bottom w:val="nil"/>
              <w:right w:val="nil"/>
            </w:tcBorders>
            <w:shd w:val="clear" w:color="auto" w:fill="auto"/>
            <w:vAlign w:val="bottom"/>
          </w:tcPr>
          <w:p w14:paraId="59E4C27B"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C27C"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C27D" w14:textId="77777777" w:rsidR="00D7560A" w:rsidRDefault="00D7560A">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59E4C27E"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C27F"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C280" w14:textId="77777777" w:rsidR="00D7560A" w:rsidRDefault="00D7560A">
            <w:pPr>
              <w:widowControl/>
              <w:jc w:val="left"/>
              <w:rPr>
                <w:rFonts w:ascii="Times New Roman" w:eastAsia="宋体" w:hAnsi="宋体" w:cs="宋体"/>
                <w:kern w:val="0"/>
                <w:sz w:val="24"/>
              </w:rPr>
            </w:pPr>
          </w:p>
        </w:tc>
        <w:tc>
          <w:tcPr>
            <w:tcW w:w="551" w:type="pct"/>
            <w:tcBorders>
              <w:top w:val="nil"/>
              <w:left w:val="nil"/>
              <w:bottom w:val="nil"/>
              <w:right w:val="nil"/>
            </w:tcBorders>
            <w:shd w:val="clear" w:color="auto" w:fill="auto"/>
            <w:vAlign w:val="bottom"/>
          </w:tcPr>
          <w:p w14:paraId="59E4C281"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C282"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C283" w14:textId="77777777" w:rsidR="00D7560A" w:rsidRDefault="00D7560A">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59E4C284"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C285"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C286" w14:textId="77777777" w:rsidR="00D7560A" w:rsidRDefault="00D7560A">
            <w:pPr>
              <w:widowControl/>
              <w:jc w:val="left"/>
              <w:rPr>
                <w:rFonts w:ascii="Times New Roman" w:eastAsia="宋体" w:hAnsi="宋体" w:cs="宋体"/>
                <w:kern w:val="0"/>
                <w:sz w:val="24"/>
              </w:rPr>
            </w:pPr>
          </w:p>
        </w:tc>
        <w:tc>
          <w:tcPr>
            <w:tcW w:w="471" w:type="pct"/>
            <w:tcBorders>
              <w:top w:val="nil"/>
              <w:left w:val="nil"/>
              <w:bottom w:val="nil"/>
              <w:right w:val="nil"/>
            </w:tcBorders>
            <w:shd w:val="clear" w:color="auto" w:fill="auto"/>
            <w:vAlign w:val="bottom"/>
          </w:tcPr>
          <w:p w14:paraId="59E4C287"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C288"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C289" w14:textId="77777777" w:rsidR="00D7560A" w:rsidRDefault="00D7560A">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59E4C28A"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C28B"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C28C" w14:textId="77777777" w:rsidR="00D7560A" w:rsidRDefault="00D7560A">
            <w:pPr>
              <w:widowControl/>
              <w:jc w:val="left"/>
              <w:rPr>
                <w:rFonts w:ascii="Times New Roman" w:eastAsia="宋体" w:hAnsi="宋体" w:cs="宋体"/>
                <w:kern w:val="0"/>
                <w:sz w:val="24"/>
              </w:rPr>
            </w:pPr>
          </w:p>
        </w:tc>
        <w:tc>
          <w:tcPr>
            <w:tcW w:w="552" w:type="pct"/>
            <w:tcBorders>
              <w:top w:val="nil"/>
              <w:left w:val="nil"/>
              <w:bottom w:val="nil"/>
              <w:right w:val="nil"/>
            </w:tcBorders>
            <w:shd w:val="clear" w:color="auto" w:fill="auto"/>
            <w:vAlign w:val="bottom"/>
          </w:tcPr>
          <w:p w14:paraId="59E4C28D"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C28E"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59E4C28F"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C290"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C291"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C292" w14:textId="77777777" w:rsidR="00D7560A" w:rsidRDefault="00D7560A">
            <w:pPr>
              <w:widowControl/>
              <w:jc w:val="left"/>
              <w:rPr>
                <w:rFonts w:ascii="Times New Roman" w:eastAsia="宋体" w:hAnsi="宋体" w:cs="宋体"/>
                <w:vanish/>
                <w:kern w:val="0"/>
                <w:sz w:val="24"/>
              </w:rPr>
            </w:pPr>
          </w:p>
        </w:tc>
      </w:tr>
      <w:tr w:rsidR="00D7560A" w14:paraId="59E4C2A4"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C294" w14:textId="77777777" w:rsidR="00D7560A" w:rsidRDefault="00D7560A">
            <w:pPr>
              <w:widowControl/>
              <w:jc w:val="left"/>
              <w:rPr>
                <w:rFonts w:ascii="Times New Roman" w:eastAsia="宋体" w:hAnsi="宋体" w:cs="宋体"/>
                <w:kern w:val="0"/>
                <w:sz w:val="24"/>
              </w:rPr>
            </w:pPr>
          </w:p>
        </w:tc>
        <w:tc>
          <w:tcPr>
            <w:tcW w:w="0" w:type="auto"/>
            <w:gridSpan w:val="15"/>
            <w:tcBorders>
              <w:top w:val="nil"/>
              <w:left w:val="nil"/>
              <w:bottom w:val="nil"/>
              <w:right w:val="nil"/>
            </w:tcBorders>
            <w:shd w:val="clear" w:color="auto" w:fill="auto"/>
            <w:tcMar>
              <w:top w:w="40" w:type="dxa"/>
              <w:left w:w="20" w:type="dxa"/>
              <w:bottom w:w="40" w:type="dxa"/>
              <w:right w:w="20" w:type="dxa"/>
            </w:tcMar>
            <w:vAlign w:val="bottom"/>
          </w:tcPr>
          <w:p w14:paraId="59E4C295"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Three Months Ended</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C296" w14:textId="77777777" w:rsidR="00D7560A" w:rsidRDefault="00D7560A">
            <w:pPr>
              <w:widowControl/>
              <w:jc w:val="left"/>
              <w:rPr>
                <w:rFonts w:ascii="Times New Roman" w:eastAsia="宋体" w:hAnsi="宋体" w:cs="宋体"/>
                <w:kern w:val="0"/>
                <w:sz w:val="24"/>
              </w:rPr>
            </w:pPr>
          </w:p>
        </w:tc>
        <w:tc>
          <w:tcPr>
            <w:tcW w:w="0" w:type="auto"/>
            <w:gridSpan w:val="15"/>
            <w:tcBorders>
              <w:top w:val="nil"/>
              <w:left w:val="nil"/>
              <w:bottom w:val="nil"/>
              <w:right w:val="nil"/>
            </w:tcBorders>
            <w:shd w:val="clear" w:color="auto" w:fill="auto"/>
            <w:tcMar>
              <w:top w:w="40" w:type="dxa"/>
              <w:left w:w="20" w:type="dxa"/>
              <w:bottom w:w="40" w:type="dxa"/>
              <w:right w:w="20" w:type="dxa"/>
            </w:tcMar>
            <w:vAlign w:val="bottom"/>
          </w:tcPr>
          <w:p w14:paraId="59E4C297"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Six Months Ended</w:t>
            </w:r>
          </w:p>
        </w:tc>
        <w:tc>
          <w:tcPr>
            <w:tcW w:w="0" w:type="auto"/>
            <w:tcBorders>
              <w:top w:val="nil"/>
              <w:left w:val="nil"/>
              <w:bottom w:val="nil"/>
              <w:right w:val="nil"/>
            </w:tcBorders>
            <w:shd w:val="clear" w:color="auto" w:fill="auto"/>
            <w:vAlign w:val="bottom"/>
          </w:tcPr>
          <w:p w14:paraId="59E4C298"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C299"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C29A"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C29B"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C29C"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C29D"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C29E"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C29F"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C2A0"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C2A1"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C2A2"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C2A3" w14:textId="77777777" w:rsidR="00D7560A" w:rsidRDefault="00D7560A">
            <w:pPr>
              <w:widowControl/>
              <w:jc w:val="left"/>
              <w:rPr>
                <w:rFonts w:ascii="Times New Roman" w:eastAsia="宋体" w:hAnsi="宋体" w:cs="宋体"/>
                <w:kern w:val="0"/>
                <w:sz w:val="24"/>
              </w:rPr>
            </w:pPr>
          </w:p>
        </w:tc>
      </w:tr>
      <w:tr w:rsidR="00D7560A" w14:paraId="59E4C2B5"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C2A5"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59E4C2A6"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29, 2022</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59E4C2A7"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59E4C2A8"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 Change</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59E4C2A9"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59E4C2AA"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30, 2021</w:t>
            </w: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59E4C2AB"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59E4C2AC"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29, 2022</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59E4C2AD"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59E4C2AE"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 Change</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59E4C2AF"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59E4C2B0"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30, 2021</w:t>
            </w:r>
          </w:p>
        </w:tc>
        <w:tc>
          <w:tcPr>
            <w:tcW w:w="0" w:type="auto"/>
            <w:gridSpan w:val="3"/>
            <w:tcBorders>
              <w:top w:val="nil"/>
              <w:left w:val="nil"/>
              <w:bottom w:val="nil"/>
              <w:right w:val="nil"/>
            </w:tcBorders>
            <w:shd w:val="clear" w:color="auto" w:fill="auto"/>
            <w:vAlign w:val="bottom"/>
          </w:tcPr>
          <w:p w14:paraId="59E4C2B1"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C2B2"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C2B3"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C2B4" w14:textId="77777777" w:rsidR="00D7560A" w:rsidRDefault="00D7560A">
            <w:pPr>
              <w:widowControl/>
              <w:jc w:val="left"/>
              <w:rPr>
                <w:rFonts w:ascii="Times New Roman" w:eastAsia="宋体" w:hAnsi="宋体" w:cs="宋体"/>
                <w:vanish/>
                <w:kern w:val="0"/>
                <w:sz w:val="24"/>
              </w:rPr>
            </w:pPr>
          </w:p>
        </w:tc>
      </w:tr>
      <w:tr w:rsidR="00D7560A" w14:paraId="59E4C2C4"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9E4C2B6"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gridSpan w:val="3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59E4C2B7"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(in millions, except percentages)</w:t>
            </w:r>
          </w:p>
        </w:tc>
        <w:tc>
          <w:tcPr>
            <w:tcW w:w="0" w:type="auto"/>
            <w:tcBorders>
              <w:top w:val="nil"/>
              <w:left w:val="nil"/>
              <w:bottom w:val="nil"/>
              <w:right w:val="nil"/>
            </w:tcBorders>
            <w:shd w:val="clear" w:color="auto" w:fill="auto"/>
            <w:vAlign w:val="bottom"/>
          </w:tcPr>
          <w:p w14:paraId="59E4C2B8"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C2B9"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C2BA"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C2BB"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C2BC"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C2BD"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C2BE"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C2BF"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C2C0"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C2C1"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C2C2"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C2C3" w14:textId="77777777" w:rsidR="00D7560A" w:rsidRDefault="00D7560A">
            <w:pPr>
              <w:widowControl/>
              <w:jc w:val="left"/>
              <w:rPr>
                <w:rFonts w:ascii="Times New Roman" w:eastAsia="宋体" w:hAnsi="宋体" w:cs="宋体"/>
                <w:kern w:val="0"/>
                <w:sz w:val="24"/>
              </w:rPr>
            </w:pPr>
          </w:p>
        </w:tc>
      </w:tr>
      <w:tr w:rsidR="00D7560A" w14:paraId="59E4C2D5"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9E4C2C5"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i/>
                <w:iCs/>
                <w:color w:val="000000"/>
                <w:kern w:val="0"/>
                <w:sz w:val="20"/>
                <w:szCs w:val="20"/>
                <w:lang w:bidi="ar"/>
              </w:rPr>
              <w:t>Net revenue:</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C2C6"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C2C7"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C2C8"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C2C9"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C2CA"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C2CB"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C2CC"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C2CD"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C2CE"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C2CF"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C2D0"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59E4C2D1"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C2D2"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C2D3"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C2D4" w14:textId="77777777" w:rsidR="00D7560A" w:rsidRDefault="00D7560A">
            <w:pPr>
              <w:widowControl/>
              <w:jc w:val="left"/>
              <w:rPr>
                <w:rFonts w:ascii="Times New Roman" w:eastAsia="宋体" w:hAnsi="宋体" w:cs="宋体"/>
                <w:vanish/>
                <w:kern w:val="0"/>
                <w:sz w:val="24"/>
              </w:rPr>
            </w:pPr>
          </w:p>
        </w:tc>
      </w:tr>
      <w:tr w:rsidR="00D7560A" w14:paraId="59E4C2ED" w14:textId="77777777">
        <w:trPr>
          <w:jc w:val="center"/>
        </w:trPr>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59E4C2D6"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Commercial</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9E4C2D7"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9E4C2D8"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12,141 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C2D9"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C2DA"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C2DB"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C2DC"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C2DD"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9E4C2DE"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2"/>
            <w:tcBorders>
              <w:top w:val="nil"/>
              <w:left w:val="nil"/>
              <w:bottom w:val="nil"/>
              <w:right w:val="nil"/>
            </w:tcBorders>
            <w:shd w:val="clear" w:color="auto" w:fill="FFFFFF"/>
            <w:tcMar>
              <w:top w:w="40" w:type="dxa"/>
              <w:left w:w="0" w:type="dxa"/>
              <w:bottom w:w="40" w:type="dxa"/>
              <w:right w:w="140" w:type="dxa"/>
            </w:tcMar>
            <w:vAlign w:val="bottom"/>
          </w:tcPr>
          <w:p w14:paraId="59E4C2DF"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10,577</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C2E0"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9E4C2E1"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2"/>
            <w:tcBorders>
              <w:top w:val="nil"/>
              <w:left w:val="nil"/>
              <w:bottom w:val="nil"/>
              <w:right w:val="nil"/>
            </w:tcBorders>
            <w:shd w:val="clear" w:color="auto" w:fill="FFFFFF"/>
            <w:tcMar>
              <w:top w:w="40" w:type="dxa"/>
              <w:left w:w="0" w:type="dxa"/>
              <w:bottom w:w="40" w:type="dxa"/>
              <w:right w:w="140" w:type="dxa"/>
            </w:tcMar>
            <w:vAlign w:val="bottom"/>
          </w:tcPr>
          <w:p w14:paraId="59E4C2E2"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24,112</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C2E3"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C2E4"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C2E5"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C2E6"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9E4C2E7"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2"/>
            <w:tcBorders>
              <w:top w:val="nil"/>
              <w:left w:val="nil"/>
              <w:bottom w:val="nil"/>
              <w:right w:val="nil"/>
            </w:tcBorders>
            <w:shd w:val="clear" w:color="auto" w:fill="FFFFFF"/>
            <w:tcMar>
              <w:top w:w="40" w:type="dxa"/>
              <w:left w:w="0" w:type="dxa"/>
              <w:bottom w:w="40" w:type="dxa"/>
              <w:right w:w="140" w:type="dxa"/>
            </w:tcMar>
            <w:vAlign w:val="bottom"/>
          </w:tcPr>
          <w:p w14:paraId="59E4C2E8"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20,385</w:t>
            </w:r>
          </w:p>
        </w:tc>
        <w:tc>
          <w:tcPr>
            <w:tcW w:w="0" w:type="auto"/>
            <w:gridSpan w:val="3"/>
            <w:tcBorders>
              <w:top w:val="nil"/>
              <w:left w:val="nil"/>
              <w:bottom w:val="nil"/>
              <w:right w:val="nil"/>
            </w:tcBorders>
            <w:shd w:val="clear" w:color="auto" w:fill="auto"/>
            <w:vAlign w:val="bottom"/>
          </w:tcPr>
          <w:p w14:paraId="59E4C2E9"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C2EA"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C2EB"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C2EC" w14:textId="77777777" w:rsidR="00D7560A" w:rsidRDefault="00D7560A">
            <w:pPr>
              <w:widowControl/>
              <w:jc w:val="left"/>
              <w:rPr>
                <w:rFonts w:ascii="Times New Roman" w:eastAsia="宋体" w:hAnsi="宋体" w:cs="宋体"/>
                <w:vanish/>
                <w:kern w:val="0"/>
                <w:sz w:val="24"/>
              </w:rPr>
            </w:pPr>
          </w:p>
        </w:tc>
      </w:tr>
      <w:tr w:rsidR="00D7560A" w14:paraId="59E4C301" w14:textId="77777777">
        <w:trPr>
          <w:jc w:val="center"/>
        </w:trPr>
        <w:tc>
          <w:tcPr>
            <w:tcW w:w="0" w:type="auto"/>
            <w:gridSpan w:val="3"/>
            <w:tcBorders>
              <w:top w:val="nil"/>
              <w:left w:val="nil"/>
              <w:bottom w:val="nil"/>
              <w:right w:val="nil"/>
            </w:tcBorders>
            <w:shd w:val="clear" w:color="auto" w:fill="CCEEFF"/>
            <w:tcMar>
              <w:top w:w="40" w:type="dxa"/>
              <w:left w:w="155" w:type="dxa"/>
              <w:bottom w:w="40" w:type="dxa"/>
              <w:right w:w="20" w:type="dxa"/>
            </w:tcMar>
            <w:vAlign w:val="bottom"/>
          </w:tcPr>
          <w:p w14:paraId="59E4C2EE"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Consumer</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C2EF"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3,349 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C2F0"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C2F1"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C2F2"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C2F3"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C2F4"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140" w:type="dxa"/>
            </w:tcMar>
            <w:vAlign w:val="bottom"/>
          </w:tcPr>
          <w:p w14:paraId="59E4C2F5"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3,691</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C2F6"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140" w:type="dxa"/>
            </w:tcMar>
            <w:vAlign w:val="bottom"/>
          </w:tcPr>
          <w:p w14:paraId="59E4C2F7"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6,965</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C2F8"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C2F9"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C2FA"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C2FB"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140" w:type="dxa"/>
            </w:tcMar>
            <w:vAlign w:val="bottom"/>
          </w:tcPr>
          <w:p w14:paraId="59E4C2FC"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7,194</w:t>
            </w:r>
          </w:p>
        </w:tc>
        <w:tc>
          <w:tcPr>
            <w:tcW w:w="0" w:type="auto"/>
            <w:gridSpan w:val="3"/>
            <w:tcBorders>
              <w:top w:val="nil"/>
              <w:left w:val="nil"/>
              <w:bottom w:val="nil"/>
              <w:right w:val="nil"/>
            </w:tcBorders>
            <w:shd w:val="clear" w:color="auto" w:fill="auto"/>
            <w:vAlign w:val="bottom"/>
          </w:tcPr>
          <w:p w14:paraId="59E4C2FD"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C2FE"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C2FF"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C300" w14:textId="77777777" w:rsidR="00D7560A" w:rsidRDefault="00D7560A">
            <w:pPr>
              <w:widowControl/>
              <w:jc w:val="left"/>
              <w:rPr>
                <w:rFonts w:ascii="Times New Roman" w:eastAsia="宋体" w:hAnsi="宋体" w:cs="宋体"/>
                <w:vanish/>
                <w:kern w:val="0"/>
                <w:sz w:val="24"/>
              </w:rPr>
            </w:pPr>
          </w:p>
        </w:tc>
      </w:tr>
      <w:tr w:rsidR="00D7560A" w14:paraId="59E4C319" w14:textId="77777777">
        <w:trPr>
          <w:jc w:val="center"/>
        </w:trPr>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59E4C302"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Total CSG net revenue</w:t>
            </w: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59E4C303"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0" w:type="dxa"/>
            </w:tcMar>
            <w:vAlign w:val="bottom"/>
          </w:tcPr>
          <w:p w14:paraId="59E4C304"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15,490 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59E4C305"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C306"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C307"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C308"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C309"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59E4C30A"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2"/>
            <w:tcBorders>
              <w:top w:val="single" w:sz="8" w:space="0" w:color="000000"/>
              <w:left w:val="nil"/>
              <w:bottom w:val="single" w:sz="8" w:space="0" w:color="000000"/>
              <w:right w:val="nil"/>
            </w:tcBorders>
            <w:shd w:val="clear" w:color="auto" w:fill="FFFFFF"/>
            <w:tcMar>
              <w:top w:w="40" w:type="dxa"/>
              <w:left w:w="0" w:type="dxa"/>
              <w:bottom w:w="40" w:type="dxa"/>
              <w:right w:w="140" w:type="dxa"/>
            </w:tcMar>
            <w:vAlign w:val="bottom"/>
          </w:tcPr>
          <w:p w14:paraId="59E4C30B"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14,268</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C30C"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59E4C30D"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2"/>
            <w:tcBorders>
              <w:top w:val="single" w:sz="8" w:space="0" w:color="000000"/>
              <w:left w:val="nil"/>
              <w:bottom w:val="single" w:sz="8" w:space="0" w:color="000000"/>
              <w:right w:val="nil"/>
            </w:tcBorders>
            <w:shd w:val="clear" w:color="auto" w:fill="FFFFFF"/>
            <w:tcMar>
              <w:top w:w="40" w:type="dxa"/>
              <w:left w:w="0" w:type="dxa"/>
              <w:bottom w:w="40" w:type="dxa"/>
              <w:right w:w="140" w:type="dxa"/>
            </w:tcMar>
            <w:vAlign w:val="bottom"/>
          </w:tcPr>
          <w:p w14:paraId="59E4C30E"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31,077</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C30F"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C310"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C311"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C312"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59E4C313"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2"/>
            <w:tcBorders>
              <w:top w:val="single" w:sz="8" w:space="0" w:color="000000"/>
              <w:left w:val="nil"/>
              <w:bottom w:val="single" w:sz="8" w:space="0" w:color="000000"/>
              <w:right w:val="nil"/>
            </w:tcBorders>
            <w:shd w:val="clear" w:color="auto" w:fill="FFFFFF"/>
            <w:tcMar>
              <w:top w:w="40" w:type="dxa"/>
              <w:left w:w="0" w:type="dxa"/>
              <w:bottom w:w="40" w:type="dxa"/>
              <w:right w:w="140" w:type="dxa"/>
            </w:tcMar>
            <w:vAlign w:val="bottom"/>
          </w:tcPr>
          <w:p w14:paraId="59E4C314"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27,579</w:t>
            </w:r>
          </w:p>
        </w:tc>
        <w:tc>
          <w:tcPr>
            <w:tcW w:w="0" w:type="auto"/>
            <w:gridSpan w:val="3"/>
            <w:tcBorders>
              <w:top w:val="nil"/>
              <w:left w:val="nil"/>
              <w:bottom w:val="nil"/>
              <w:right w:val="nil"/>
            </w:tcBorders>
            <w:shd w:val="clear" w:color="auto" w:fill="auto"/>
            <w:vAlign w:val="bottom"/>
          </w:tcPr>
          <w:p w14:paraId="59E4C315"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C316"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C317"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C318" w14:textId="77777777" w:rsidR="00D7560A" w:rsidRDefault="00D7560A">
            <w:pPr>
              <w:widowControl/>
              <w:jc w:val="left"/>
              <w:rPr>
                <w:rFonts w:ascii="Times New Roman" w:eastAsia="宋体" w:hAnsi="宋体" w:cs="宋体"/>
                <w:vanish/>
                <w:kern w:val="0"/>
                <w:sz w:val="24"/>
              </w:rPr>
            </w:pPr>
          </w:p>
        </w:tc>
      </w:tr>
      <w:tr w:rsidR="00D7560A" w14:paraId="59E4C32A" w14:textId="77777777">
        <w:trPr>
          <w:trHeight w:val="300"/>
          <w:jc w:val="center"/>
        </w:trPr>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C31A"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59E4C31B"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C31C"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C31D"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C31E"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59E4C31F"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C320"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59E4C321"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C322"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C323"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C324"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59E4C325"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59E4C326"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C327"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C328"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C329" w14:textId="77777777" w:rsidR="00D7560A" w:rsidRDefault="00D7560A">
            <w:pPr>
              <w:widowControl/>
              <w:jc w:val="left"/>
              <w:rPr>
                <w:rFonts w:ascii="Times New Roman" w:eastAsia="宋体" w:hAnsi="宋体" w:cs="宋体"/>
                <w:vanish/>
                <w:kern w:val="0"/>
                <w:sz w:val="24"/>
              </w:rPr>
            </w:pPr>
          </w:p>
        </w:tc>
      </w:tr>
      <w:tr w:rsidR="00D7560A" w14:paraId="59E4C33B"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59E4C32B"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i/>
                <w:iCs/>
                <w:color w:val="000000"/>
                <w:kern w:val="0"/>
                <w:sz w:val="20"/>
                <w:szCs w:val="20"/>
                <w:lang w:bidi="ar"/>
              </w:rPr>
              <w:t>Operating income:</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C32C"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C32D"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C32E"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C32F"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C330"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C331"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C332"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C333"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C334"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C335"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C336"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59E4C337"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C338"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C339"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C33A" w14:textId="77777777" w:rsidR="00D7560A" w:rsidRDefault="00D7560A">
            <w:pPr>
              <w:widowControl/>
              <w:jc w:val="left"/>
              <w:rPr>
                <w:rFonts w:ascii="Times New Roman" w:eastAsia="宋体" w:hAnsi="宋体" w:cs="宋体"/>
                <w:vanish/>
                <w:kern w:val="0"/>
                <w:sz w:val="24"/>
              </w:rPr>
            </w:pPr>
          </w:p>
        </w:tc>
      </w:tr>
      <w:tr w:rsidR="00D7560A" w14:paraId="59E4C353" w14:textId="77777777">
        <w:trPr>
          <w:jc w:val="center"/>
        </w:trPr>
        <w:tc>
          <w:tcPr>
            <w:tcW w:w="0" w:type="auto"/>
            <w:gridSpan w:val="3"/>
            <w:tcBorders>
              <w:top w:val="nil"/>
              <w:left w:val="nil"/>
              <w:bottom w:val="nil"/>
              <w:right w:val="nil"/>
            </w:tcBorders>
            <w:shd w:val="clear" w:color="auto" w:fill="CCEEFF"/>
            <w:tcMar>
              <w:top w:w="40" w:type="dxa"/>
              <w:left w:w="155" w:type="dxa"/>
              <w:bottom w:w="40" w:type="dxa"/>
              <w:right w:w="20" w:type="dxa"/>
            </w:tcMar>
            <w:vAlign w:val="bottom"/>
          </w:tcPr>
          <w:p w14:paraId="59E4C33C"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CSG operating income</w:t>
            </w: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59E4C33D"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0" w:type="dxa"/>
            </w:tcMar>
            <w:vAlign w:val="bottom"/>
          </w:tcPr>
          <w:p w14:paraId="59E4C33E"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978 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59E4C33F"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C340"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C341"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C342"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C343"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59E4C344"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2"/>
            <w:tcBorders>
              <w:top w:val="single" w:sz="8" w:space="0" w:color="000000"/>
              <w:left w:val="nil"/>
              <w:bottom w:val="nil"/>
              <w:right w:val="nil"/>
            </w:tcBorders>
            <w:shd w:val="clear" w:color="auto" w:fill="CCEEFF"/>
            <w:tcMar>
              <w:top w:w="40" w:type="dxa"/>
              <w:left w:w="0" w:type="dxa"/>
              <w:bottom w:w="40" w:type="dxa"/>
              <w:right w:w="140" w:type="dxa"/>
            </w:tcMar>
            <w:vAlign w:val="bottom"/>
          </w:tcPr>
          <w:p w14:paraId="59E4C345"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986</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C346"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59E4C347"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2"/>
            <w:tcBorders>
              <w:top w:val="single" w:sz="8" w:space="0" w:color="000000"/>
              <w:left w:val="nil"/>
              <w:bottom w:val="nil"/>
              <w:right w:val="nil"/>
            </w:tcBorders>
            <w:shd w:val="clear" w:color="auto" w:fill="CCEEFF"/>
            <w:tcMar>
              <w:top w:w="40" w:type="dxa"/>
              <w:left w:w="0" w:type="dxa"/>
              <w:bottom w:w="40" w:type="dxa"/>
              <w:right w:w="140" w:type="dxa"/>
            </w:tcMar>
            <w:vAlign w:val="bottom"/>
          </w:tcPr>
          <w:p w14:paraId="59E4C348"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2,093</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C349"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C34A"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C34B"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C34C"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59E4C34D"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2"/>
            <w:tcBorders>
              <w:top w:val="single" w:sz="8" w:space="0" w:color="000000"/>
              <w:left w:val="nil"/>
              <w:bottom w:val="nil"/>
              <w:right w:val="nil"/>
            </w:tcBorders>
            <w:shd w:val="clear" w:color="auto" w:fill="CCEEFF"/>
            <w:tcMar>
              <w:top w:w="40" w:type="dxa"/>
              <w:left w:w="0" w:type="dxa"/>
              <w:bottom w:w="40" w:type="dxa"/>
              <w:right w:w="140" w:type="dxa"/>
            </w:tcMar>
            <w:vAlign w:val="bottom"/>
          </w:tcPr>
          <w:p w14:paraId="59E4C34E"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2,066</w:t>
            </w:r>
          </w:p>
        </w:tc>
        <w:tc>
          <w:tcPr>
            <w:tcW w:w="0" w:type="auto"/>
            <w:gridSpan w:val="3"/>
            <w:tcBorders>
              <w:top w:val="nil"/>
              <w:left w:val="nil"/>
              <w:bottom w:val="nil"/>
              <w:right w:val="nil"/>
            </w:tcBorders>
            <w:shd w:val="clear" w:color="auto" w:fill="auto"/>
            <w:vAlign w:val="bottom"/>
          </w:tcPr>
          <w:p w14:paraId="59E4C34F"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C350"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C351"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C352" w14:textId="77777777" w:rsidR="00D7560A" w:rsidRDefault="00D7560A">
            <w:pPr>
              <w:widowControl/>
              <w:jc w:val="left"/>
              <w:rPr>
                <w:rFonts w:ascii="Times New Roman" w:eastAsia="宋体" w:hAnsi="宋体" w:cs="宋体"/>
                <w:vanish/>
                <w:kern w:val="0"/>
                <w:sz w:val="24"/>
              </w:rPr>
            </w:pPr>
          </w:p>
        </w:tc>
      </w:tr>
      <w:tr w:rsidR="00D7560A" w14:paraId="59E4C368" w14:textId="77777777">
        <w:trPr>
          <w:jc w:val="center"/>
        </w:trPr>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59E4C354"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i/>
                <w:iCs/>
                <w:color w:val="000000"/>
                <w:kern w:val="0"/>
                <w:sz w:val="20"/>
                <w:szCs w:val="20"/>
                <w:lang w:bidi="ar"/>
              </w:rPr>
              <w:t>% of segment net revenue</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59E4C355"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i/>
                <w:iCs/>
                <w:color w:val="000000"/>
                <w:kern w:val="0"/>
                <w:sz w:val="20"/>
                <w:szCs w:val="20"/>
                <w:lang w:bidi="ar"/>
              </w:rPr>
              <w:t>6.3 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59E4C356"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i/>
                <w:iCs/>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C357"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C358"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C359" w14:textId="77777777" w:rsidR="00D7560A" w:rsidRDefault="00D7560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59E4C35A"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i/>
                <w:iCs/>
                <w:color w:val="000000"/>
                <w:kern w:val="0"/>
                <w:sz w:val="20"/>
                <w:szCs w:val="20"/>
                <w:lang w:bidi="ar"/>
              </w:rPr>
              <w:t>6.9 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59E4C35B"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i/>
                <w:iCs/>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C35C" w14:textId="77777777" w:rsidR="00D7560A" w:rsidRDefault="00D7560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59E4C35D"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i/>
                <w:iCs/>
                <w:color w:val="000000"/>
                <w:kern w:val="0"/>
                <w:sz w:val="20"/>
                <w:szCs w:val="20"/>
                <w:lang w:bidi="ar"/>
              </w:rPr>
              <w:t>6.7 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59E4C35E"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i/>
                <w:iCs/>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C35F"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C360"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C361" w14:textId="77777777" w:rsidR="00D7560A" w:rsidRDefault="00D7560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59E4C362"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i/>
                <w:iCs/>
                <w:color w:val="000000"/>
                <w:kern w:val="0"/>
                <w:sz w:val="20"/>
                <w:szCs w:val="20"/>
                <w:lang w:bidi="ar"/>
              </w:rPr>
              <w:t>7.5 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59E4C363"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i/>
                <w:iCs/>
                <w:color w:val="000000"/>
                <w:kern w:val="0"/>
                <w:sz w:val="20"/>
                <w:szCs w:val="20"/>
                <w:lang w:bidi="ar"/>
              </w:rPr>
              <w:t>%</w:t>
            </w:r>
          </w:p>
        </w:tc>
        <w:tc>
          <w:tcPr>
            <w:tcW w:w="0" w:type="auto"/>
            <w:gridSpan w:val="3"/>
            <w:tcBorders>
              <w:top w:val="nil"/>
              <w:left w:val="nil"/>
              <w:bottom w:val="nil"/>
              <w:right w:val="nil"/>
            </w:tcBorders>
            <w:shd w:val="clear" w:color="auto" w:fill="auto"/>
            <w:vAlign w:val="bottom"/>
          </w:tcPr>
          <w:p w14:paraId="59E4C364"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C365"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C366"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C367" w14:textId="77777777" w:rsidR="00D7560A" w:rsidRDefault="00D7560A">
            <w:pPr>
              <w:widowControl/>
              <w:jc w:val="left"/>
              <w:rPr>
                <w:rFonts w:ascii="Times New Roman" w:eastAsia="宋体" w:hAnsi="宋体" w:cs="宋体"/>
                <w:vanish/>
                <w:kern w:val="0"/>
                <w:sz w:val="24"/>
              </w:rPr>
            </w:pPr>
          </w:p>
        </w:tc>
      </w:tr>
    </w:tbl>
    <w:p w14:paraId="59E4C369"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C36A"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i/>
          <w:iCs/>
          <w:color w:val="000000"/>
          <w:kern w:val="0"/>
          <w:sz w:val="20"/>
          <w:szCs w:val="20"/>
          <w:u w:val="single"/>
          <w:lang w:bidi="ar"/>
        </w:rPr>
        <w:t>Net Revenue</w:t>
      </w:r>
      <w:r>
        <w:rPr>
          <w:rFonts w:ascii="Times New Roman" w:eastAsia="宋体" w:hAnsi="Times New Roman" w:cs="Times New Roman"/>
          <w:color w:val="000000"/>
          <w:kern w:val="0"/>
          <w:sz w:val="20"/>
          <w:szCs w:val="20"/>
          <w:lang w:bidi="ar"/>
        </w:rPr>
        <w:t xml:space="preserve"> </w:t>
      </w:r>
      <w:r>
        <w:rPr>
          <w:rFonts w:ascii="Times New Roman" w:eastAsia="宋体" w:hAnsi="Times New Roman" w:cs="Times New Roman"/>
          <w:i/>
          <w:iCs/>
          <w:color w:val="000000"/>
          <w:kern w:val="0"/>
          <w:sz w:val="20"/>
          <w:szCs w:val="20"/>
          <w:lang w:bidi="ar"/>
        </w:rPr>
        <w:t xml:space="preserve">— </w:t>
      </w:r>
      <w:r>
        <w:rPr>
          <w:rFonts w:ascii="Times New Roman" w:eastAsia="宋体" w:hAnsi="Times New Roman" w:cs="Times New Roman"/>
          <w:color w:val="000000"/>
          <w:kern w:val="0"/>
          <w:sz w:val="20"/>
          <w:szCs w:val="20"/>
          <w:lang w:bidi="ar"/>
        </w:rPr>
        <w:t xml:space="preserve">During the second quarter and first six months of Fiscal 2023, CSG net revenue increased 9% and 13%, respectively, primarily driven by an increase in revenue attributable to our commercial offerings, partially offset by a decline in consumer net revenue. </w:t>
      </w:r>
    </w:p>
    <w:p w14:paraId="59E4C36B"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C36C"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Commercial net revenue increased 15% and 18% during the second quarter and first six months of Fiscal 2023, respectively, principally as a result of an increase in the average selling price of our commercial offerings.</w:t>
      </w:r>
    </w:p>
    <w:p w14:paraId="59E4C36D"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C36E"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Consumer net revenue decreased 9%</w:t>
      </w:r>
      <w:r>
        <w:rPr>
          <w:rFonts w:ascii="Times New Roman" w:eastAsia="宋体" w:hAnsi="Times New Roman" w:cs="Times New Roman"/>
          <w:color w:val="000000"/>
          <w:kern w:val="0"/>
          <w:sz w:val="20"/>
          <w:szCs w:val="20"/>
          <w:lang w:bidi="ar"/>
        </w:rPr>
        <w:t xml:space="preserve"> and 3% during the second quarter and first six months of Fiscal 2023, respectively, primarily due to a decrease in units sold, partially offset by the effect of an increase in the average selling price of our consumer offerings. </w:t>
      </w:r>
    </w:p>
    <w:p w14:paraId="59E4C36F"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C370"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Our average selling pri</w:t>
      </w:r>
      <w:r>
        <w:rPr>
          <w:rFonts w:ascii="Times New Roman" w:eastAsia="宋体" w:hAnsi="Times New Roman" w:cs="Times New Roman"/>
          <w:color w:val="000000"/>
          <w:kern w:val="0"/>
          <w:sz w:val="20"/>
          <w:szCs w:val="20"/>
          <w:lang w:bidi="ar"/>
        </w:rPr>
        <w:t>ces increased as a result of a shift in mix towards commercial offerings, richer configurations, and continued actions to manage pricing in response to the macroeconomic environment.</w:t>
      </w:r>
    </w:p>
    <w:p w14:paraId="59E4C371"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C372"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From a geographical perspective, net revenue attributable to CSG increa</w:t>
      </w:r>
      <w:r>
        <w:rPr>
          <w:rFonts w:ascii="Times New Roman" w:eastAsia="宋体" w:hAnsi="Times New Roman" w:cs="Times New Roman"/>
          <w:color w:val="000000"/>
          <w:kern w:val="0"/>
          <w:sz w:val="20"/>
          <w:szCs w:val="20"/>
          <w:lang w:bidi="ar"/>
        </w:rPr>
        <w:t>sed across all regions during the first six months of Fiscal 2023. During the second quarter of Fiscal 2023, net revenue attributable to CSG increased in the Americas and APJ and was flat in EMEA.</w:t>
      </w:r>
    </w:p>
    <w:p w14:paraId="59E4C373"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C374"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i/>
          <w:iCs/>
          <w:color w:val="000000"/>
          <w:kern w:val="0"/>
          <w:sz w:val="20"/>
          <w:szCs w:val="20"/>
          <w:u w:val="single"/>
          <w:lang w:bidi="ar"/>
        </w:rPr>
        <w:t>Operating Income</w:t>
      </w:r>
      <w:r>
        <w:rPr>
          <w:rFonts w:ascii="Times New Roman" w:eastAsia="宋体" w:hAnsi="Times New Roman" w:cs="Times New Roman"/>
          <w:color w:val="000000"/>
          <w:kern w:val="0"/>
          <w:sz w:val="20"/>
          <w:szCs w:val="20"/>
          <w:lang w:bidi="ar"/>
        </w:rPr>
        <w:t xml:space="preserve"> </w:t>
      </w:r>
      <w:r>
        <w:rPr>
          <w:rFonts w:ascii="Times New Roman" w:eastAsia="宋体" w:hAnsi="Times New Roman" w:cs="Times New Roman"/>
          <w:i/>
          <w:iCs/>
          <w:color w:val="000000"/>
          <w:kern w:val="0"/>
          <w:sz w:val="20"/>
          <w:szCs w:val="20"/>
          <w:lang w:bidi="ar"/>
        </w:rPr>
        <w:t>—</w:t>
      </w:r>
      <w:r>
        <w:rPr>
          <w:rFonts w:ascii="Times New Roman" w:eastAsia="宋体" w:hAnsi="Times New Roman" w:cs="Times New Roman"/>
          <w:color w:val="000000"/>
          <w:kern w:val="0"/>
          <w:sz w:val="20"/>
          <w:szCs w:val="20"/>
          <w:lang w:bidi="ar"/>
        </w:rPr>
        <w:t xml:space="preserve"> During the second quarter and first si</w:t>
      </w:r>
      <w:r>
        <w:rPr>
          <w:rFonts w:ascii="Times New Roman" w:eastAsia="宋体" w:hAnsi="Times New Roman" w:cs="Times New Roman"/>
          <w:color w:val="000000"/>
          <w:kern w:val="0"/>
          <w:sz w:val="20"/>
          <w:szCs w:val="20"/>
          <w:lang w:bidi="ar"/>
        </w:rPr>
        <w:t xml:space="preserve">x months of Fiscal 2023, CSG operating income as a percentage of net revenue decreased 60 basis points to 6.3% and 80 basis points to 6.7%, respectively, primarily due to the impacts of an increase in cost of net revenue and foreign currency exchange rate </w:t>
      </w:r>
      <w:r>
        <w:rPr>
          <w:rFonts w:ascii="Times New Roman" w:eastAsia="宋体" w:hAnsi="Times New Roman" w:cs="Times New Roman"/>
          <w:color w:val="000000"/>
          <w:kern w:val="0"/>
          <w:sz w:val="20"/>
          <w:szCs w:val="20"/>
          <w:lang w:bidi="ar"/>
        </w:rPr>
        <w:t>fluctuations which were not entirely offset by pricing adjustments, as we balanced profitability with competitive positioning. The effect of these impacts was partially offset by a decrease in operating expenses as a percentage of revenue as a result of di</w:t>
      </w:r>
      <w:r>
        <w:rPr>
          <w:rFonts w:ascii="Times New Roman" w:eastAsia="宋体" w:hAnsi="Times New Roman" w:cs="Times New Roman"/>
          <w:color w:val="000000"/>
          <w:kern w:val="0"/>
          <w:sz w:val="20"/>
          <w:szCs w:val="20"/>
          <w:lang w:bidi="ar"/>
        </w:rPr>
        <w:t>sciplined cost management.</w:t>
      </w:r>
    </w:p>
    <w:p w14:paraId="59E4C375"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C376"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79</w:t>
      </w:r>
    </w:p>
    <w:p w14:paraId="59E4C377"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C378" w14:textId="77777777" w:rsidR="00D7560A" w:rsidRDefault="001E3CAB">
      <w:pPr>
        <w:widowControl/>
        <w:jc w:val="center"/>
      </w:pPr>
      <w:r>
        <w:rPr>
          <w:rFonts w:ascii="宋体" w:eastAsia="宋体" w:hAnsi="宋体" w:cs="宋体"/>
          <w:kern w:val="0"/>
          <w:sz w:val="24"/>
        </w:rPr>
        <w:pict w14:anchorId="59E4C81A">
          <v:rect id="_x0000_i1103" style="width:6in;height:1.5pt" o:hralign="center" o:hrstd="t" o:hr="t" fillcolor="#a0a0a0" stroked="f"/>
        </w:pict>
      </w:r>
    </w:p>
    <w:p w14:paraId="59E4C379" w14:textId="77777777" w:rsidR="00D7560A" w:rsidRDefault="001E3CAB">
      <w:pPr>
        <w:widowControl/>
        <w:jc w:val="left"/>
        <w:rPr>
          <w:rFonts w:ascii="宋体" w:eastAsia="宋体" w:hAnsi="宋体" w:cs="宋体"/>
          <w:kern w:val="0"/>
          <w:sz w:val="24"/>
        </w:rPr>
      </w:pPr>
      <w:hyperlink w:anchor="if933dd1d5d004d2495dd7029e3ecad00_13" w:history="1">
        <w:r>
          <w:rPr>
            <w:rStyle w:val="a4"/>
            <w:rFonts w:ascii="Times New Roman" w:eastAsia="宋体" w:hAnsi="Times New Roman" w:cs="Times New Roman"/>
            <w:sz w:val="20"/>
            <w:szCs w:val="20"/>
          </w:rPr>
          <w:t>Table of Contents</w:t>
        </w:r>
      </w:hyperlink>
    </w:p>
    <w:p w14:paraId="59E4C37A"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OTHER BALANCE SHEET ITEMS</w:t>
      </w:r>
    </w:p>
    <w:p w14:paraId="59E4C37B"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C37C"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 xml:space="preserve">Accounts Receivable </w:t>
      </w:r>
    </w:p>
    <w:p w14:paraId="59E4C37D"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C37E"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We sell products and services directly to customers and through a variety of sales </w:t>
      </w:r>
      <w:r>
        <w:rPr>
          <w:rFonts w:ascii="Times New Roman" w:eastAsia="宋体" w:hAnsi="Times New Roman" w:cs="Times New Roman"/>
          <w:color w:val="000000"/>
          <w:kern w:val="0"/>
          <w:sz w:val="20"/>
          <w:szCs w:val="20"/>
          <w:lang w:bidi="ar"/>
        </w:rPr>
        <w:t>channels, including retail distribution. Our accounts receivable, net, was $13.4 billion and $12.9 billion as of July 29, 2022 and January 28, 2022, respectively. We maintain an allowance for expected credit losses to cover receivables that may be deemed u</w:t>
      </w:r>
      <w:r>
        <w:rPr>
          <w:rFonts w:ascii="Times New Roman" w:eastAsia="宋体" w:hAnsi="Times New Roman" w:cs="Times New Roman"/>
          <w:color w:val="000000"/>
          <w:kern w:val="0"/>
          <w:sz w:val="20"/>
          <w:szCs w:val="20"/>
          <w:lang w:bidi="ar"/>
        </w:rPr>
        <w:t>ncollectible. As of July 29, 2022 and January 28, 2022, the allowance for expected credit losses was $75 million and $90 million, respectively. Based on our assessment, we believe that we are adequately reserved for expected credit losses. We will continue</w:t>
      </w:r>
      <w:r>
        <w:rPr>
          <w:rFonts w:ascii="Times New Roman" w:eastAsia="宋体" w:hAnsi="Times New Roman" w:cs="Times New Roman"/>
          <w:color w:val="000000"/>
          <w:kern w:val="0"/>
          <w:sz w:val="20"/>
          <w:szCs w:val="20"/>
          <w:lang w:bidi="ar"/>
        </w:rPr>
        <w:t xml:space="preserve"> to monitor the aging of our accounts receivable and take actions, where necessary, to reduce our exposure to credit losses.</w:t>
      </w:r>
    </w:p>
    <w:p w14:paraId="59E4C37F"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C380"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Dell Financial Services and Financing Receivables</w:t>
      </w:r>
    </w:p>
    <w:p w14:paraId="59E4C381"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C382"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The Company offers or arranges various financing options and services for our</w:t>
      </w:r>
      <w:r>
        <w:rPr>
          <w:rFonts w:ascii="Times New Roman" w:eastAsia="宋体" w:hAnsi="Times New Roman" w:cs="Times New Roman"/>
          <w:color w:val="000000"/>
          <w:kern w:val="0"/>
          <w:sz w:val="20"/>
          <w:szCs w:val="20"/>
          <w:lang w:bidi="ar"/>
        </w:rPr>
        <w:t xml:space="preserve"> customers globally, including through captive financing operations. DFS originates, collects, and services customer receivables primarily related to the purchase of our product, software, and service solutions. The Company further strengthens our customer</w:t>
      </w:r>
      <w:r>
        <w:rPr>
          <w:rFonts w:ascii="Times New Roman" w:eastAsia="宋体" w:hAnsi="Times New Roman" w:cs="Times New Roman"/>
          <w:color w:val="000000"/>
          <w:kern w:val="0"/>
          <w:sz w:val="20"/>
          <w:szCs w:val="20"/>
          <w:lang w:bidi="ar"/>
        </w:rPr>
        <w:t xml:space="preserve"> relationships through its flexible consumption models, which enable us to offer our customers the option to pay over time and, in certain cases, based on utilization, to provide them with financial flexibility to meet their changing technological requirem</w:t>
      </w:r>
      <w:r>
        <w:rPr>
          <w:rFonts w:ascii="Times New Roman" w:eastAsia="宋体" w:hAnsi="Times New Roman" w:cs="Times New Roman"/>
          <w:color w:val="000000"/>
          <w:kern w:val="0"/>
          <w:sz w:val="20"/>
          <w:szCs w:val="20"/>
          <w:lang w:bidi="ar"/>
        </w:rPr>
        <w:t xml:space="preserve">ents. New financing originations were $2.3 billion and $1.9 billion for the second quarter of Fiscal 2023 and Fiscal 2022, respectively, and $4.4 billion and $3.8 billion for the first six months of Fiscal 2023 and Fiscal 2022, respectively. </w:t>
      </w:r>
    </w:p>
    <w:p w14:paraId="59E4C383"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C384"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The Company</w:t>
      </w:r>
      <w:r>
        <w:rPr>
          <w:rFonts w:ascii="Times New Roman" w:eastAsia="宋体" w:hAnsi="Times New Roman" w:cs="Times New Roman"/>
          <w:color w:val="000000"/>
          <w:kern w:val="0"/>
          <w:sz w:val="20"/>
          <w:szCs w:val="20"/>
          <w:lang w:bidi="ar"/>
        </w:rPr>
        <w:t xml:space="preserve">’s leases are generally classified as sales-type leases or operating leases. Amounts due from lessees under sales-type leases or direct financing leases are recorded as part of financing receivables, with interest income recognized over the contract term. </w:t>
      </w:r>
      <w:r>
        <w:rPr>
          <w:rFonts w:ascii="Times New Roman" w:eastAsia="宋体" w:hAnsi="Times New Roman" w:cs="Times New Roman"/>
          <w:color w:val="000000"/>
          <w:kern w:val="0"/>
          <w:sz w:val="20"/>
          <w:szCs w:val="20"/>
          <w:lang w:bidi="ar"/>
        </w:rPr>
        <w:t>Upon commencement of sales-type leases, we typically qualify for up-front revenue recognition. Upon origination of operating leases, we record equipment under operating leases, classified as property, plant, and equipment. Over the contract term of an oper</w:t>
      </w:r>
      <w:r>
        <w:rPr>
          <w:rFonts w:ascii="Times New Roman" w:eastAsia="宋体" w:hAnsi="Times New Roman" w:cs="Times New Roman"/>
          <w:color w:val="000000"/>
          <w:kern w:val="0"/>
          <w:sz w:val="20"/>
          <w:szCs w:val="20"/>
          <w:lang w:bidi="ar"/>
        </w:rPr>
        <w:t>ating lease, we recognize rental revenue and depreciation expense, classified as cost of net revenue.</w:t>
      </w:r>
    </w:p>
    <w:p w14:paraId="59E4C385"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C386"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As of July 29, 2022 and January 28, 2022, our financing receivables, net were $10.3 billion and $10.6 billion, respect</w:t>
      </w:r>
      <w:r>
        <w:rPr>
          <w:rFonts w:ascii="Times New Roman" w:eastAsia="宋体" w:hAnsi="Times New Roman" w:cs="Times New Roman"/>
          <w:color w:val="000000"/>
          <w:kern w:val="0"/>
          <w:sz w:val="20"/>
          <w:szCs w:val="20"/>
          <w:shd w:val="clear" w:color="auto" w:fill="FFFFFF"/>
          <w:lang w:bidi="ar"/>
        </w:rPr>
        <w:t xml:space="preserve">ively. </w:t>
      </w:r>
      <w:r>
        <w:rPr>
          <w:rFonts w:ascii="Times New Roman" w:eastAsia="宋体" w:hAnsi="Times New Roman" w:cs="Times New Roman"/>
          <w:color w:val="000000"/>
          <w:kern w:val="0"/>
          <w:sz w:val="20"/>
          <w:szCs w:val="20"/>
          <w:lang w:bidi="ar"/>
        </w:rPr>
        <w:t xml:space="preserve">We maintain an </w:t>
      </w:r>
      <w:r>
        <w:rPr>
          <w:rFonts w:ascii="Times New Roman" w:eastAsia="宋体" w:hAnsi="Times New Roman" w:cs="Times New Roman"/>
          <w:color w:val="000000"/>
          <w:kern w:val="0"/>
          <w:sz w:val="20"/>
          <w:szCs w:val="20"/>
          <w:lang w:bidi="ar"/>
        </w:rPr>
        <w:t>allowance to cover expected financing receivable credit losses and evaluate credit loss expectations based on our total portfolio. For the second quarter and first six months of both Fiscal 2023 and Fiscal 2022, the principal charge-off rate for our financ</w:t>
      </w:r>
      <w:r>
        <w:rPr>
          <w:rFonts w:ascii="Times New Roman" w:eastAsia="宋体" w:hAnsi="Times New Roman" w:cs="Times New Roman"/>
          <w:color w:val="000000"/>
          <w:kern w:val="0"/>
          <w:sz w:val="20"/>
          <w:szCs w:val="20"/>
          <w:lang w:bidi="ar"/>
        </w:rPr>
        <w:t>ing receivables portfolio was 0.5%. The credit quality of our financing receivables has improved in recent years as the mix of high-quality commercial accounts in our portfolio has continued to increase. We continue to monitor broader economic indicators a</w:t>
      </w:r>
      <w:r>
        <w:rPr>
          <w:rFonts w:ascii="Times New Roman" w:eastAsia="宋体" w:hAnsi="Times New Roman" w:cs="Times New Roman"/>
          <w:color w:val="000000"/>
          <w:kern w:val="0"/>
          <w:sz w:val="20"/>
          <w:szCs w:val="20"/>
          <w:lang w:bidi="ar"/>
        </w:rPr>
        <w:t xml:space="preserve">nd their potential impact on future credit loss performance. We have an extensive process to manage our exposure to customer credit risk, including active management of credit lines and our collection activities. We also sell selected fixed-term financing </w:t>
      </w:r>
      <w:r>
        <w:rPr>
          <w:rFonts w:ascii="Times New Roman" w:eastAsia="宋体" w:hAnsi="Times New Roman" w:cs="Times New Roman"/>
          <w:color w:val="000000"/>
          <w:kern w:val="0"/>
          <w:sz w:val="20"/>
          <w:szCs w:val="20"/>
          <w:lang w:bidi="ar"/>
        </w:rPr>
        <w:t>receivables without recourse to unrelated third parties on a periodic basis, primarily to manage certain concentrations of customer credit exposure.  Based on our assessment of the customer financing receivables, we believe that we are adequately reserved.</w:t>
      </w:r>
    </w:p>
    <w:p w14:paraId="59E4C387"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C388"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We retain a residual interest in equipment leased under our lease programs. As of July 29, 2022 and January 28, 2022, the residual interest recorded as part of financing receivables was $150 million and $217 million, respectively. The decline in </w:t>
      </w:r>
      <w:r>
        <w:rPr>
          <w:rFonts w:ascii="Times New Roman" w:eastAsia="宋体" w:hAnsi="Times New Roman" w:cs="Times New Roman"/>
          <w:color w:val="000000"/>
          <w:kern w:val="0"/>
          <w:sz w:val="20"/>
          <w:szCs w:val="20"/>
          <w:lang w:bidi="ar"/>
        </w:rPr>
        <w:t>residual interest was principally attributable to a corresponding increase in originations of operating leases. The amount of the residual interest is established at the inception of the lease based upon estimates of the value of the equipment at the end o</w:t>
      </w:r>
      <w:r>
        <w:rPr>
          <w:rFonts w:ascii="Times New Roman" w:eastAsia="宋体" w:hAnsi="Times New Roman" w:cs="Times New Roman"/>
          <w:color w:val="000000"/>
          <w:kern w:val="0"/>
          <w:sz w:val="20"/>
          <w:szCs w:val="20"/>
          <w:lang w:bidi="ar"/>
        </w:rPr>
        <w:t>f the lease term using historical studies, industry data, and future value-at-risk demand valuation methods. On a quarterly basis, we assess the carrying amount of our recorded residual values for impairment. Generally, expected losses as a result of resid</w:t>
      </w:r>
      <w:r>
        <w:rPr>
          <w:rFonts w:ascii="Times New Roman" w:eastAsia="宋体" w:hAnsi="Times New Roman" w:cs="Times New Roman"/>
          <w:color w:val="000000"/>
          <w:kern w:val="0"/>
          <w:sz w:val="20"/>
          <w:szCs w:val="20"/>
          <w:lang w:bidi="ar"/>
        </w:rPr>
        <w:t>ual value risk on equipment under lease are not considered to be significant primarily because of the existence of a secondary market with respect to the equipment. Further, the lease agreement defines applicable return conditions and remedies for non-comp</w:t>
      </w:r>
      <w:r>
        <w:rPr>
          <w:rFonts w:ascii="Times New Roman" w:eastAsia="宋体" w:hAnsi="Times New Roman" w:cs="Times New Roman"/>
          <w:color w:val="000000"/>
          <w:kern w:val="0"/>
          <w:sz w:val="20"/>
          <w:szCs w:val="20"/>
          <w:lang w:bidi="ar"/>
        </w:rPr>
        <w:t>liance to ensure that the leased equipment will be in good operating condition upon return. No expected losses were recorded related to residual assets during the second quarter and first six months of Fiscal 2023 and Fiscal 2022.</w:t>
      </w:r>
    </w:p>
    <w:p w14:paraId="59E4C389"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C38A"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As of July 29, 2022 and</w:t>
      </w:r>
      <w:r>
        <w:rPr>
          <w:rFonts w:ascii="Times New Roman" w:eastAsia="宋体" w:hAnsi="Times New Roman" w:cs="Times New Roman"/>
          <w:color w:val="000000"/>
          <w:kern w:val="0"/>
          <w:sz w:val="20"/>
          <w:szCs w:val="20"/>
          <w:lang w:bidi="ar"/>
        </w:rPr>
        <w:t xml:space="preserve"> January 28, 2022, equipment under operating leases, net was $2.0 billion and $1.7 billion, respectively. We assess the carrying amount of the equipment under operating leases for impairment whenever events or circumstances may indicate that an impairment </w:t>
      </w:r>
      <w:r>
        <w:rPr>
          <w:rFonts w:ascii="Times New Roman" w:eastAsia="宋体" w:hAnsi="Times New Roman" w:cs="Times New Roman"/>
          <w:color w:val="000000"/>
          <w:kern w:val="0"/>
          <w:sz w:val="20"/>
          <w:szCs w:val="20"/>
          <w:lang w:bidi="ar"/>
        </w:rPr>
        <w:t>has occurred. No material impairment losses were recorded related to such equipment during the second quarter and first six months of Fiscal 2023 and Fiscal 2022.</w:t>
      </w:r>
    </w:p>
    <w:p w14:paraId="59E4C38B"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C38C"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DFS offerings are initially funded through cash on hand at the time of origination, most of</w:t>
      </w:r>
      <w:r>
        <w:rPr>
          <w:rFonts w:ascii="Times New Roman" w:eastAsia="宋体" w:hAnsi="Times New Roman" w:cs="Times New Roman"/>
          <w:color w:val="000000"/>
          <w:kern w:val="0"/>
          <w:sz w:val="20"/>
          <w:szCs w:val="20"/>
          <w:lang w:bidi="ar"/>
        </w:rPr>
        <w:t xml:space="preserve"> which is subsequently replaced with asset-backed financing. For DFS offerings which qualify as sales-type leases, the initial funding of financing receivables is reflected as an impact to cash flows from operations, and is largely subsequently offset by c</w:t>
      </w:r>
      <w:r>
        <w:rPr>
          <w:rFonts w:ascii="Times New Roman" w:eastAsia="宋体" w:hAnsi="Times New Roman" w:cs="Times New Roman"/>
          <w:color w:val="000000"/>
          <w:kern w:val="0"/>
          <w:sz w:val="20"/>
          <w:szCs w:val="20"/>
          <w:lang w:bidi="ar"/>
        </w:rPr>
        <w:t xml:space="preserve">ash proceeds from financing. </w:t>
      </w:r>
    </w:p>
    <w:p w14:paraId="59E4C38D"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C38E"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80</w:t>
      </w:r>
    </w:p>
    <w:p w14:paraId="59E4C38F"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C390" w14:textId="77777777" w:rsidR="00D7560A" w:rsidRDefault="001E3CAB">
      <w:pPr>
        <w:widowControl/>
        <w:jc w:val="center"/>
      </w:pPr>
      <w:r>
        <w:rPr>
          <w:rFonts w:ascii="宋体" w:eastAsia="宋体" w:hAnsi="宋体" w:cs="宋体"/>
          <w:kern w:val="0"/>
          <w:sz w:val="24"/>
        </w:rPr>
        <w:pict w14:anchorId="59E4C81B">
          <v:rect id="_x0000_i1104" style="width:6in;height:1.5pt" o:hralign="center" o:hrstd="t" o:hr="t" fillcolor="#a0a0a0" stroked="f"/>
        </w:pict>
      </w:r>
    </w:p>
    <w:p w14:paraId="59E4C391" w14:textId="77777777" w:rsidR="00D7560A" w:rsidRDefault="001E3CAB">
      <w:pPr>
        <w:widowControl/>
        <w:jc w:val="left"/>
        <w:rPr>
          <w:rFonts w:ascii="宋体" w:eastAsia="宋体" w:hAnsi="宋体" w:cs="宋体"/>
          <w:kern w:val="0"/>
          <w:sz w:val="24"/>
        </w:rPr>
      </w:pPr>
      <w:hyperlink w:anchor="if933dd1d5d004d2495dd7029e3ecad00_13" w:history="1">
        <w:r>
          <w:rPr>
            <w:rStyle w:val="a4"/>
            <w:rFonts w:ascii="Times New Roman" w:eastAsia="宋体" w:hAnsi="Times New Roman" w:cs="Times New Roman"/>
            <w:sz w:val="20"/>
            <w:szCs w:val="20"/>
          </w:rPr>
          <w:t>Table of Contents</w:t>
        </w:r>
      </w:hyperlink>
    </w:p>
    <w:p w14:paraId="59E4C392"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For DFS operating leases, the initial funding is classified as a capital expenditure and reflected as an impact to cash flows used in invest</w:t>
      </w:r>
      <w:r>
        <w:rPr>
          <w:rFonts w:ascii="Times New Roman" w:eastAsia="宋体" w:hAnsi="Times New Roman" w:cs="Times New Roman"/>
          <w:color w:val="000000"/>
          <w:kern w:val="0"/>
          <w:sz w:val="20"/>
          <w:szCs w:val="20"/>
          <w:lang w:bidi="ar"/>
        </w:rPr>
        <w:t>ing activities.</w:t>
      </w:r>
    </w:p>
    <w:p w14:paraId="59E4C393"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C394"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See Note 5 of the Notes to the Condensed Consolidated Financial Statements included in this report for additional information about our financing receivables and the associated allowances, and equipment under operating leases.</w:t>
      </w:r>
    </w:p>
    <w:p w14:paraId="59E4C395"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C396"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81</w:t>
      </w:r>
    </w:p>
    <w:p w14:paraId="59E4C397"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C398" w14:textId="77777777" w:rsidR="00D7560A" w:rsidRDefault="001E3CAB">
      <w:pPr>
        <w:widowControl/>
        <w:jc w:val="center"/>
      </w:pPr>
      <w:r>
        <w:rPr>
          <w:rFonts w:ascii="宋体" w:eastAsia="宋体" w:hAnsi="宋体" w:cs="宋体"/>
          <w:kern w:val="0"/>
          <w:sz w:val="24"/>
        </w:rPr>
        <w:pict w14:anchorId="59E4C81C">
          <v:rect id="_x0000_i1105" style="width:6in;height:1.5pt" o:hralign="center" o:hrstd="t" o:hr="t" fillcolor="#a0a0a0" stroked="f"/>
        </w:pict>
      </w:r>
    </w:p>
    <w:p w14:paraId="59E4C399" w14:textId="77777777" w:rsidR="00D7560A" w:rsidRDefault="001E3CAB">
      <w:pPr>
        <w:widowControl/>
        <w:jc w:val="left"/>
        <w:rPr>
          <w:rFonts w:ascii="宋体" w:eastAsia="宋体" w:hAnsi="宋体" w:cs="宋体"/>
          <w:kern w:val="0"/>
          <w:sz w:val="24"/>
        </w:rPr>
      </w:pPr>
      <w:hyperlink w:anchor="if933dd1d5d004d2495dd7029e3ecad00_13" w:history="1">
        <w:r>
          <w:rPr>
            <w:rStyle w:val="a4"/>
            <w:rFonts w:ascii="Times New Roman" w:eastAsia="宋体" w:hAnsi="Times New Roman" w:cs="Times New Roman"/>
            <w:sz w:val="20"/>
            <w:szCs w:val="20"/>
          </w:rPr>
          <w:t>Table of Contents</w:t>
        </w:r>
      </w:hyperlink>
    </w:p>
    <w:p w14:paraId="59E4C39A"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LIQUIDITY, CASH REQUIREMENTS, AND MARKET CONDITIONS</w:t>
      </w:r>
    </w:p>
    <w:p w14:paraId="59E4C39B"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C39C"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Liquidity and Capital Resources</w:t>
      </w:r>
    </w:p>
    <w:p w14:paraId="59E4C39D"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C39E"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To support our ongoing business operations, we rely on operating cash flows as our </w:t>
      </w:r>
      <w:r>
        <w:rPr>
          <w:rFonts w:ascii="Times New Roman" w:eastAsia="宋体" w:hAnsi="Times New Roman" w:cs="Times New Roman"/>
          <w:color w:val="000000"/>
          <w:kern w:val="0"/>
          <w:sz w:val="20"/>
          <w:szCs w:val="20"/>
          <w:lang w:bidi="ar"/>
        </w:rPr>
        <w:t>primary source of liquidity. We monitor the efficiency of our balance sheet to ensure that we have adequate liquidity to support our business and strategic initiatives. In addition to internally generated cash, we have access to othe</w:t>
      </w:r>
      <w:r>
        <w:rPr>
          <w:rFonts w:ascii="Times New Roman" w:eastAsia="宋体" w:hAnsi="Times New Roman" w:cs="Times New Roman"/>
          <w:color w:val="000000"/>
          <w:kern w:val="0"/>
          <w:sz w:val="20"/>
          <w:szCs w:val="20"/>
          <w:shd w:val="clear" w:color="auto" w:fill="FFFFFF"/>
          <w:lang w:bidi="ar"/>
        </w:rPr>
        <w:t>r capital sources to fi</w:t>
      </w:r>
      <w:r>
        <w:rPr>
          <w:rFonts w:ascii="Times New Roman" w:eastAsia="宋体" w:hAnsi="Times New Roman" w:cs="Times New Roman"/>
          <w:color w:val="000000"/>
          <w:kern w:val="0"/>
          <w:sz w:val="20"/>
          <w:szCs w:val="20"/>
          <w:shd w:val="clear" w:color="auto" w:fill="FFFFFF"/>
          <w:lang w:bidi="ar"/>
        </w:rPr>
        <w:t xml:space="preserve">nance our strategic initiatives and fund growth in our financing operations. </w:t>
      </w:r>
      <w:r>
        <w:rPr>
          <w:rFonts w:ascii="Times New Roman" w:eastAsia="宋体" w:hAnsi="Times New Roman" w:cs="Times New Roman"/>
          <w:color w:val="000000"/>
          <w:kern w:val="0"/>
          <w:sz w:val="20"/>
          <w:szCs w:val="20"/>
          <w:lang w:bidi="ar"/>
        </w:rPr>
        <w:t>Our strategy is to deploy capital from any potential source, whether internally generated cash or debt, depending on the adequacy and availability of that source of capital and wh</w:t>
      </w:r>
      <w:r>
        <w:rPr>
          <w:rFonts w:ascii="Times New Roman" w:eastAsia="宋体" w:hAnsi="Times New Roman" w:cs="Times New Roman"/>
          <w:color w:val="000000"/>
          <w:kern w:val="0"/>
          <w:sz w:val="20"/>
          <w:szCs w:val="20"/>
          <w:lang w:bidi="ar"/>
        </w:rPr>
        <w:t>ether it can be accessed in a cost-effective manner.</w:t>
      </w:r>
    </w:p>
    <w:p w14:paraId="59E4C39F"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C3A0"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We believe that our current cash and cash equivalents, together with cash that will be provided by future operations and borrowings expected to be available under our revolving credit facility and comm</w:t>
      </w:r>
      <w:r>
        <w:rPr>
          <w:rFonts w:ascii="Times New Roman" w:eastAsia="宋体" w:hAnsi="Times New Roman" w:cs="Times New Roman"/>
          <w:color w:val="000000"/>
          <w:kern w:val="0"/>
          <w:sz w:val="20"/>
          <w:szCs w:val="20"/>
          <w:lang w:bidi="ar"/>
        </w:rPr>
        <w:t>ercial paper program, will be sufficient over at least the next twelve months and for the foreseeable future thereafter to meet our material cash requirements, including funding of our operations, debt-related payments, capital expenditures, and other corp</w:t>
      </w:r>
      <w:r>
        <w:rPr>
          <w:rFonts w:ascii="Times New Roman" w:eastAsia="宋体" w:hAnsi="Times New Roman" w:cs="Times New Roman"/>
          <w:color w:val="000000"/>
          <w:kern w:val="0"/>
          <w:sz w:val="20"/>
          <w:szCs w:val="20"/>
          <w:lang w:bidi="ar"/>
        </w:rPr>
        <w:t xml:space="preserve">orate needs. </w:t>
      </w:r>
    </w:p>
    <w:p w14:paraId="59E4C3A1"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C3A2"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As part of our overall capital allocation strategy, we intend to drive growth while maintaining our investment grade rating and focusing on returning capital to our stockholders through both share repurchase programs and dividend payments. </w:t>
      </w:r>
    </w:p>
    <w:p w14:paraId="59E4C3A3"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C3A4"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The following</w:t>
      </w:r>
      <w:r>
        <w:rPr>
          <w:rFonts w:ascii="Times New Roman" w:eastAsia="宋体" w:hAnsi="Times New Roman" w:cs="Times New Roman"/>
          <w:color w:val="000000"/>
          <w:kern w:val="0"/>
          <w:sz w:val="20"/>
          <w:szCs w:val="20"/>
          <w:lang w:bidi="ar"/>
        </w:rPr>
        <w:t xml:space="preserve"> table presents our cash and cash equivalents as well as our available borrowings as of the dates indicated: </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8"/>
        <w:gridCol w:w="5209"/>
        <w:gridCol w:w="37"/>
        <w:gridCol w:w="120"/>
        <w:gridCol w:w="1316"/>
        <w:gridCol w:w="36"/>
        <w:gridCol w:w="36"/>
        <w:gridCol w:w="36"/>
        <w:gridCol w:w="36"/>
        <w:gridCol w:w="120"/>
        <w:gridCol w:w="1316"/>
        <w:gridCol w:w="36"/>
      </w:tblGrid>
      <w:tr w:rsidR="00D7560A" w14:paraId="59E4C3B1" w14:textId="77777777">
        <w:tc>
          <w:tcPr>
            <w:tcW w:w="50" w:type="pct"/>
            <w:tcBorders>
              <w:top w:val="nil"/>
              <w:left w:val="nil"/>
              <w:bottom w:val="nil"/>
              <w:right w:val="nil"/>
            </w:tcBorders>
            <w:shd w:val="clear" w:color="auto" w:fill="auto"/>
            <w:vAlign w:val="bottom"/>
          </w:tcPr>
          <w:p w14:paraId="59E4C3A5" w14:textId="77777777" w:rsidR="00D7560A" w:rsidRDefault="00D7560A">
            <w:pPr>
              <w:widowControl/>
              <w:jc w:val="left"/>
              <w:rPr>
                <w:rFonts w:ascii="Times New Roman" w:eastAsia="宋体" w:hAnsi="宋体" w:cs="宋体"/>
                <w:kern w:val="0"/>
                <w:sz w:val="24"/>
              </w:rPr>
            </w:pPr>
          </w:p>
        </w:tc>
        <w:tc>
          <w:tcPr>
            <w:tcW w:w="3161" w:type="pct"/>
            <w:tcBorders>
              <w:top w:val="nil"/>
              <w:left w:val="nil"/>
              <w:bottom w:val="nil"/>
              <w:right w:val="nil"/>
            </w:tcBorders>
            <w:shd w:val="clear" w:color="auto" w:fill="auto"/>
            <w:vAlign w:val="bottom"/>
          </w:tcPr>
          <w:p w14:paraId="59E4C3A6"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C3A7"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C3A8" w14:textId="77777777" w:rsidR="00D7560A" w:rsidRDefault="00D7560A">
            <w:pPr>
              <w:widowControl/>
              <w:jc w:val="left"/>
              <w:rPr>
                <w:rFonts w:ascii="Times New Roman" w:eastAsia="宋体" w:hAnsi="宋体" w:cs="宋体"/>
                <w:kern w:val="0"/>
                <w:sz w:val="24"/>
              </w:rPr>
            </w:pPr>
          </w:p>
        </w:tc>
        <w:tc>
          <w:tcPr>
            <w:tcW w:w="822" w:type="pct"/>
            <w:tcBorders>
              <w:top w:val="nil"/>
              <w:left w:val="nil"/>
              <w:bottom w:val="nil"/>
              <w:right w:val="nil"/>
            </w:tcBorders>
            <w:shd w:val="clear" w:color="auto" w:fill="auto"/>
            <w:vAlign w:val="bottom"/>
          </w:tcPr>
          <w:p w14:paraId="59E4C3A9"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C3AA"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C3AB" w14:textId="77777777" w:rsidR="00D7560A" w:rsidRDefault="00D7560A">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59E4C3AC"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C3AD"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C3AE" w14:textId="77777777" w:rsidR="00D7560A" w:rsidRDefault="00D7560A">
            <w:pPr>
              <w:widowControl/>
              <w:jc w:val="left"/>
              <w:rPr>
                <w:rFonts w:ascii="Times New Roman" w:eastAsia="宋体" w:hAnsi="宋体" w:cs="宋体"/>
                <w:kern w:val="0"/>
                <w:sz w:val="24"/>
              </w:rPr>
            </w:pPr>
          </w:p>
        </w:tc>
        <w:tc>
          <w:tcPr>
            <w:tcW w:w="822" w:type="pct"/>
            <w:tcBorders>
              <w:top w:val="nil"/>
              <w:left w:val="nil"/>
              <w:bottom w:val="nil"/>
              <w:right w:val="nil"/>
            </w:tcBorders>
            <w:shd w:val="clear" w:color="auto" w:fill="auto"/>
            <w:vAlign w:val="bottom"/>
          </w:tcPr>
          <w:p w14:paraId="59E4C3AF"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C3B0" w14:textId="77777777" w:rsidR="00D7560A" w:rsidRDefault="00D7560A">
            <w:pPr>
              <w:widowControl/>
              <w:jc w:val="left"/>
              <w:rPr>
                <w:rFonts w:ascii="Times New Roman" w:eastAsia="宋体" w:hAnsi="宋体" w:cs="宋体"/>
                <w:kern w:val="0"/>
                <w:sz w:val="24"/>
              </w:rPr>
            </w:pPr>
          </w:p>
        </w:tc>
      </w:tr>
      <w:tr w:rsidR="00D7560A" w14:paraId="59E4C3B6"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C3B2"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9E4C3B3"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29, 2022</w:t>
            </w: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59E4C3B4"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auto"/>
            <w:tcMar>
              <w:top w:w="40" w:type="dxa"/>
              <w:left w:w="20" w:type="dxa"/>
              <w:bottom w:w="40" w:type="dxa"/>
              <w:right w:w="20" w:type="dxa"/>
            </w:tcMar>
            <w:vAlign w:val="bottom"/>
          </w:tcPr>
          <w:p w14:paraId="59E4C3B5"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January 28, 2022</w:t>
            </w:r>
          </w:p>
        </w:tc>
      </w:tr>
      <w:tr w:rsidR="00D7560A" w14:paraId="59E4C3B9"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C3B7" w14:textId="77777777" w:rsidR="00D7560A" w:rsidRDefault="00D7560A">
            <w:pPr>
              <w:widowControl/>
              <w:jc w:val="left"/>
              <w:rPr>
                <w:rFonts w:ascii="Times New Roman" w:eastAsia="宋体" w:hAnsi="宋体" w:cs="宋体"/>
                <w:kern w:val="0"/>
                <w:sz w:val="24"/>
              </w:rPr>
            </w:pPr>
          </w:p>
        </w:tc>
        <w:tc>
          <w:tcPr>
            <w:tcW w:w="0" w:type="auto"/>
            <w:gridSpan w:val="9"/>
            <w:tcBorders>
              <w:top w:val="single" w:sz="8" w:space="0" w:color="000000"/>
              <w:left w:val="nil"/>
              <w:bottom w:val="nil"/>
              <w:right w:val="nil"/>
            </w:tcBorders>
            <w:shd w:val="clear" w:color="auto" w:fill="auto"/>
            <w:tcMar>
              <w:top w:w="40" w:type="dxa"/>
              <w:left w:w="20" w:type="dxa"/>
              <w:bottom w:w="40" w:type="dxa"/>
              <w:right w:w="20" w:type="dxa"/>
            </w:tcMar>
            <w:vAlign w:val="bottom"/>
          </w:tcPr>
          <w:p w14:paraId="59E4C3B8"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(in millions)</w:t>
            </w:r>
          </w:p>
        </w:tc>
      </w:tr>
      <w:tr w:rsidR="00D7560A" w14:paraId="59E4C3BE"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9E4C3BA"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i/>
                <w:iCs/>
                <w:color w:val="000000"/>
                <w:kern w:val="0"/>
                <w:sz w:val="20"/>
                <w:szCs w:val="20"/>
                <w:lang w:bidi="ar"/>
              </w:rPr>
              <w:t>Cash and cash equivalents, and available borrowings:</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C3BB"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C3BC"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C3BD" w14:textId="77777777" w:rsidR="00D7560A" w:rsidRDefault="00D7560A">
            <w:pPr>
              <w:widowControl/>
              <w:jc w:val="left"/>
              <w:rPr>
                <w:rFonts w:ascii="Times New Roman" w:eastAsia="宋体" w:hAnsi="宋体" w:cs="宋体"/>
                <w:kern w:val="0"/>
                <w:sz w:val="24"/>
              </w:rPr>
            </w:pPr>
          </w:p>
        </w:tc>
      </w:tr>
      <w:tr w:rsidR="00D7560A" w14:paraId="59E4C3C7" w14:textId="77777777">
        <w:tc>
          <w:tcPr>
            <w:tcW w:w="0" w:type="auto"/>
            <w:gridSpan w:val="3"/>
            <w:tcBorders>
              <w:top w:val="nil"/>
              <w:left w:val="nil"/>
              <w:bottom w:val="nil"/>
              <w:right w:val="nil"/>
            </w:tcBorders>
            <w:shd w:val="clear" w:color="auto" w:fill="FFFFFF"/>
            <w:tcMar>
              <w:top w:w="40" w:type="dxa"/>
              <w:left w:w="125" w:type="dxa"/>
              <w:bottom w:w="40" w:type="dxa"/>
              <w:right w:w="20" w:type="dxa"/>
            </w:tcMar>
            <w:vAlign w:val="bottom"/>
          </w:tcPr>
          <w:p w14:paraId="59E4C3BF"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Cash and cash </w:t>
            </w:r>
            <w:r>
              <w:rPr>
                <w:rFonts w:ascii="Times New Roman" w:eastAsia="宋体" w:hAnsi="Times New Roman" w:cs="Times New Roman"/>
                <w:color w:val="000000"/>
                <w:kern w:val="0"/>
                <w:sz w:val="20"/>
                <w:szCs w:val="20"/>
                <w:lang w:bidi="ar"/>
              </w:rPr>
              <w:t>equivalents</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9E4C3C0"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9E4C3C1"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5,507 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C3C2"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C3C3"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9E4C3C4"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9E4C3C5"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9,477 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C3C6" w14:textId="77777777" w:rsidR="00D7560A" w:rsidRDefault="00D7560A">
            <w:pPr>
              <w:widowControl/>
              <w:jc w:val="right"/>
              <w:rPr>
                <w:rFonts w:ascii="Times New Roman" w:eastAsia="宋体" w:hAnsi="宋体" w:cs="宋体"/>
                <w:kern w:val="0"/>
                <w:sz w:val="24"/>
              </w:rPr>
            </w:pPr>
          </w:p>
        </w:tc>
      </w:tr>
      <w:tr w:rsidR="00D7560A" w14:paraId="59E4C3CE" w14:textId="77777777">
        <w:tc>
          <w:tcPr>
            <w:tcW w:w="0" w:type="auto"/>
            <w:gridSpan w:val="3"/>
            <w:tcBorders>
              <w:top w:val="nil"/>
              <w:left w:val="nil"/>
              <w:bottom w:val="nil"/>
              <w:right w:val="nil"/>
            </w:tcBorders>
            <w:shd w:val="clear" w:color="auto" w:fill="CCEEFF"/>
            <w:tcMar>
              <w:top w:w="40" w:type="dxa"/>
              <w:left w:w="125" w:type="dxa"/>
              <w:bottom w:w="40" w:type="dxa"/>
              <w:right w:w="20" w:type="dxa"/>
            </w:tcMar>
            <w:vAlign w:val="bottom"/>
          </w:tcPr>
          <w:p w14:paraId="59E4C3C8"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Remaining available borrowings under revolving credit facilities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C3C9"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4,999 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C3CA"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C3CB"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C3CC"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4,969 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C3CD" w14:textId="77777777" w:rsidR="00D7560A" w:rsidRDefault="00D7560A">
            <w:pPr>
              <w:widowControl/>
              <w:jc w:val="right"/>
              <w:rPr>
                <w:rFonts w:ascii="Times New Roman" w:eastAsia="宋体" w:hAnsi="宋体" w:cs="宋体"/>
                <w:kern w:val="0"/>
                <w:sz w:val="24"/>
              </w:rPr>
            </w:pPr>
          </w:p>
        </w:tc>
      </w:tr>
      <w:tr w:rsidR="00D7560A" w14:paraId="59E4C3D7" w14:textId="77777777">
        <w:tc>
          <w:tcPr>
            <w:tcW w:w="0" w:type="auto"/>
            <w:gridSpan w:val="3"/>
            <w:tcBorders>
              <w:top w:val="nil"/>
              <w:left w:val="nil"/>
              <w:bottom w:val="nil"/>
              <w:right w:val="nil"/>
            </w:tcBorders>
            <w:shd w:val="clear" w:color="auto" w:fill="FFFFFF"/>
            <w:tcMar>
              <w:top w:w="40" w:type="dxa"/>
              <w:left w:w="260" w:type="dxa"/>
              <w:bottom w:w="40" w:type="dxa"/>
              <w:right w:w="20" w:type="dxa"/>
            </w:tcMar>
            <w:vAlign w:val="bottom"/>
          </w:tcPr>
          <w:p w14:paraId="59E4C3CF"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Total cash, cash equivalents, and available borrowings</w:t>
            </w: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59E4C3D0"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59E4C3D1"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10,506 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59E4C3D2"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C3D3"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59E4C3D4"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59E4C3D5"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14,446 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59E4C3D6" w14:textId="77777777" w:rsidR="00D7560A" w:rsidRDefault="00D7560A">
            <w:pPr>
              <w:widowControl/>
              <w:jc w:val="right"/>
              <w:rPr>
                <w:rFonts w:ascii="Times New Roman" w:eastAsia="宋体" w:hAnsi="宋体" w:cs="宋体"/>
                <w:kern w:val="0"/>
                <w:sz w:val="24"/>
              </w:rPr>
            </w:pPr>
          </w:p>
        </w:tc>
      </w:tr>
    </w:tbl>
    <w:p w14:paraId="59E4C3D8" w14:textId="77777777" w:rsidR="00D7560A" w:rsidRDefault="001E3CAB">
      <w:pPr>
        <w:widowControl/>
        <w:ind w:left="360" w:hanging="360"/>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C3D9"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During the first six months of Fiscal 2023, cash and cash equivalents decreased by $4.0 billion, primarily driven by return of capital to stockholders, through share repurchases and dividend payments, and capital expenditures.</w:t>
      </w:r>
    </w:p>
    <w:p w14:paraId="59E4C3DA"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C3DB"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Our </w:t>
      </w:r>
      <w:r>
        <w:rPr>
          <w:rFonts w:ascii="Times New Roman" w:eastAsia="宋体" w:hAnsi="Times New Roman" w:cs="Times New Roman"/>
          <w:color w:val="000000"/>
          <w:kern w:val="0"/>
          <w:sz w:val="20"/>
          <w:szCs w:val="20"/>
          <w:lang w:bidi="ar"/>
        </w:rPr>
        <w:t>revolving credit facilities as of July 29, 2022 consist of the 2021 Revolving Credit Facility, which has a maximum capacity of $5.0 billion. Available borrowings under this facility are reduced by draws on the facility and outstanding letters of credit. As</w:t>
      </w:r>
      <w:r>
        <w:rPr>
          <w:rFonts w:ascii="Times New Roman" w:eastAsia="宋体" w:hAnsi="Times New Roman" w:cs="Times New Roman"/>
          <w:color w:val="000000"/>
          <w:kern w:val="0"/>
          <w:sz w:val="20"/>
          <w:szCs w:val="20"/>
          <w:lang w:bidi="ar"/>
        </w:rPr>
        <w:t xml:space="preserve"> of July 29, 2022, there were no borrowings outstanding under the facility and remaining available borrowings totaled approximately $5.0 billion. The 2021 Revolving Credit Facility also acts as a backstop to provide liquidity support for our commercial pap</w:t>
      </w:r>
      <w:r>
        <w:rPr>
          <w:rFonts w:ascii="Times New Roman" w:eastAsia="宋体" w:hAnsi="Times New Roman" w:cs="Times New Roman"/>
          <w:color w:val="000000"/>
          <w:kern w:val="0"/>
          <w:sz w:val="20"/>
          <w:szCs w:val="20"/>
          <w:lang w:bidi="ar"/>
        </w:rPr>
        <w:t>er program discussed below.</w:t>
      </w:r>
    </w:p>
    <w:p w14:paraId="59E4C3DC"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C3DD"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During the second quarter of Fiscal 2023, we established a commercial paper program under which we may issue unsecured notes in a maximum aggregate face amount of $5.0 billion outstanding at any time, with maturities up to 397</w:t>
      </w:r>
      <w:r>
        <w:rPr>
          <w:rFonts w:ascii="Times New Roman" w:eastAsia="宋体" w:hAnsi="Times New Roman" w:cs="Times New Roman"/>
          <w:color w:val="000000"/>
          <w:kern w:val="0"/>
          <w:sz w:val="20"/>
          <w:szCs w:val="20"/>
          <w:lang w:bidi="ar"/>
        </w:rPr>
        <w:t xml:space="preserve"> days from the date of issue. As of July 29, 2022, we had no outstanding borrowings under the program. </w:t>
      </w:r>
    </w:p>
    <w:p w14:paraId="59E4C3DE"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C3DF"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We may regularly use our available borrowings from the 2021 Revolving Credit Facility and issuances under the commercial paper program on a short-term</w:t>
      </w:r>
      <w:r>
        <w:rPr>
          <w:rFonts w:ascii="Times New Roman" w:eastAsia="宋体" w:hAnsi="Times New Roman" w:cs="Times New Roman"/>
          <w:color w:val="000000"/>
          <w:kern w:val="0"/>
          <w:sz w:val="20"/>
          <w:szCs w:val="20"/>
          <w:lang w:bidi="ar"/>
        </w:rPr>
        <w:t xml:space="preserve"> basis for general corporate purposes. See Note 7 of the Notes to the Condensed Consolidated Financial Statements included in this report for additional information.</w:t>
      </w:r>
    </w:p>
    <w:p w14:paraId="59E4C3E0"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C3E1"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C3E2"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C3E3"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82</w:t>
      </w:r>
    </w:p>
    <w:p w14:paraId="59E4C3E4"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C3E5" w14:textId="77777777" w:rsidR="00D7560A" w:rsidRDefault="001E3CAB">
      <w:pPr>
        <w:widowControl/>
        <w:jc w:val="center"/>
      </w:pPr>
      <w:r>
        <w:rPr>
          <w:rFonts w:ascii="宋体" w:eastAsia="宋体" w:hAnsi="宋体" w:cs="宋体"/>
          <w:kern w:val="0"/>
          <w:sz w:val="24"/>
        </w:rPr>
        <w:pict w14:anchorId="59E4C81D">
          <v:rect id="_x0000_i1106" style="width:6in;height:1.5pt" o:hralign="center" o:hrstd="t" o:hr="t" fillcolor="#a0a0a0" stroked="f"/>
        </w:pict>
      </w:r>
    </w:p>
    <w:p w14:paraId="59E4C3E6" w14:textId="77777777" w:rsidR="00D7560A" w:rsidRDefault="001E3CAB">
      <w:pPr>
        <w:widowControl/>
        <w:jc w:val="left"/>
        <w:rPr>
          <w:rFonts w:ascii="宋体" w:eastAsia="宋体" w:hAnsi="宋体" w:cs="宋体"/>
          <w:kern w:val="0"/>
          <w:sz w:val="24"/>
        </w:rPr>
      </w:pPr>
      <w:hyperlink w:anchor="if933dd1d5d004d2495dd7029e3ecad00_13" w:history="1">
        <w:r>
          <w:rPr>
            <w:rStyle w:val="a4"/>
            <w:rFonts w:ascii="Times New Roman" w:eastAsia="宋体" w:hAnsi="Times New Roman" w:cs="Times New Roman"/>
            <w:sz w:val="20"/>
            <w:szCs w:val="20"/>
          </w:rPr>
          <w:t>Table of Contents</w:t>
        </w:r>
      </w:hyperlink>
    </w:p>
    <w:p w14:paraId="59E4C3E7"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i/>
          <w:iCs/>
          <w:color w:val="000000"/>
          <w:kern w:val="0"/>
          <w:sz w:val="20"/>
          <w:szCs w:val="20"/>
          <w:u w:val="single"/>
          <w:lang w:bidi="ar"/>
        </w:rPr>
        <w:t>Debt</w:t>
      </w:r>
    </w:p>
    <w:p w14:paraId="59E4C3E8"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C3E9"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The following table presents our outstanding debt as of the dates indicated: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1"/>
        <w:gridCol w:w="3994"/>
        <w:gridCol w:w="40"/>
        <w:gridCol w:w="120"/>
        <w:gridCol w:w="1192"/>
        <w:gridCol w:w="36"/>
        <w:gridCol w:w="36"/>
        <w:gridCol w:w="36"/>
        <w:gridCol w:w="36"/>
        <w:gridCol w:w="121"/>
        <w:gridCol w:w="1192"/>
        <w:gridCol w:w="36"/>
        <w:gridCol w:w="36"/>
        <w:gridCol w:w="36"/>
        <w:gridCol w:w="36"/>
        <w:gridCol w:w="120"/>
        <w:gridCol w:w="1192"/>
        <w:gridCol w:w="36"/>
      </w:tblGrid>
      <w:tr w:rsidR="00D7560A" w14:paraId="59E4C3FC" w14:textId="77777777">
        <w:trPr>
          <w:jc w:val="center"/>
        </w:trPr>
        <w:tc>
          <w:tcPr>
            <w:tcW w:w="50" w:type="pct"/>
            <w:tcBorders>
              <w:top w:val="nil"/>
              <w:left w:val="nil"/>
              <w:bottom w:val="nil"/>
              <w:right w:val="nil"/>
            </w:tcBorders>
            <w:shd w:val="clear" w:color="auto" w:fill="auto"/>
            <w:vAlign w:val="bottom"/>
          </w:tcPr>
          <w:p w14:paraId="59E4C3EA" w14:textId="77777777" w:rsidR="00D7560A" w:rsidRDefault="00D7560A">
            <w:pPr>
              <w:widowControl/>
              <w:jc w:val="left"/>
              <w:rPr>
                <w:rFonts w:ascii="Times New Roman" w:eastAsia="宋体" w:hAnsi="宋体" w:cs="宋体"/>
                <w:kern w:val="0"/>
                <w:sz w:val="24"/>
              </w:rPr>
            </w:pPr>
          </w:p>
        </w:tc>
        <w:tc>
          <w:tcPr>
            <w:tcW w:w="2452" w:type="pct"/>
            <w:tcBorders>
              <w:top w:val="nil"/>
              <w:left w:val="nil"/>
              <w:bottom w:val="nil"/>
              <w:right w:val="nil"/>
            </w:tcBorders>
            <w:shd w:val="clear" w:color="auto" w:fill="auto"/>
            <w:vAlign w:val="bottom"/>
          </w:tcPr>
          <w:p w14:paraId="59E4C3EB"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C3EC"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C3ED" w14:textId="77777777" w:rsidR="00D7560A" w:rsidRDefault="00D7560A">
            <w:pPr>
              <w:widowControl/>
              <w:jc w:val="left"/>
              <w:rPr>
                <w:rFonts w:ascii="Times New Roman" w:eastAsia="宋体" w:hAnsi="宋体" w:cs="宋体"/>
                <w:kern w:val="0"/>
                <w:sz w:val="24"/>
              </w:rPr>
            </w:pPr>
          </w:p>
        </w:tc>
        <w:tc>
          <w:tcPr>
            <w:tcW w:w="756" w:type="pct"/>
            <w:tcBorders>
              <w:top w:val="nil"/>
              <w:left w:val="nil"/>
              <w:bottom w:val="nil"/>
              <w:right w:val="nil"/>
            </w:tcBorders>
            <w:shd w:val="clear" w:color="auto" w:fill="auto"/>
            <w:vAlign w:val="bottom"/>
          </w:tcPr>
          <w:p w14:paraId="59E4C3EE"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C3EF"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C3F0" w14:textId="77777777" w:rsidR="00D7560A" w:rsidRDefault="00D7560A">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59E4C3F1"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C3F2"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C3F3" w14:textId="77777777" w:rsidR="00D7560A" w:rsidRDefault="00D7560A">
            <w:pPr>
              <w:widowControl/>
              <w:jc w:val="left"/>
              <w:rPr>
                <w:rFonts w:ascii="Times New Roman" w:eastAsia="宋体" w:hAnsi="宋体" w:cs="宋体"/>
                <w:kern w:val="0"/>
                <w:sz w:val="24"/>
              </w:rPr>
            </w:pPr>
          </w:p>
        </w:tc>
        <w:tc>
          <w:tcPr>
            <w:tcW w:w="756" w:type="pct"/>
            <w:tcBorders>
              <w:top w:val="nil"/>
              <w:left w:val="nil"/>
              <w:bottom w:val="nil"/>
              <w:right w:val="nil"/>
            </w:tcBorders>
            <w:shd w:val="clear" w:color="auto" w:fill="auto"/>
            <w:vAlign w:val="bottom"/>
          </w:tcPr>
          <w:p w14:paraId="59E4C3F4"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C3F5"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C3F6" w14:textId="77777777" w:rsidR="00D7560A" w:rsidRDefault="00D7560A">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59E4C3F7"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C3F8"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C3F9" w14:textId="77777777" w:rsidR="00D7560A" w:rsidRDefault="00D7560A">
            <w:pPr>
              <w:widowControl/>
              <w:jc w:val="left"/>
              <w:rPr>
                <w:rFonts w:ascii="Times New Roman" w:eastAsia="宋体" w:hAnsi="宋体" w:cs="宋体"/>
                <w:kern w:val="0"/>
                <w:sz w:val="24"/>
              </w:rPr>
            </w:pPr>
          </w:p>
        </w:tc>
        <w:tc>
          <w:tcPr>
            <w:tcW w:w="756" w:type="pct"/>
            <w:tcBorders>
              <w:top w:val="nil"/>
              <w:left w:val="nil"/>
              <w:bottom w:val="nil"/>
              <w:right w:val="nil"/>
            </w:tcBorders>
            <w:shd w:val="clear" w:color="auto" w:fill="auto"/>
            <w:vAlign w:val="bottom"/>
          </w:tcPr>
          <w:p w14:paraId="59E4C3FA"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C3FB" w14:textId="77777777" w:rsidR="00D7560A" w:rsidRDefault="00D7560A">
            <w:pPr>
              <w:widowControl/>
              <w:jc w:val="left"/>
              <w:rPr>
                <w:rFonts w:ascii="Times New Roman" w:eastAsia="宋体" w:hAnsi="宋体" w:cs="宋体"/>
                <w:kern w:val="0"/>
                <w:sz w:val="24"/>
              </w:rPr>
            </w:pPr>
          </w:p>
        </w:tc>
      </w:tr>
      <w:tr w:rsidR="00D7560A" w14:paraId="59E4C403"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C3FD"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9E4C3FE"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29, 2022</w:t>
            </w: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59E4C3FF"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auto"/>
            <w:tcMar>
              <w:top w:w="40" w:type="dxa"/>
              <w:left w:w="20" w:type="dxa"/>
              <w:bottom w:w="40" w:type="dxa"/>
              <w:right w:w="20" w:type="dxa"/>
            </w:tcMar>
            <w:vAlign w:val="bottom"/>
          </w:tcPr>
          <w:p w14:paraId="59E4C400"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Change</w:t>
            </w: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59E4C401"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auto"/>
            <w:tcMar>
              <w:top w:w="40" w:type="dxa"/>
              <w:left w:w="20" w:type="dxa"/>
              <w:bottom w:w="40" w:type="dxa"/>
              <w:right w:w="20" w:type="dxa"/>
            </w:tcMar>
            <w:vAlign w:val="bottom"/>
          </w:tcPr>
          <w:p w14:paraId="59E4C402"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January 28, 2022</w:t>
            </w:r>
          </w:p>
        </w:tc>
      </w:tr>
      <w:tr w:rsidR="00D7560A" w14:paraId="59E4C406"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C404" w14:textId="77777777" w:rsidR="00D7560A" w:rsidRDefault="00D7560A">
            <w:pPr>
              <w:widowControl/>
              <w:jc w:val="left"/>
              <w:rPr>
                <w:rFonts w:ascii="Times New Roman" w:eastAsia="宋体" w:hAnsi="宋体" w:cs="宋体"/>
                <w:kern w:val="0"/>
                <w:sz w:val="24"/>
              </w:rPr>
            </w:pPr>
          </w:p>
        </w:tc>
        <w:tc>
          <w:tcPr>
            <w:tcW w:w="0" w:type="auto"/>
            <w:gridSpan w:val="15"/>
            <w:tcBorders>
              <w:top w:val="single" w:sz="8" w:space="0" w:color="000000"/>
              <w:left w:val="nil"/>
              <w:bottom w:val="nil"/>
              <w:right w:val="nil"/>
            </w:tcBorders>
            <w:shd w:val="clear" w:color="auto" w:fill="auto"/>
            <w:tcMar>
              <w:top w:w="40" w:type="dxa"/>
              <w:left w:w="20" w:type="dxa"/>
              <w:bottom w:w="40" w:type="dxa"/>
              <w:right w:w="20" w:type="dxa"/>
            </w:tcMar>
            <w:vAlign w:val="bottom"/>
          </w:tcPr>
          <w:p w14:paraId="59E4C405"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(in millions)</w:t>
            </w:r>
          </w:p>
        </w:tc>
      </w:tr>
      <w:tr w:rsidR="00D7560A" w14:paraId="59E4C40D"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9E4C407"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Core debt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C408"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C409"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C40A"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C40B"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C40C" w14:textId="77777777" w:rsidR="00D7560A" w:rsidRDefault="00D7560A">
            <w:pPr>
              <w:widowControl/>
              <w:jc w:val="left"/>
              <w:rPr>
                <w:rFonts w:ascii="Times New Roman" w:eastAsia="宋体" w:hAnsi="宋体" w:cs="宋体"/>
                <w:kern w:val="0"/>
                <w:sz w:val="24"/>
              </w:rPr>
            </w:pPr>
          </w:p>
        </w:tc>
      </w:tr>
      <w:tr w:rsidR="00D7560A" w14:paraId="59E4C41A" w14:textId="77777777">
        <w:trPr>
          <w:jc w:val="center"/>
        </w:trPr>
        <w:tc>
          <w:tcPr>
            <w:tcW w:w="0" w:type="auto"/>
            <w:gridSpan w:val="3"/>
            <w:tcBorders>
              <w:top w:val="nil"/>
              <w:left w:val="nil"/>
              <w:bottom w:val="nil"/>
              <w:right w:val="nil"/>
            </w:tcBorders>
            <w:shd w:val="clear" w:color="auto" w:fill="FFFFFF"/>
            <w:tcMar>
              <w:top w:w="40" w:type="dxa"/>
              <w:left w:w="125" w:type="dxa"/>
              <w:bottom w:w="40" w:type="dxa"/>
              <w:right w:w="20" w:type="dxa"/>
            </w:tcMar>
            <w:vAlign w:val="bottom"/>
          </w:tcPr>
          <w:p w14:paraId="59E4C40E"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Senior Notes</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9E4C40F"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9E4C410"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16,300 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C411"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C412"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9E4C413"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9E4C414"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C415"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C416"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9E4C417"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9E4C418"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16,300 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C419" w14:textId="77777777" w:rsidR="00D7560A" w:rsidRDefault="00D7560A">
            <w:pPr>
              <w:widowControl/>
              <w:jc w:val="right"/>
              <w:rPr>
                <w:rFonts w:ascii="Times New Roman" w:eastAsia="宋体" w:hAnsi="宋体" w:cs="宋体"/>
                <w:kern w:val="0"/>
                <w:sz w:val="24"/>
              </w:rPr>
            </w:pPr>
          </w:p>
        </w:tc>
      </w:tr>
      <w:tr w:rsidR="00D7560A" w14:paraId="59E4C424" w14:textId="77777777">
        <w:trPr>
          <w:jc w:val="center"/>
        </w:trPr>
        <w:tc>
          <w:tcPr>
            <w:tcW w:w="0" w:type="auto"/>
            <w:gridSpan w:val="3"/>
            <w:tcBorders>
              <w:top w:val="nil"/>
              <w:left w:val="nil"/>
              <w:bottom w:val="nil"/>
              <w:right w:val="nil"/>
            </w:tcBorders>
            <w:shd w:val="clear" w:color="auto" w:fill="CCEEFF"/>
            <w:tcMar>
              <w:top w:w="40" w:type="dxa"/>
              <w:left w:w="125" w:type="dxa"/>
              <w:bottom w:w="40" w:type="dxa"/>
              <w:right w:w="20" w:type="dxa"/>
            </w:tcMar>
            <w:vAlign w:val="bottom"/>
          </w:tcPr>
          <w:p w14:paraId="59E4C41B"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Legacy Notes and Debentures </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C41C"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952 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C41D"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C41E"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C41F"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C420"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C421"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C422"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952 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C423" w14:textId="77777777" w:rsidR="00D7560A" w:rsidRDefault="00D7560A">
            <w:pPr>
              <w:widowControl/>
              <w:jc w:val="right"/>
              <w:rPr>
                <w:rFonts w:ascii="Times New Roman" w:eastAsia="宋体" w:hAnsi="宋体" w:cs="宋体"/>
                <w:kern w:val="0"/>
                <w:sz w:val="24"/>
              </w:rPr>
            </w:pPr>
          </w:p>
        </w:tc>
      </w:tr>
      <w:tr w:rsidR="00D7560A" w14:paraId="59E4C42B" w14:textId="77777777">
        <w:trPr>
          <w:jc w:val="center"/>
          <w:hidden/>
        </w:trPr>
        <w:tc>
          <w:tcPr>
            <w:tcW w:w="0" w:type="auto"/>
            <w:gridSpan w:val="3"/>
            <w:tcBorders>
              <w:top w:val="nil"/>
              <w:left w:val="nil"/>
              <w:bottom w:val="nil"/>
              <w:right w:val="nil"/>
            </w:tcBorders>
            <w:shd w:val="clear" w:color="auto" w:fill="auto"/>
            <w:vAlign w:val="bottom"/>
          </w:tcPr>
          <w:p w14:paraId="59E4C425"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C426"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C427"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C428"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C429"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C42A" w14:textId="77777777" w:rsidR="00D7560A" w:rsidRDefault="00D7560A">
            <w:pPr>
              <w:widowControl/>
              <w:jc w:val="left"/>
              <w:rPr>
                <w:rFonts w:ascii="Times New Roman" w:eastAsia="宋体" w:hAnsi="宋体" w:cs="宋体"/>
                <w:vanish/>
                <w:kern w:val="0"/>
                <w:sz w:val="24"/>
              </w:rPr>
            </w:pPr>
          </w:p>
        </w:tc>
      </w:tr>
      <w:tr w:rsidR="00D7560A" w14:paraId="59E4C435" w14:textId="77777777">
        <w:trPr>
          <w:jc w:val="center"/>
        </w:trPr>
        <w:tc>
          <w:tcPr>
            <w:tcW w:w="0" w:type="auto"/>
            <w:gridSpan w:val="3"/>
            <w:tcBorders>
              <w:top w:val="nil"/>
              <w:left w:val="nil"/>
              <w:bottom w:val="nil"/>
              <w:right w:val="nil"/>
            </w:tcBorders>
            <w:shd w:val="clear" w:color="auto" w:fill="FFFFFF"/>
            <w:tcMar>
              <w:top w:w="40" w:type="dxa"/>
              <w:left w:w="125" w:type="dxa"/>
              <w:bottom w:w="40" w:type="dxa"/>
              <w:right w:w="20" w:type="dxa"/>
            </w:tcMar>
            <w:vAlign w:val="bottom"/>
          </w:tcPr>
          <w:p w14:paraId="59E4C42C"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DFS allocated debt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C42D"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(1,132)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C42E"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C42F"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C430"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C431"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C432"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C433"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(1,133)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C434" w14:textId="77777777" w:rsidR="00D7560A" w:rsidRDefault="00D7560A">
            <w:pPr>
              <w:widowControl/>
              <w:jc w:val="right"/>
              <w:rPr>
                <w:rFonts w:ascii="Times New Roman" w:eastAsia="宋体" w:hAnsi="宋体" w:cs="宋体"/>
                <w:kern w:val="0"/>
                <w:sz w:val="24"/>
              </w:rPr>
            </w:pPr>
          </w:p>
        </w:tc>
      </w:tr>
      <w:tr w:rsidR="00D7560A" w14:paraId="59E4C43F" w14:textId="77777777">
        <w:trPr>
          <w:jc w:val="center"/>
        </w:trPr>
        <w:tc>
          <w:tcPr>
            <w:tcW w:w="0" w:type="auto"/>
            <w:gridSpan w:val="3"/>
            <w:tcBorders>
              <w:top w:val="nil"/>
              <w:left w:val="nil"/>
              <w:bottom w:val="nil"/>
              <w:right w:val="nil"/>
            </w:tcBorders>
            <w:shd w:val="clear" w:color="auto" w:fill="CCEEFF"/>
            <w:tcMar>
              <w:top w:w="40" w:type="dxa"/>
              <w:left w:w="260" w:type="dxa"/>
              <w:bottom w:w="40" w:type="dxa"/>
              <w:right w:w="20" w:type="dxa"/>
            </w:tcMar>
            <w:vAlign w:val="bottom"/>
          </w:tcPr>
          <w:p w14:paraId="59E4C436"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Total core debt </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59E4C437"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16,120 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59E4C438"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C439" w14:textId="77777777" w:rsidR="00D7560A" w:rsidRDefault="00D7560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59E4C43A"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59E4C43B"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C43C" w14:textId="77777777" w:rsidR="00D7560A" w:rsidRDefault="00D7560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59E4C43D"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16,119 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59E4C43E" w14:textId="77777777" w:rsidR="00D7560A" w:rsidRDefault="00D7560A">
            <w:pPr>
              <w:widowControl/>
              <w:jc w:val="right"/>
              <w:rPr>
                <w:rFonts w:ascii="Times New Roman" w:eastAsia="宋体" w:hAnsi="宋体" w:cs="宋体"/>
                <w:kern w:val="0"/>
                <w:sz w:val="24"/>
              </w:rPr>
            </w:pPr>
          </w:p>
        </w:tc>
      </w:tr>
      <w:tr w:rsidR="00D7560A" w14:paraId="59E4C446"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59E4C440"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DFS related debt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C441"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C442"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C443"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C444"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C445" w14:textId="77777777" w:rsidR="00D7560A" w:rsidRDefault="00D7560A">
            <w:pPr>
              <w:widowControl/>
              <w:jc w:val="left"/>
              <w:rPr>
                <w:rFonts w:ascii="Times New Roman" w:eastAsia="宋体" w:hAnsi="宋体" w:cs="宋体"/>
                <w:kern w:val="0"/>
                <w:sz w:val="24"/>
              </w:rPr>
            </w:pPr>
          </w:p>
        </w:tc>
      </w:tr>
      <w:tr w:rsidR="00D7560A" w14:paraId="59E4C450" w14:textId="77777777">
        <w:trPr>
          <w:jc w:val="center"/>
        </w:trPr>
        <w:tc>
          <w:tcPr>
            <w:tcW w:w="0" w:type="auto"/>
            <w:gridSpan w:val="3"/>
            <w:tcBorders>
              <w:top w:val="nil"/>
              <w:left w:val="nil"/>
              <w:bottom w:val="nil"/>
              <w:right w:val="nil"/>
            </w:tcBorders>
            <w:shd w:val="clear" w:color="auto" w:fill="CCEEFF"/>
            <w:tcMar>
              <w:top w:w="40" w:type="dxa"/>
              <w:left w:w="125" w:type="dxa"/>
              <w:bottom w:w="40" w:type="dxa"/>
              <w:right w:w="20" w:type="dxa"/>
            </w:tcMar>
            <w:vAlign w:val="bottom"/>
          </w:tcPr>
          <w:p w14:paraId="59E4C447"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DFS debt</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C448"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9,640 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C449"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C44A"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C44B"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C44C"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C44D"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C44E"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9,646 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C44F" w14:textId="77777777" w:rsidR="00D7560A" w:rsidRDefault="00D7560A">
            <w:pPr>
              <w:widowControl/>
              <w:jc w:val="right"/>
              <w:rPr>
                <w:rFonts w:ascii="Times New Roman" w:eastAsia="宋体" w:hAnsi="宋体" w:cs="宋体"/>
                <w:kern w:val="0"/>
                <w:sz w:val="24"/>
              </w:rPr>
            </w:pPr>
          </w:p>
        </w:tc>
      </w:tr>
      <w:tr w:rsidR="00D7560A" w14:paraId="59E4C45A" w14:textId="77777777">
        <w:trPr>
          <w:jc w:val="center"/>
        </w:trPr>
        <w:tc>
          <w:tcPr>
            <w:tcW w:w="0" w:type="auto"/>
            <w:gridSpan w:val="3"/>
            <w:tcBorders>
              <w:top w:val="nil"/>
              <w:left w:val="nil"/>
              <w:bottom w:val="nil"/>
              <w:right w:val="nil"/>
            </w:tcBorders>
            <w:shd w:val="clear" w:color="auto" w:fill="FFFFFF"/>
            <w:tcMar>
              <w:top w:w="40" w:type="dxa"/>
              <w:left w:w="125" w:type="dxa"/>
              <w:bottom w:w="40" w:type="dxa"/>
              <w:right w:w="20" w:type="dxa"/>
            </w:tcMar>
            <w:vAlign w:val="bottom"/>
          </w:tcPr>
          <w:p w14:paraId="59E4C451"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DFS allocated debt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C452"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1,132 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C453"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C454"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C455"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C456"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C457"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C458"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1,133 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C459" w14:textId="77777777" w:rsidR="00D7560A" w:rsidRDefault="00D7560A">
            <w:pPr>
              <w:widowControl/>
              <w:jc w:val="right"/>
              <w:rPr>
                <w:rFonts w:ascii="Times New Roman" w:eastAsia="宋体" w:hAnsi="宋体" w:cs="宋体"/>
                <w:kern w:val="0"/>
                <w:sz w:val="24"/>
              </w:rPr>
            </w:pPr>
          </w:p>
        </w:tc>
      </w:tr>
      <w:tr w:rsidR="00D7560A" w14:paraId="59E4C464" w14:textId="77777777">
        <w:trPr>
          <w:jc w:val="center"/>
        </w:trPr>
        <w:tc>
          <w:tcPr>
            <w:tcW w:w="0" w:type="auto"/>
            <w:gridSpan w:val="3"/>
            <w:tcBorders>
              <w:top w:val="nil"/>
              <w:left w:val="nil"/>
              <w:bottom w:val="nil"/>
              <w:right w:val="nil"/>
            </w:tcBorders>
            <w:shd w:val="clear" w:color="auto" w:fill="CCEEFF"/>
            <w:tcMar>
              <w:top w:w="40" w:type="dxa"/>
              <w:left w:w="260" w:type="dxa"/>
              <w:bottom w:w="40" w:type="dxa"/>
              <w:right w:w="20" w:type="dxa"/>
            </w:tcMar>
            <w:vAlign w:val="bottom"/>
          </w:tcPr>
          <w:p w14:paraId="59E4C45B"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Total DFS related debt</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59E4C45C"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10,772 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59E4C45D"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C45E" w14:textId="77777777" w:rsidR="00D7560A" w:rsidRDefault="00D7560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59E4C45F"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59E4C460"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C461" w14:textId="77777777" w:rsidR="00D7560A" w:rsidRDefault="00D7560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59E4C462"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10,779 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59E4C463" w14:textId="77777777" w:rsidR="00D7560A" w:rsidRDefault="00D7560A">
            <w:pPr>
              <w:widowControl/>
              <w:jc w:val="right"/>
              <w:rPr>
                <w:rFonts w:ascii="Times New Roman" w:eastAsia="宋体" w:hAnsi="宋体" w:cs="宋体"/>
                <w:kern w:val="0"/>
                <w:sz w:val="24"/>
              </w:rPr>
            </w:pPr>
          </w:p>
        </w:tc>
      </w:tr>
      <w:tr w:rsidR="00D7560A" w14:paraId="59E4C46E"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59E4C465"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Other</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C466"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311 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C467"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C468"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C469"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(26)</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C46A"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C46B"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C46C"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337 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C46D" w14:textId="77777777" w:rsidR="00D7560A" w:rsidRDefault="00D7560A">
            <w:pPr>
              <w:widowControl/>
              <w:jc w:val="right"/>
              <w:rPr>
                <w:rFonts w:ascii="Times New Roman" w:eastAsia="宋体" w:hAnsi="宋体" w:cs="宋体"/>
                <w:kern w:val="0"/>
                <w:sz w:val="24"/>
              </w:rPr>
            </w:pPr>
          </w:p>
        </w:tc>
      </w:tr>
      <w:tr w:rsidR="00D7560A" w14:paraId="59E4C478" w14:textId="77777777">
        <w:trPr>
          <w:jc w:val="center"/>
        </w:trPr>
        <w:tc>
          <w:tcPr>
            <w:tcW w:w="0" w:type="auto"/>
            <w:gridSpan w:val="3"/>
            <w:tcBorders>
              <w:top w:val="nil"/>
              <w:left w:val="nil"/>
              <w:bottom w:val="nil"/>
              <w:right w:val="nil"/>
            </w:tcBorders>
            <w:shd w:val="clear" w:color="auto" w:fill="CCEEFF"/>
            <w:tcMar>
              <w:top w:w="40" w:type="dxa"/>
              <w:left w:w="395" w:type="dxa"/>
              <w:bottom w:w="40" w:type="dxa"/>
              <w:right w:w="20" w:type="dxa"/>
            </w:tcMar>
            <w:vAlign w:val="bottom"/>
          </w:tcPr>
          <w:p w14:paraId="59E4C46F"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Total debt, principal amount</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C470"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27,203 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C471"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C472"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C473"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(32)</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C474"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C475"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C476"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27,235 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C477" w14:textId="77777777" w:rsidR="00D7560A" w:rsidRDefault="00D7560A">
            <w:pPr>
              <w:widowControl/>
              <w:jc w:val="right"/>
              <w:rPr>
                <w:rFonts w:ascii="Times New Roman" w:eastAsia="宋体" w:hAnsi="宋体" w:cs="宋体"/>
                <w:kern w:val="0"/>
                <w:sz w:val="24"/>
              </w:rPr>
            </w:pPr>
          </w:p>
        </w:tc>
      </w:tr>
      <w:tr w:rsidR="00D7560A" w14:paraId="59E4C482" w14:textId="77777777">
        <w:trPr>
          <w:jc w:val="center"/>
        </w:trPr>
        <w:tc>
          <w:tcPr>
            <w:tcW w:w="0" w:type="auto"/>
            <w:gridSpan w:val="3"/>
            <w:tcBorders>
              <w:top w:val="nil"/>
              <w:left w:val="nil"/>
              <w:bottom w:val="nil"/>
              <w:right w:val="nil"/>
            </w:tcBorders>
            <w:shd w:val="clear" w:color="auto" w:fill="FFFFFF"/>
            <w:tcMar>
              <w:top w:w="40" w:type="dxa"/>
              <w:left w:w="515" w:type="dxa"/>
              <w:bottom w:w="40" w:type="dxa"/>
              <w:right w:w="20" w:type="dxa"/>
            </w:tcMar>
            <w:vAlign w:val="bottom"/>
          </w:tcPr>
          <w:p w14:paraId="59E4C479"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Carrying value adjustments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C47A"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(269)</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C47B"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C47C"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C47D"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C47E"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C47F"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C480"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(281)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C481" w14:textId="77777777" w:rsidR="00D7560A" w:rsidRDefault="00D7560A">
            <w:pPr>
              <w:widowControl/>
              <w:jc w:val="right"/>
              <w:rPr>
                <w:rFonts w:ascii="Times New Roman" w:eastAsia="宋体" w:hAnsi="宋体" w:cs="宋体"/>
                <w:kern w:val="0"/>
                <w:sz w:val="24"/>
              </w:rPr>
            </w:pPr>
          </w:p>
        </w:tc>
      </w:tr>
      <w:tr w:rsidR="00D7560A" w14:paraId="59E4C48F" w14:textId="77777777">
        <w:trPr>
          <w:jc w:val="center"/>
        </w:trPr>
        <w:tc>
          <w:tcPr>
            <w:tcW w:w="0" w:type="auto"/>
            <w:gridSpan w:val="3"/>
            <w:tcBorders>
              <w:top w:val="nil"/>
              <w:left w:val="nil"/>
              <w:bottom w:val="nil"/>
              <w:right w:val="nil"/>
            </w:tcBorders>
            <w:shd w:val="clear" w:color="auto" w:fill="CCEEFF"/>
            <w:tcMar>
              <w:top w:w="40" w:type="dxa"/>
              <w:left w:w="605" w:type="dxa"/>
              <w:bottom w:w="40" w:type="dxa"/>
              <w:right w:w="20" w:type="dxa"/>
            </w:tcMar>
            <w:vAlign w:val="bottom"/>
          </w:tcPr>
          <w:p w14:paraId="59E4C483"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Total debt, carrying value</w:t>
            </w: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59E4C484"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59E4C485"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26,934 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59E4C486"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C487"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59E4C488"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59E4C489"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(20)</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59E4C48A"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C48B"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59E4C48C"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59E4C48D"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26,954 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59E4C48E" w14:textId="77777777" w:rsidR="00D7560A" w:rsidRDefault="00D7560A">
            <w:pPr>
              <w:widowControl/>
              <w:jc w:val="right"/>
              <w:rPr>
                <w:rFonts w:ascii="Times New Roman" w:eastAsia="宋体" w:hAnsi="宋体" w:cs="宋体"/>
                <w:kern w:val="0"/>
                <w:sz w:val="24"/>
              </w:rPr>
            </w:pPr>
          </w:p>
        </w:tc>
      </w:tr>
    </w:tbl>
    <w:p w14:paraId="59E4C490"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C491"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As of July 29, 2022, the outstanding principal amount of our debt of $27.2 billion remained effectively unchanged from January 28, 2022.</w:t>
      </w:r>
    </w:p>
    <w:p w14:paraId="59E4C492"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C493"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We define core debt as the total principal amount of our debt, less DFS related debt and other debt. Our core debt was $16.1 billion as of July 29, 2022 and January 28, 2022. See Note 7 of the Notes to the Condensed Consolidated Financial Statements incl</w:t>
      </w:r>
      <w:r>
        <w:rPr>
          <w:rFonts w:ascii="Times New Roman" w:eastAsia="宋体" w:hAnsi="Times New Roman" w:cs="Times New Roman"/>
          <w:color w:val="000000"/>
          <w:kern w:val="0"/>
          <w:sz w:val="20"/>
          <w:szCs w:val="20"/>
          <w:lang w:bidi="ar"/>
        </w:rPr>
        <w:t>uded in this report for more information about our debt.</w:t>
      </w:r>
    </w:p>
    <w:p w14:paraId="59E4C494"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C495"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DFS related debt primarily represents debt from our securitization and structured financing programs. Our risk of loss under these programs is limited to transferred lease and loan payments and ass</w:t>
      </w:r>
      <w:r>
        <w:rPr>
          <w:rFonts w:ascii="Times New Roman" w:eastAsia="宋体" w:hAnsi="Times New Roman" w:cs="Times New Roman"/>
          <w:color w:val="000000"/>
          <w:kern w:val="0"/>
          <w:sz w:val="20"/>
          <w:szCs w:val="20"/>
          <w:lang w:bidi="ar"/>
        </w:rPr>
        <w:t>ociated equipment, as the credit holders have no recourse to Dell Technologies.</w:t>
      </w:r>
    </w:p>
    <w:p w14:paraId="59E4C496"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C497"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To fund expansion of the DFS business, we balance the use of the securitization and structured financing programs with other sources of liquidity. We approximate the </w:t>
      </w:r>
      <w:r>
        <w:rPr>
          <w:rFonts w:ascii="Times New Roman" w:eastAsia="宋体" w:hAnsi="Times New Roman" w:cs="Times New Roman"/>
          <w:color w:val="000000"/>
          <w:kern w:val="0"/>
          <w:sz w:val="20"/>
          <w:szCs w:val="20"/>
          <w:lang w:bidi="ar"/>
        </w:rPr>
        <w:t>amount of our debt used to fund the DFS business by applying a 7:1 debt-to-equity ratio to the sum of our financing receivables balance and equipment under our DFS operating leases, net. The debt-to-equity ratio is based on the underlying credit quality of</w:t>
      </w:r>
      <w:r>
        <w:rPr>
          <w:rFonts w:ascii="Times New Roman" w:eastAsia="宋体" w:hAnsi="Times New Roman" w:cs="Times New Roman"/>
          <w:color w:val="000000"/>
          <w:kern w:val="0"/>
          <w:sz w:val="20"/>
          <w:szCs w:val="20"/>
          <w:lang w:bidi="ar"/>
        </w:rPr>
        <w:t xml:space="preserve"> the assets. See Note 5 of the Notes to the Condensed Consolidated Financial Statements included in this report for more information about our DFS debt.</w:t>
      </w:r>
    </w:p>
    <w:p w14:paraId="59E4C498"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C499"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We have made steady progress in paying down debt and we will continue to pursue deleveraging as an im</w:t>
      </w:r>
      <w:r>
        <w:rPr>
          <w:rFonts w:ascii="Times New Roman" w:eastAsia="宋体" w:hAnsi="Times New Roman" w:cs="Times New Roman"/>
          <w:color w:val="000000"/>
          <w:kern w:val="0"/>
          <w:sz w:val="20"/>
          <w:szCs w:val="20"/>
          <w:lang w:bidi="ar"/>
        </w:rPr>
        <w:t xml:space="preserve">portant component of our overall strategy. As a result of our debt reduction and liability management strategy, we achieved an investment grade corporate family rating from three major credit rating agencies during Fiscal 2022. </w:t>
      </w:r>
    </w:p>
    <w:p w14:paraId="59E4C49A"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C49B"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We believe we will </w:t>
      </w:r>
      <w:r>
        <w:rPr>
          <w:rFonts w:ascii="Times New Roman" w:eastAsia="宋体" w:hAnsi="Times New Roman" w:cs="Times New Roman"/>
          <w:color w:val="000000"/>
          <w:kern w:val="0"/>
          <w:sz w:val="20"/>
          <w:szCs w:val="20"/>
          <w:lang w:bidi="ar"/>
        </w:rPr>
        <w:t>continue to be able to make our debt principal and interest payments, including the short-term maturities, from existing and expected sources of cash, primarily from operating cash flows. Cash used for debt principal and interest payments may include short</w:t>
      </w:r>
      <w:r>
        <w:rPr>
          <w:rFonts w:ascii="Times New Roman" w:eastAsia="宋体" w:hAnsi="Times New Roman" w:cs="Times New Roman"/>
          <w:color w:val="000000"/>
          <w:kern w:val="0"/>
          <w:sz w:val="20"/>
          <w:szCs w:val="20"/>
          <w:lang w:bidi="ar"/>
        </w:rPr>
        <w:t>-term borrowings under our commercial paper program or our revolving credit facility. Under our variable-rate debt, we could experience variations in our future interest expense from potential fluctuations in applicable reference rates, or from possible fl</w:t>
      </w:r>
      <w:r>
        <w:rPr>
          <w:rFonts w:ascii="Times New Roman" w:eastAsia="宋体" w:hAnsi="Times New Roman" w:cs="Times New Roman"/>
          <w:color w:val="000000"/>
          <w:kern w:val="0"/>
          <w:sz w:val="20"/>
          <w:szCs w:val="20"/>
          <w:lang w:bidi="ar"/>
        </w:rPr>
        <w:t>uctuations in the level of DFS debt required to meet future demand for customer financing. There are no scheduled maturities related to our outstanding core debt during Fiscal 2023. However, at our sole discretion, we may purchase, redeem, prepay, refinanc</w:t>
      </w:r>
      <w:r>
        <w:rPr>
          <w:rFonts w:ascii="Times New Roman" w:eastAsia="宋体" w:hAnsi="Times New Roman" w:cs="Times New Roman"/>
          <w:color w:val="000000"/>
          <w:kern w:val="0"/>
          <w:sz w:val="20"/>
          <w:szCs w:val="20"/>
          <w:lang w:bidi="ar"/>
        </w:rPr>
        <w:t>e, or otherwise retire any amount of our outstanding indebtedness under the terms of such indebtedness at any time and from time to time, in open market or negotiated transactions with the holders of such indebtedness or otherwise, as we consider appropria</w:t>
      </w:r>
      <w:r>
        <w:rPr>
          <w:rFonts w:ascii="Times New Roman" w:eastAsia="宋体" w:hAnsi="Times New Roman" w:cs="Times New Roman"/>
          <w:color w:val="000000"/>
          <w:kern w:val="0"/>
          <w:sz w:val="20"/>
          <w:szCs w:val="20"/>
          <w:lang w:bidi="ar"/>
        </w:rPr>
        <w:t>te in light of market conditions and other relevant factors.</w:t>
      </w:r>
    </w:p>
    <w:p w14:paraId="59E4C49C"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C49D"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C49E"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83</w:t>
      </w:r>
    </w:p>
    <w:p w14:paraId="59E4C49F"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C4A0" w14:textId="77777777" w:rsidR="00D7560A" w:rsidRDefault="001E3CAB">
      <w:pPr>
        <w:widowControl/>
        <w:jc w:val="center"/>
      </w:pPr>
      <w:r>
        <w:rPr>
          <w:rFonts w:ascii="宋体" w:eastAsia="宋体" w:hAnsi="宋体" w:cs="宋体"/>
          <w:kern w:val="0"/>
          <w:sz w:val="24"/>
        </w:rPr>
        <w:pict w14:anchorId="59E4C81E">
          <v:rect id="_x0000_i1107" style="width:6in;height:1.5pt" o:hralign="center" o:hrstd="t" o:hr="t" fillcolor="#a0a0a0" stroked="f"/>
        </w:pict>
      </w:r>
    </w:p>
    <w:p w14:paraId="59E4C4A1" w14:textId="77777777" w:rsidR="00D7560A" w:rsidRDefault="001E3CAB">
      <w:pPr>
        <w:widowControl/>
        <w:jc w:val="left"/>
        <w:rPr>
          <w:rFonts w:ascii="宋体" w:eastAsia="宋体" w:hAnsi="宋体" w:cs="宋体"/>
          <w:kern w:val="0"/>
          <w:sz w:val="24"/>
        </w:rPr>
      </w:pPr>
      <w:hyperlink w:anchor="if933dd1d5d004d2495dd7029e3ecad00_13" w:history="1">
        <w:r>
          <w:rPr>
            <w:rStyle w:val="a4"/>
            <w:rFonts w:ascii="Times New Roman" w:eastAsia="宋体" w:hAnsi="Times New Roman" w:cs="Times New Roman"/>
            <w:sz w:val="20"/>
            <w:szCs w:val="20"/>
          </w:rPr>
          <w:t>Table of Contents</w:t>
        </w:r>
      </w:hyperlink>
    </w:p>
    <w:p w14:paraId="59E4C4A2"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i/>
          <w:iCs/>
          <w:color w:val="000000"/>
          <w:kern w:val="0"/>
          <w:sz w:val="20"/>
          <w:szCs w:val="20"/>
          <w:u w:val="single"/>
          <w:shd w:val="clear" w:color="auto" w:fill="FFFFFF"/>
          <w:lang w:bidi="ar"/>
        </w:rPr>
        <w:t>Cash Flows</w:t>
      </w:r>
    </w:p>
    <w:p w14:paraId="59E4C4A3"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C4A4"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shd w:val="clear" w:color="auto" w:fill="FFFFFF"/>
          <w:lang w:bidi="ar"/>
        </w:rPr>
        <w:t xml:space="preserve">The following table presents a summary of our </w:t>
      </w:r>
      <w:r>
        <w:rPr>
          <w:rFonts w:ascii="Times New Roman" w:eastAsia="宋体" w:hAnsi="Times New Roman" w:cs="Times New Roman"/>
          <w:color w:val="000000"/>
          <w:kern w:val="0"/>
          <w:sz w:val="20"/>
          <w:szCs w:val="20"/>
          <w:lang w:bidi="ar"/>
        </w:rPr>
        <w:t>Condensed Consolidated Statements of Cash Flows</w:t>
      </w:r>
      <w:r>
        <w:rPr>
          <w:rFonts w:ascii="Times New Roman" w:eastAsia="宋体" w:hAnsi="Times New Roman" w:cs="Times New Roman"/>
          <w:color w:val="000000"/>
          <w:kern w:val="0"/>
          <w:sz w:val="20"/>
          <w:szCs w:val="20"/>
          <w:shd w:val="clear" w:color="auto" w:fill="FFFFFF"/>
          <w:lang w:bidi="ar"/>
        </w:rPr>
        <w:t xml:space="preserve"> for the periods indicated:</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40"/>
        <w:gridCol w:w="5372"/>
        <w:gridCol w:w="39"/>
        <w:gridCol w:w="120"/>
        <w:gridCol w:w="1124"/>
        <w:gridCol w:w="36"/>
        <w:gridCol w:w="36"/>
        <w:gridCol w:w="36"/>
        <w:gridCol w:w="36"/>
        <w:gridCol w:w="120"/>
        <w:gridCol w:w="1125"/>
        <w:gridCol w:w="36"/>
        <w:gridCol w:w="36"/>
        <w:gridCol w:w="36"/>
        <w:gridCol w:w="36"/>
        <w:gridCol w:w="36"/>
        <w:gridCol w:w="36"/>
        <w:gridCol w:w="36"/>
      </w:tblGrid>
      <w:tr w:rsidR="00D7560A" w14:paraId="59E4C4B3" w14:textId="77777777">
        <w:tc>
          <w:tcPr>
            <w:tcW w:w="50" w:type="pct"/>
            <w:tcBorders>
              <w:top w:val="nil"/>
              <w:left w:val="nil"/>
              <w:bottom w:val="nil"/>
              <w:right w:val="nil"/>
            </w:tcBorders>
            <w:shd w:val="clear" w:color="auto" w:fill="auto"/>
            <w:vAlign w:val="bottom"/>
          </w:tcPr>
          <w:p w14:paraId="59E4C4A5" w14:textId="77777777" w:rsidR="00D7560A" w:rsidRDefault="00D7560A">
            <w:pPr>
              <w:widowControl/>
              <w:jc w:val="left"/>
              <w:rPr>
                <w:rFonts w:ascii="Times New Roman" w:eastAsia="宋体" w:hAnsi="宋体" w:cs="宋体"/>
                <w:kern w:val="0"/>
                <w:sz w:val="24"/>
              </w:rPr>
            </w:pPr>
          </w:p>
        </w:tc>
        <w:tc>
          <w:tcPr>
            <w:tcW w:w="3350" w:type="pct"/>
            <w:tcBorders>
              <w:top w:val="nil"/>
              <w:left w:val="nil"/>
              <w:bottom w:val="nil"/>
              <w:right w:val="nil"/>
            </w:tcBorders>
            <w:shd w:val="clear" w:color="auto" w:fill="auto"/>
            <w:vAlign w:val="bottom"/>
          </w:tcPr>
          <w:p w14:paraId="59E4C4A6"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C4A7"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C4A8" w14:textId="77777777" w:rsidR="00D7560A" w:rsidRDefault="00D7560A">
            <w:pPr>
              <w:widowControl/>
              <w:jc w:val="left"/>
              <w:rPr>
                <w:rFonts w:ascii="Times New Roman" w:eastAsia="宋体" w:hAnsi="宋体" w:cs="宋体"/>
                <w:kern w:val="0"/>
                <w:sz w:val="24"/>
              </w:rPr>
            </w:pPr>
          </w:p>
        </w:tc>
        <w:tc>
          <w:tcPr>
            <w:tcW w:w="727" w:type="pct"/>
            <w:tcBorders>
              <w:top w:val="nil"/>
              <w:left w:val="nil"/>
              <w:bottom w:val="nil"/>
              <w:right w:val="nil"/>
            </w:tcBorders>
            <w:shd w:val="clear" w:color="auto" w:fill="auto"/>
            <w:vAlign w:val="bottom"/>
          </w:tcPr>
          <w:p w14:paraId="59E4C4A9"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C4AA"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C4AB" w14:textId="77777777" w:rsidR="00D7560A" w:rsidRDefault="00D7560A">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59E4C4AC"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C4AD"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C4AE" w14:textId="77777777" w:rsidR="00D7560A" w:rsidRDefault="00D7560A">
            <w:pPr>
              <w:widowControl/>
              <w:jc w:val="left"/>
              <w:rPr>
                <w:rFonts w:ascii="Times New Roman" w:eastAsia="宋体" w:hAnsi="宋体" w:cs="宋体"/>
                <w:kern w:val="0"/>
                <w:sz w:val="24"/>
              </w:rPr>
            </w:pPr>
          </w:p>
        </w:tc>
        <w:tc>
          <w:tcPr>
            <w:tcW w:w="727" w:type="pct"/>
            <w:tcBorders>
              <w:top w:val="nil"/>
              <w:left w:val="nil"/>
              <w:bottom w:val="nil"/>
              <w:right w:val="nil"/>
            </w:tcBorders>
            <w:shd w:val="clear" w:color="auto" w:fill="auto"/>
            <w:vAlign w:val="bottom"/>
          </w:tcPr>
          <w:p w14:paraId="59E4C4AF"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C4B0"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59E4C4B1"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C4B2" w14:textId="77777777" w:rsidR="00D7560A" w:rsidRDefault="00D7560A">
            <w:pPr>
              <w:widowControl/>
              <w:jc w:val="left"/>
              <w:rPr>
                <w:rFonts w:ascii="Times New Roman" w:eastAsia="宋体" w:hAnsi="宋体" w:cs="宋体"/>
                <w:vanish/>
                <w:kern w:val="0"/>
                <w:sz w:val="24"/>
              </w:rPr>
            </w:pPr>
          </w:p>
        </w:tc>
      </w:tr>
      <w:tr w:rsidR="00D7560A" w14:paraId="59E4C4BC"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C4B4" w14:textId="77777777" w:rsidR="00D7560A" w:rsidRDefault="00D7560A">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59E4C4B5"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Six Months Ended</w:t>
            </w:r>
          </w:p>
        </w:tc>
        <w:tc>
          <w:tcPr>
            <w:tcW w:w="0" w:type="auto"/>
            <w:tcBorders>
              <w:top w:val="nil"/>
              <w:left w:val="nil"/>
              <w:bottom w:val="nil"/>
              <w:right w:val="nil"/>
            </w:tcBorders>
            <w:shd w:val="clear" w:color="auto" w:fill="auto"/>
            <w:vAlign w:val="bottom"/>
          </w:tcPr>
          <w:p w14:paraId="59E4C4B6"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C4B7"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C4B8"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C4B9"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C4BA"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C4BB" w14:textId="77777777" w:rsidR="00D7560A" w:rsidRDefault="00D7560A">
            <w:pPr>
              <w:widowControl/>
              <w:jc w:val="left"/>
              <w:rPr>
                <w:rFonts w:ascii="Times New Roman" w:eastAsia="宋体" w:hAnsi="宋体" w:cs="宋体"/>
                <w:kern w:val="0"/>
                <w:sz w:val="24"/>
              </w:rPr>
            </w:pPr>
          </w:p>
        </w:tc>
      </w:tr>
      <w:tr w:rsidR="00D7560A" w14:paraId="59E4C4C3"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9E4C4BD"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59E4C4BE"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29, 2022</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59E4C4BF"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59E4C4C0"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30, 2021</w:t>
            </w:r>
          </w:p>
        </w:tc>
        <w:tc>
          <w:tcPr>
            <w:tcW w:w="0" w:type="auto"/>
            <w:gridSpan w:val="3"/>
            <w:tcBorders>
              <w:top w:val="nil"/>
              <w:left w:val="nil"/>
              <w:bottom w:val="nil"/>
              <w:right w:val="nil"/>
            </w:tcBorders>
            <w:shd w:val="clear" w:color="auto" w:fill="auto"/>
            <w:vAlign w:val="bottom"/>
          </w:tcPr>
          <w:p w14:paraId="59E4C4C1"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C4C2" w14:textId="77777777" w:rsidR="00D7560A" w:rsidRDefault="00D7560A">
            <w:pPr>
              <w:widowControl/>
              <w:jc w:val="left"/>
              <w:rPr>
                <w:rFonts w:ascii="Times New Roman" w:eastAsia="宋体" w:hAnsi="宋体" w:cs="宋体"/>
                <w:vanish/>
                <w:kern w:val="0"/>
                <w:sz w:val="24"/>
              </w:rPr>
            </w:pPr>
          </w:p>
        </w:tc>
      </w:tr>
      <w:tr w:rsidR="00D7560A" w14:paraId="59E4C4CC"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C4C4" w14:textId="77777777" w:rsidR="00D7560A" w:rsidRDefault="00D7560A">
            <w:pPr>
              <w:widowControl/>
              <w:jc w:val="left"/>
              <w:rPr>
                <w:rFonts w:ascii="Times New Roman" w:eastAsia="宋体" w:hAnsi="宋体" w:cs="宋体"/>
                <w:kern w:val="0"/>
                <w:sz w:val="24"/>
              </w:rPr>
            </w:pPr>
          </w:p>
        </w:tc>
        <w:tc>
          <w:tcPr>
            <w:tcW w:w="0" w:type="auto"/>
            <w:gridSpan w:val="9"/>
            <w:tcBorders>
              <w:top w:val="single" w:sz="8" w:space="0" w:color="000000"/>
              <w:left w:val="nil"/>
              <w:bottom w:val="nil"/>
              <w:right w:val="nil"/>
            </w:tcBorders>
            <w:shd w:val="clear" w:color="auto" w:fill="auto"/>
            <w:tcMar>
              <w:top w:w="40" w:type="dxa"/>
              <w:left w:w="20" w:type="dxa"/>
              <w:bottom w:w="40" w:type="dxa"/>
              <w:right w:w="20" w:type="dxa"/>
            </w:tcMar>
            <w:vAlign w:val="bottom"/>
          </w:tcPr>
          <w:p w14:paraId="59E4C4C5"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(in millions)</w:t>
            </w:r>
          </w:p>
        </w:tc>
        <w:tc>
          <w:tcPr>
            <w:tcW w:w="0" w:type="auto"/>
            <w:tcBorders>
              <w:top w:val="nil"/>
              <w:left w:val="nil"/>
              <w:bottom w:val="nil"/>
              <w:right w:val="nil"/>
            </w:tcBorders>
            <w:shd w:val="clear" w:color="auto" w:fill="auto"/>
            <w:vAlign w:val="bottom"/>
          </w:tcPr>
          <w:p w14:paraId="59E4C4C6"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C4C7"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C4C8"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C4C9"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C4CA"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59E4C4CB" w14:textId="77777777" w:rsidR="00D7560A" w:rsidRDefault="00D7560A">
            <w:pPr>
              <w:widowControl/>
              <w:jc w:val="left"/>
              <w:rPr>
                <w:rFonts w:ascii="Times New Roman" w:eastAsia="宋体" w:hAnsi="宋体" w:cs="宋体"/>
                <w:kern w:val="0"/>
                <w:sz w:val="24"/>
              </w:rPr>
            </w:pPr>
          </w:p>
        </w:tc>
      </w:tr>
      <w:tr w:rsidR="00D7560A" w14:paraId="59E4C4D3"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9E4C4CD"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i/>
                <w:iCs/>
                <w:color w:val="000000"/>
                <w:kern w:val="0"/>
                <w:sz w:val="20"/>
                <w:szCs w:val="20"/>
                <w:lang w:bidi="ar"/>
              </w:rPr>
              <w:t>Net change in cash from:</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C4CE"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C4CF"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C4D0"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59E4C4D1"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C4D2" w14:textId="77777777" w:rsidR="00D7560A" w:rsidRDefault="00D7560A">
            <w:pPr>
              <w:widowControl/>
              <w:jc w:val="left"/>
              <w:rPr>
                <w:rFonts w:ascii="Times New Roman" w:eastAsia="宋体" w:hAnsi="宋体" w:cs="宋体"/>
                <w:vanish/>
                <w:kern w:val="0"/>
                <w:sz w:val="24"/>
              </w:rPr>
            </w:pPr>
          </w:p>
        </w:tc>
      </w:tr>
      <w:tr w:rsidR="00D7560A" w14:paraId="59E4C4DE" w14:textId="77777777">
        <w:tc>
          <w:tcPr>
            <w:tcW w:w="0" w:type="auto"/>
            <w:gridSpan w:val="3"/>
            <w:tcBorders>
              <w:top w:val="nil"/>
              <w:left w:val="nil"/>
              <w:bottom w:val="nil"/>
              <w:right w:val="nil"/>
            </w:tcBorders>
            <w:shd w:val="clear" w:color="auto" w:fill="FFFFFF"/>
            <w:tcMar>
              <w:top w:w="40" w:type="dxa"/>
              <w:left w:w="125" w:type="dxa"/>
              <w:bottom w:w="40" w:type="dxa"/>
              <w:right w:w="20" w:type="dxa"/>
            </w:tcMar>
            <w:vAlign w:val="bottom"/>
          </w:tcPr>
          <w:p w14:paraId="59E4C4D4"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Operating activities</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9E4C4D5"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9E4C4D6"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455 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C4D7"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C4D8"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9E4C4D9"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9E4C4DA"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3,963 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C4DB"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59E4C4DC"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C4DD" w14:textId="77777777" w:rsidR="00D7560A" w:rsidRDefault="00D7560A">
            <w:pPr>
              <w:widowControl/>
              <w:jc w:val="left"/>
              <w:rPr>
                <w:rFonts w:ascii="Times New Roman" w:eastAsia="宋体" w:hAnsi="宋体" w:cs="宋体"/>
                <w:vanish/>
                <w:kern w:val="0"/>
                <w:sz w:val="24"/>
              </w:rPr>
            </w:pPr>
          </w:p>
        </w:tc>
      </w:tr>
      <w:tr w:rsidR="00D7560A" w14:paraId="59E4C4E7" w14:textId="77777777">
        <w:tc>
          <w:tcPr>
            <w:tcW w:w="0" w:type="auto"/>
            <w:gridSpan w:val="3"/>
            <w:tcBorders>
              <w:top w:val="nil"/>
              <w:left w:val="nil"/>
              <w:bottom w:val="nil"/>
              <w:right w:val="nil"/>
            </w:tcBorders>
            <w:shd w:val="clear" w:color="auto" w:fill="CCEEFF"/>
            <w:tcMar>
              <w:top w:w="40" w:type="dxa"/>
              <w:left w:w="125" w:type="dxa"/>
              <w:bottom w:w="40" w:type="dxa"/>
              <w:right w:w="20" w:type="dxa"/>
            </w:tcMar>
            <w:vAlign w:val="bottom"/>
          </w:tcPr>
          <w:p w14:paraId="59E4C4DF"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Investing activities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C4E0"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(1,498)</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C4E1"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C4E2"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C4E3"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(1,188)</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C4E4"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59E4C4E5"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C4E6" w14:textId="77777777" w:rsidR="00D7560A" w:rsidRDefault="00D7560A">
            <w:pPr>
              <w:widowControl/>
              <w:jc w:val="left"/>
              <w:rPr>
                <w:rFonts w:ascii="Times New Roman" w:eastAsia="宋体" w:hAnsi="宋体" w:cs="宋体"/>
                <w:vanish/>
                <w:kern w:val="0"/>
                <w:sz w:val="24"/>
              </w:rPr>
            </w:pPr>
          </w:p>
        </w:tc>
      </w:tr>
      <w:tr w:rsidR="00D7560A" w14:paraId="59E4C4F0" w14:textId="77777777">
        <w:tc>
          <w:tcPr>
            <w:tcW w:w="0" w:type="auto"/>
            <w:gridSpan w:val="3"/>
            <w:tcBorders>
              <w:top w:val="nil"/>
              <w:left w:val="nil"/>
              <w:bottom w:val="nil"/>
              <w:right w:val="nil"/>
            </w:tcBorders>
            <w:shd w:val="clear" w:color="auto" w:fill="FFFFFF"/>
            <w:tcMar>
              <w:top w:w="40" w:type="dxa"/>
              <w:left w:w="125" w:type="dxa"/>
              <w:bottom w:w="40" w:type="dxa"/>
              <w:right w:w="20" w:type="dxa"/>
            </w:tcMar>
            <w:vAlign w:val="bottom"/>
          </w:tcPr>
          <w:p w14:paraId="59E4C4E8"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Financing activities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C4E9"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(2,752)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C4EA"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C4EB"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C4EC"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(5,311)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C4ED"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59E4C4EE"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C4EF" w14:textId="77777777" w:rsidR="00D7560A" w:rsidRDefault="00D7560A">
            <w:pPr>
              <w:widowControl/>
              <w:jc w:val="left"/>
              <w:rPr>
                <w:rFonts w:ascii="Times New Roman" w:eastAsia="宋体" w:hAnsi="宋体" w:cs="宋体"/>
                <w:vanish/>
                <w:kern w:val="0"/>
                <w:sz w:val="24"/>
              </w:rPr>
            </w:pPr>
          </w:p>
        </w:tc>
      </w:tr>
      <w:tr w:rsidR="00D7560A" w14:paraId="59E4C4F9" w14:textId="77777777">
        <w:tc>
          <w:tcPr>
            <w:tcW w:w="0" w:type="auto"/>
            <w:gridSpan w:val="3"/>
            <w:tcBorders>
              <w:top w:val="nil"/>
              <w:left w:val="nil"/>
              <w:bottom w:val="nil"/>
              <w:right w:val="nil"/>
            </w:tcBorders>
            <w:shd w:val="clear" w:color="auto" w:fill="CCEEFF"/>
            <w:tcMar>
              <w:top w:w="40" w:type="dxa"/>
              <w:left w:w="125" w:type="dxa"/>
              <w:bottom w:w="40" w:type="dxa"/>
              <w:right w:w="20" w:type="dxa"/>
            </w:tcMar>
            <w:vAlign w:val="bottom"/>
          </w:tcPr>
          <w:p w14:paraId="59E4C4F1"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Effect of exchange rate changes on cash, cash equivalents, and restricted cash</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C4F2"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(194)</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C4F3"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C4F4"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C4F5"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(21)</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C4F6"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59E4C4F7"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C4F8" w14:textId="77777777" w:rsidR="00D7560A" w:rsidRDefault="00D7560A">
            <w:pPr>
              <w:widowControl/>
              <w:jc w:val="left"/>
              <w:rPr>
                <w:rFonts w:ascii="Times New Roman" w:eastAsia="宋体" w:hAnsi="宋体" w:cs="宋体"/>
                <w:vanish/>
                <w:kern w:val="0"/>
                <w:sz w:val="24"/>
              </w:rPr>
            </w:pPr>
          </w:p>
        </w:tc>
      </w:tr>
      <w:tr w:rsidR="00D7560A" w14:paraId="59E4C504" w14:textId="77777777">
        <w:tc>
          <w:tcPr>
            <w:tcW w:w="0" w:type="auto"/>
            <w:gridSpan w:val="3"/>
            <w:tcBorders>
              <w:top w:val="nil"/>
              <w:left w:val="nil"/>
              <w:bottom w:val="nil"/>
              <w:right w:val="nil"/>
            </w:tcBorders>
            <w:shd w:val="clear" w:color="auto" w:fill="FFFFFF"/>
            <w:tcMar>
              <w:top w:w="40" w:type="dxa"/>
              <w:left w:w="260" w:type="dxa"/>
              <w:bottom w:w="40" w:type="dxa"/>
              <w:right w:w="20" w:type="dxa"/>
            </w:tcMar>
            <w:vAlign w:val="bottom"/>
          </w:tcPr>
          <w:p w14:paraId="59E4C4FA"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Change in cash, cash equivalents, and restricted cash</w:t>
            </w: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59E4C4FB"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59E4C4FC"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(3,989)</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59E4C4FD"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C4FE"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59E4C4FF"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59E4C500"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(2,557)</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59E4C501"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59E4C502" w14:textId="77777777" w:rsidR="00D7560A" w:rsidRDefault="00D7560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59E4C503" w14:textId="77777777" w:rsidR="00D7560A" w:rsidRDefault="00D7560A">
            <w:pPr>
              <w:widowControl/>
              <w:jc w:val="left"/>
              <w:rPr>
                <w:rFonts w:ascii="Times New Roman" w:eastAsia="宋体" w:hAnsi="宋体" w:cs="宋体"/>
                <w:vanish/>
                <w:kern w:val="0"/>
                <w:sz w:val="24"/>
              </w:rPr>
            </w:pPr>
          </w:p>
        </w:tc>
      </w:tr>
    </w:tbl>
    <w:p w14:paraId="59E4C505"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C506"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Cash flows for the six months ended July 30, 2021 are inclusive of cash flows attributable to VMware. Effective November 1, 2021, as a result of the VMware Spin-off, cash flows ceased to include VMware. See “Introductio</w:t>
      </w:r>
      <w:r>
        <w:rPr>
          <w:rFonts w:ascii="Times New Roman" w:eastAsia="宋体" w:hAnsi="Times New Roman" w:cs="Times New Roman"/>
          <w:color w:val="000000"/>
          <w:kern w:val="0"/>
          <w:sz w:val="20"/>
          <w:szCs w:val="20"/>
          <w:lang w:bidi="ar"/>
        </w:rPr>
        <w:t>n” and Note 1 and Note 2 of the Notes to the Condensed Consolidated Financial Statements included in this report for additional information regarding the VMware Spin-off.</w:t>
      </w:r>
    </w:p>
    <w:p w14:paraId="59E4C507"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C508"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i/>
          <w:iCs/>
          <w:color w:val="000000"/>
          <w:kern w:val="0"/>
          <w:sz w:val="20"/>
          <w:szCs w:val="20"/>
          <w:u w:val="single"/>
          <w:lang w:bidi="ar"/>
        </w:rPr>
        <w:t>Operating Activities</w:t>
      </w:r>
      <w:r>
        <w:rPr>
          <w:rFonts w:ascii="Times New Roman" w:eastAsia="宋体" w:hAnsi="Times New Roman" w:cs="Times New Roman"/>
          <w:color w:val="000000"/>
          <w:kern w:val="0"/>
          <w:sz w:val="20"/>
          <w:szCs w:val="20"/>
          <w:lang w:bidi="ar"/>
        </w:rPr>
        <w:t xml:space="preserve"> — Cash provided by operating activities was $0.5 billion durin</w:t>
      </w:r>
      <w:r>
        <w:rPr>
          <w:rFonts w:ascii="Times New Roman" w:eastAsia="宋体" w:hAnsi="Times New Roman" w:cs="Times New Roman"/>
          <w:color w:val="000000"/>
          <w:kern w:val="0"/>
          <w:sz w:val="20"/>
          <w:szCs w:val="20"/>
          <w:lang w:bidi="ar"/>
        </w:rPr>
        <w:t>g the first six months of Fiscal 2023 and reflects continued profitability partially offset by the impact of working capital dynamics. During the first six months of Fiscal 2022, cash provided by operating activities was $4.0 billion, of which $2.1 billion</w:t>
      </w:r>
      <w:r>
        <w:rPr>
          <w:rFonts w:ascii="Times New Roman" w:eastAsia="宋体" w:hAnsi="Times New Roman" w:cs="Times New Roman"/>
          <w:color w:val="000000"/>
          <w:kern w:val="0"/>
          <w:sz w:val="20"/>
          <w:szCs w:val="20"/>
          <w:lang w:bidi="ar"/>
        </w:rPr>
        <w:t xml:space="preserve"> represents cash provided by operating activities attributable to VMware, and was driven by both strong profitability coupled with favorable working capital dynamics. </w:t>
      </w:r>
    </w:p>
    <w:p w14:paraId="59E4C509"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C50A"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i/>
          <w:iCs/>
          <w:color w:val="000000"/>
          <w:kern w:val="0"/>
          <w:sz w:val="20"/>
          <w:szCs w:val="20"/>
          <w:u w:val="single"/>
          <w:lang w:bidi="ar"/>
        </w:rPr>
        <w:t>Investing Activities</w:t>
      </w:r>
      <w:r>
        <w:rPr>
          <w:rFonts w:ascii="Times New Roman" w:eastAsia="宋体" w:hAnsi="Times New Roman" w:cs="Times New Roman"/>
          <w:i/>
          <w:iCs/>
          <w:color w:val="000000"/>
          <w:kern w:val="0"/>
          <w:sz w:val="20"/>
          <w:szCs w:val="20"/>
          <w:lang w:bidi="ar"/>
        </w:rPr>
        <w:t xml:space="preserve"> —</w:t>
      </w:r>
      <w:r>
        <w:rPr>
          <w:rFonts w:ascii="Times New Roman" w:eastAsia="宋体" w:hAnsi="Times New Roman" w:cs="Times New Roman"/>
          <w:color w:val="000000"/>
          <w:kern w:val="0"/>
          <w:sz w:val="20"/>
          <w:szCs w:val="20"/>
          <w:lang w:bidi="ar"/>
        </w:rPr>
        <w:t xml:space="preserve"> Investing activities primarily consist of cash used to fund cap</w:t>
      </w:r>
      <w:r>
        <w:rPr>
          <w:rFonts w:ascii="Times New Roman" w:eastAsia="宋体" w:hAnsi="Times New Roman" w:cs="Times New Roman"/>
          <w:color w:val="000000"/>
          <w:kern w:val="0"/>
          <w:sz w:val="20"/>
          <w:szCs w:val="20"/>
          <w:lang w:bidi="ar"/>
        </w:rPr>
        <w:t>ital expenditures for property, plant, and equipment, which includes equipment under DFS operating leases. Additional activities include capitalized software development costs, strategic investments, and the maturities, sales, and purchases of investments.</w:t>
      </w:r>
      <w:r>
        <w:rPr>
          <w:rFonts w:ascii="Times New Roman" w:eastAsia="宋体" w:hAnsi="Times New Roman" w:cs="Times New Roman"/>
          <w:color w:val="000000"/>
          <w:kern w:val="0"/>
          <w:sz w:val="20"/>
          <w:szCs w:val="20"/>
          <w:lang w:bidi="ar"/>
        </w:rPr>
        <w:t xml:space="preserve"> During the first six months of Fiscal 2023 and Fiscal 2022, cash used in investing activities was $1.5 billion and $1.2 billion, respectively, and was primarily applied to capital expenditures.</w:t>
      </w:r>
    </w:p>
    <w:p w14:paraId="59E4C50B"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 </w:t>
      </w:r>
    </w:p>
    <w:p w14:paraId="59E4C50C"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i/>
          <w:iCs/>
          <w:color w:val="000000"/>
          <w:kern w:val="0"/>
          <w:sz w:val="20"/>
          <w:szCs w:val="20"/>
          <w:u w:val="single"/>
          <w:lang w:bidi="ar"/>
        </w:rPr>
        <w:t>Financing Activities</w:t>
      </w:r>
      <w:r>
        <w:rPr>
          <w:rFonts w:ascii="Times New Roman" w:eastAsia="宋体" w:hAnsi="Times New Roman" w:cs="Times New Roman"/>
          <w:color w:val="000000"/>
          <w:kern w:val="0"/>
          <w:sz w:val="20"/>
          <w:szCs w:val="20"/>
          <w:lang w:bidi="ar"/>
        </w:rPr>
        <w:t xml:space="preserve"> — Financing activities primarily consist of the proceeds and repayments of debt and cash used to repurchase common stock. Cash used in financing activities was $2.8 billion during the first six months of Fiscal 2023 and primarily consisted of repurchases </w:t>
      </w:r>
      <w:r>
        <w:rPr>
          <w:rFonts w:ascii="Times New Roman" w:eastAsia="宋体" w:hAnsi="Times New Roman" w:cs="Times New Roman"/>
          <w:color w:val="000000"/>
          <w:kern w:val="0"/>
          <w:sz w:val="20"/>
          <w:szCs w:val="20"/>
          <w:lang w:bidi="ar"/>
        </w:rPr>
        <w:t>of common stock, payments to settle employee tax withholding on stock-based compensation, and the payment of quarterly dividends. Cash used in financing activities of $5.3 billion during the first six months of Fiscal 2022 primarily consisted of debt repay</w:t>
      </w:r>
      <w:r>
        <w:rPr>
          <w:rFonts w:ascii="Times New Roman" w:eastAsia="宋体" w:hAnsi="Times New Roman" w:cs="Times New Roman"/>
          <w:color w:val="000000"/>
          <w:kern w:val="0"/>
          <w:sz w:val="20"/>
          <w:szCs w:val="20"/>
          <w:lang w:bidi="ar"/>
        </w:rPr>
        <w:t>ments and repurchases of common stock by our public subsidiaries.</w:t>
      </w:r>
    </w:p>
    <w:p w14:paraId="59E4C50D"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C50E"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i/>
          <w:iCs/>
          <w:color w:val="000000"/>
          <w:kern w:val="0"/>
          <w:sz w:val="20"/>
          <w:szCs w:val="20"/>
          <w:u w:val="single"/>
          <w:lang w:bidi="ar"/>
        </w:rPr>
        <w:t>DFS Cash Flow Impacts</w:t>
      </w:r>
      <w:r>
        <w:rPr>
          <w:rFonts w:ascii="Times New Roman" w:eastAsia="宋体" w:hAnsi="Times New Roman" w:cs="Times New Roman"/>
          <w:i/>
          <w:iCs/>
          <w:color w:val="000000"/>
          <w:kern w:val="0"/>
          <w:sz w:val="20"/>
          <w:szCs w:val="20"/>
          <w:lang w:bidi="ar"/>
        </w:rPr>
        <w:t xml:space="preserve"> </w:t>
      </w:r>
      <w:r>
        <w:rPr>
          <w:rFonts w:ascii="Times New Roman" w:eastAsia="宋体" w:hAnsi="Times New Roman" w:cs="Times New Roman"/>
          <w:color w:val="000000"/>
          <w:kern w:val="0"/>
          <w:sz w:val="20"/>
          <w:szCs w:val="20"/>
          <w:lang w:bidi="ar"/>
        </w:rPr>
        <w:t>— DFS offerings are initially funded through cash on hand at the time of origination, most of which is subsequently replaced with asset-backed financing. For DFS offe</w:t>
      </w:r>
      <w:r>
        <w:rPr>
          <w:rFonts w:ascii="Times New Roman" w:eastAsia="宋体" w:hAnsi="Times New Roman" w:cs="Times New Roman"/>
          <w:color w:val="000000"/>
          <w:kern w:val="0"/>
          <w:sz w:val="20"/>
          <w:szCs w:val="20"/>
          <w:lang w:bidi="ar"/>
        </w:rPr>
        <w:t xml:space="preserve">rings that qualify as sales-type leases, the initial funding of financing receivables is reflected as an impact to cash flows from operations and is largely subsequently offset by cash proceeds from financing. For DFS operating leases, the initial funding </w:t>
      </w:r>
      <w:r>
        <w:rPr>
          <w:rFonts w:ascii="Times New Roman" w:eastAsia="宋体" w:hAnsi="Times New Roman" w:cs="Times New Roman"/>
          <w:color w:val="000000"/>
          <w:kern w:val="0"/>
          <w:sz w:val="20"/>
          <w:szCs w:val="20"/>
          <w:lang w:bidi="ar"/>
        </w:rPr>
        <w:t>is classified as a capital expenditure and reflected as cash flows used in investing activities. DFS new financing originations were $4.4 billion and $3.8 billion during the first six months of Fiscal 2023 and Fiscal 2022, respectively. As of July 29, 2022</w:t>
      </w:r>
      <w:r>
        <w:rPr>
          <w:rFonts w:ascii="Times New Roman" w:eastAsia="宋体" w:hAnsi="Times New Roman" w:cs="Times New Roman"/>
          <w:color w:val="000000"/>
          <w:kern w:val="0"/>
          <w:sz w:val="20"/>
          <w:szCs w:val="20"/>
          <w:lang w:bidi="ar"/>
        </w:rPr>
        <w:t>, DFS had $10.3 billion of total net financing receivables and $2.0 billion of equipment under DFS operating leases, net.</w:t>
      </w:r>
    </w:p>
    <w:p w14:paraId="59E4C50F"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C510"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Cash Requirements and Expenditures</w:t>
      </w:r>
    </w:p>
    <w:p w14:paraId="59E4C511"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C512"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i/>
          <w:iCs/>
          <w:color w:val="000000"/>
          <w:kern w:val="0"/>
          <w:sz w:val="20"/>
          <w:szCs w:val="20"/>
          <w:u w:val="single"/>
          <w:lang w:bidi="ar"/>
        </w:rPr>
        <w:t>Capital Expenditures</w:t>
      </w:r>
      <w:r>
        <w:rPr>
          <w:rFonts w:ascii="Times New Roman" w:eastAsia="宋体" w:hAnsi="Times New Roman" w:cs="Times New Roman"/>
          <w:i/>
          <w:iCs/>
          <w:color w:val="000000"/>
          <w:kern w:val="0"/>
          <w:sz w:val="20"/>
          <w:szCs w:val="20"/>
          <w:lang w:bidi="ar"/>
        </w:rPr>
        <w:t xml:space="preserve"> </w:t>
      </w:r>
      <w:r>
        <w:rPr>
          <w:rFonts w:ascii="Times New Roman" w:eastAsia="宋体" w:hAnsi="Times New Roman" w:cs="Times New Roman"/>
          <w:color w:val="000000"/>
          <w:kern w:val="0"/>
          <w:sz w:val="20"/>
          <w:szCs w:val="20"/>
          <w:lang w:bidi="ar"/>
        </w:rPr>
        <w:t>— We spent $1.5 billion and $1.3 billion during the first six months of Fiscal 2023 and Fiscal 2022, respectively, on property, plant, and equipment and capitalized software development costs, of which the funding of equipment under DFS operating leases to</w:t>
      </w:r>
      <w:r>
        <w:rPr>
          <w:rFonts w:ascii="Times New Roman" w:eastAsia="宋体" w:hAnsi="Times New Roman" w:cs="Times New Roman"/>
          <w:color w:val="000000"/>
          <w:kern w:val="0"/>
          <w:sz w:val="20"/>
          <w:szCs w:val="20"/>
          <w:lang w:bidi="ar"/>
        </w:rPr>
        <w:t>taled $0.5 billion and $0.4 billion, respectively. Product demand, product mix, the use of contract manufacturers, and ongoing investments in operating and information technology infrastructure influence the level and prioritization of our capital expendit</w:t>
      </w:r>
      <w:r>
        <w:rPr>
          <w:rFonts w:ascii="Times New Roman" w:eastAsia="宋体" w:hAnsi="Times New Roman" w:cs="Times New Roman"/>
          <w:color w:val="000000"/>
          <w:kern w:val="0"/>
          <w:sz w:val="20"/>
          <w:szCs w:val="20"/>
          <w:lang w:bidi="ar"/>
        </w:rPr>
        <w:t>ures. Aggregate capital expenditures for Fiscal 2023 are currently expected to total between $3.1 billion and $3.3 billion, of which approximately $1.1 billion of expenditures are expected to be applied to equipment under DFS operating leases and approxima</w:t>
      </w:r>
      <w:r>
        <w:rPr>
          <w:rFonts w:ascii="Times New Roman" w:eastAsia="宋体" w:hAnsi="Times New Roman" w:cs="Times New Roman"/>
          <w:color w:val="000000"/>
          <w:kern w:val="0"/>
          <w:sz w:val="20"/>
          <w:szCs w:val="20"/>
          <w:lang w:bidi="ar"/>
        </w:rPr>
        <w:t xml:space="preserve">tely $0.4 billion to capitalized software development costs. </w:t>
      </w:r>
    </w:p>
    <w:p w14:paraId="59E4C513"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C514"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C515"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84</w:t>
      </w:r>
    </w:p>
    <w:p w14:paraId="59E4C516"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C517" w14:textId="77777777" w:rsidR="00D7560A" w:rsidRDefault="001E3CAB">
      <w:pPr>
        <w:widowControl/>
        <w:jc w:val="center"/>
      </w:pPr>
      <w:r>
        <w:rPr>
          <w:rFonts w:ascii="宋体" w:eastAsia="宋体" w:hAnsi="宋体" w:cs="宋体"/>
          <w:kern w:val="0"/>
          <w:sz w:val="24"/>
        </w:rPr>
        <w:pict w14:anchorId="59E4C81F">
          <v:rect id="_x0000_i1108" style="width:6in;height:1.5pt" o:hralign="center" o:hrstd="t" o:hr="t" fillcolor="#a0a0a0" stroked="f"/>
        </w:pict>
      </w:r>
    </w:p>
    <w:p w14:paraId="59E4C518" w14:textId="77777777" w:rsidR="00D7560A" w:rsidRDefault="001E3CAB">
      <w:pPr>
        <w:widowControl/>
        <w:jc w:val="left"/>
        <w:rPr>
          <w:rFonts w:ascii="宋体" w:eastAsia="宋体" w:hAnsi="宋体" w:cs="宋体"/>
          <w:kern w:val="0"/>
          <w:sz w:val="24"/>
        </w:rPr>
      </w:pPr>
      <w:hyperlink w:anchor="if933dd1d5d004d2495dd7029e3ecad00_13" w:history="1">
        <w:r>
          <w:rPr>
            <w:rStyle w:val="a4"/>
            <w:rFonts w:ascii="Times New Roman" w:eastAsia="宋体" w:hAnsi="Times New Roman" w:cs="Times New Roman"/>
            <w:sz w:val="20"/>
            <w:szCs w:val="20"/>
          </w:rPr>
          <w:t>Table of Contents</w:t>
        </w:r>
      </w:hyperlink>
    </w:p>
    <w:p w14:paraId="59E4C519"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i/>
          <w:iCs/>
          <w:color w:val="000000"/>
          <w:kern w:val="0"/>
          <w:sz w:val="20"/>
          <w:szCs w:val="20"/>
          <w:u w:val="single"/>
          <w:lang w:bidi="ar"/>
        </w:rPr>
        <w:t>Repurchases of Common Stock</w:t>
      </w:r>
      <w:r>
        <w:rPr>
          <w:rFonts w:ascii="Times New Roman" w:eastAsia="宋体" w:hAnsi="Times New Roman" w:cs="Times New Roman"/>
          <w:i/>
          <w:iCs/>
          <w:color w:val="000000"/>
          <w:kern w:val="0"/>
          <w:sz w:val="20"/>
          <w:szCs w:val="20"/>
          <w:lang w:bidi="ar"/>
        </w:rPr>
        <w:t xml:space="preserve"> </w:t>
      </w:r>
      <w:r>
        <w:rPr>
          <w:rFonts w:ascii="Times New Roman" w:eastAsia="宋体" w:hAnsi="Times New Roman" w:cs="Times New Roman"/>
          <w:color w:val="000000"/>
          <w:kern w:val="0"/>
          <w:sz w:val="20"/>
          <w:szCs w:val="20"/>
          <w:lang w:bidi="ar"/>
        </w:rPr>
        <w:t xml:space="preserve">— Effective as of September 23, 2021, our Board of Directors approved a </w:t>
      </w:r>
      <w:r>
        <w:rPr>
          <w:rFonts w:ascii="Times New Roman" w:eastAsia="宋体" w:hAnsi="Times New Roman" w:cs="Times New Roman"/>
          <w:color w:val="000000"/>
          <w:kern w:val="0"/>
          <w:sz w:val="20"/>
          <w:szCs w:val="20"/>
          <w:lang w:bidi="ar"/>
        </w:rPr>
        <w:t>stock repurchase program with no established expiration date under which we are authorized to repurchase up to $5 billion of shares of our Class C Common Stock. During the first six months of Fiscal 2023, we repurchased approximately 42 million shares of C</w:t>
      </w:r>
      <w:r>
        <w:rPr>
          <w:rFonts w:ascii="Times New Roman" w:eastAsia="宋体" w:hAnsi="Times New Roman" w:cs="Times New Roman"/>
          <w:color w:val="000000"/>
          <w:kern w:val="0"/>
          <w:sz w:val="20"/>
          <w:szCs w:val="20"/>
          <w:lang w:bidi="ar"/>
        </w:rPr>
        <w:t>lass C Common Stock under this program for a total purchase price of approximately $2.1 billion.</w:t>
      </w:r>
    </w:p>
    <w:p w14:paraId="59E4C51A"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C51B"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i/>
          <w:iCs/>
          <w:color w:val="000000"/>
          <w:kern w:val="0"/>
          <w:sz w:val="20"/>
          <w:szCs w:val="20"/>
          <w:u w:val="single"/>
          <w:lang w:bidi="ar"/>
        </w:rPr>
        <w:t>Dividend Payments</w:t>
      </w:r>
      <w:r>
        <w:rPr>
          <w:rFonts w:ascii="Times New Roman" w:eastAsia="宋体" w:hAnsi="Times New Roman" w:cs="Times New Roman"/>
          <w:i/>
          <w:iCs/>
          <w:color w:val="000000"/>
          <w:kern w:val="0"/>
          <w:sz w:val="20"/>
          <w:szCs w:val="20"/>
          <w:lang w:bidi="ar"/>
        </w:rPr>
        <w:t xml:space="preserve"> </w:t>
      </w:r>
      <w:r>
        <w:rPr>
          <w:rFonts w:ascii="Times New Roman" w:eastAsia="宋体" w:hAnsi="Times New Roman" w:cs="Times New Roman"/>
          <w:color w:val="000000"/>
          <w:kern w:val="0"/>
          <w:sz w:val="20"/>
          <w:szCs w:val="20"/>
          <w:lang w:bidi="ar"/>
        </w:rPr>
        <w:t xml:space="preserve">— On February 24, 2022, the Company announced that its Board of Directors has adopted a dividend policy under which the Company intends to </w:t>
      </w:r>
      <w:r>
        <w:rPr>
          <w:rFonts w:ascii="Times New Roman" w:eastAsia="宋体" w:hAnsi="Times New Roman" w:cs="Times New Roman"/>
          <w:color w:val="000000"/>
          <w:kern w:val="0"/>
          <w:sz w:val="20"/>
          <w:szCs w:val="20"/>
          <w:lang w:bidi="ar"/>
        </w:rPr>
        <w:t>pay quarterly cash dividends on its common stock at an initial rate of $0.33 per share per fiscal quarter. During the six months ended July 29, 2022, the Company paid the following dividends:</w:t>
      </w:r>
    </w:p>
    <w:p w14:paraId="59E4C51C"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56"/>
        <w:gridCol w:w="1416"/>
        <w:gridCol w:w="36"/>
        <w:gridCol w:w="36"/>
        <w:gridCol w:w="36"/>
        <w:gridCol w:w="36"/>
        <w:gridCol w:w="43"/>
        <w:gridCol w:w="1429"/>
        <w:gridCol w:w="36"/>
        <w:gridCol w:w="36"/>
        <w:gridCol w:w="36"/>
        <w:gridCol w:w="36"/>
        <w:gridCol w:w="43"/>
        <w:gridCol w:w="1384"/>
        <w:gridCol w:w="36"/>
        <w:gridCol w:w="36"/>
        <w:gridCol w:w="36"/>
        <w:gridCol w:w="36"/>
        <w:gridCol w:w="121"/>
        <w:gridCol w:w="1555"/>
        <w:gridCol w:w="36"/>
        <w:gridCol w:w="36"/>
        <w:gridCol w:w="36"/>
        <w:gridCol w:w="36"/>
        <w:gridCol w:w="121"/>
        <w:gridCol w:w="1556"/>
        <w:gridCol w:w="36"/>
      </w:tblGrid>
      <w:tr w:rsidR="00D7560A" w14:paraId="59E4C538" w14:textId="77777777">
        <w:tc>
          <w:tcPr>
            <w:tcW w:w="50" w:type="pct"/>
            <w:tcBorders>
              <w:top w:val="nil"/>
              <w:left w:val="nil"/>
              <w:bottom w:val="nil"/>
              <w:right w:val="nil"/>
            </w:tcBorders>
            <w:shd w:val="clear" w:color="auto" w:fill="auto"/>
            <w:vAlign w:val="bottom"/>
          </w:tcPr>
          <w:p w14:paraId="59E4C51D" w14:textId="77777777" w:rsidR="00D7560A" w:rsidRDefault="00D7560A">
            <w:pPr>
              <w:widowControl/>
              <w:jc w:val="left"/>
              <w:rPr>
                <w:rFonts w:ascii="Times New Roman" w:eastAsia="宋体" w:hAnsi="宋体" w:cs="宋体"/>
                <w:kern w:val="0"/>
                <w:sz w:val="24"/>
              </w:rPr>
            </w:pPr>
          </w:p>
        </w:tc>
        <w:tc>
          <w:tcPr>
            <w:tcW w:w="880" w:type="pct"/>
            <w:tcBorders>
              <w:top w:val="nil"/>
              <w:left w:val="nil"/>
              <w:bottom w:val="nil"/>
              <w:right w:val="nil"/>
            </w:tcBorders>
            <w:shd w:val="clear" w:color="auto" w:fill="auto"/>
            <w:vAlign w:val="bottom"/>
          </w:tcPr>
          <w:p w14:paraId="59E4C51E"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C51F"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C520" w14:textId="77777777" w:rsidR="00D7560A" w:rsidRDefault="00D7560A">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59E4C521"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C522"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C523" w14:textId="77777777" w:rsidR="00D7560A" w:rsidRDefault="00D7560A">
            <w:pPr>
              <w:widowControl/>
              <w:jc w:val="left"/>
              <w:rPr>
                <w:rFonts w:ascii="Times New Roman" w:eastAsia="宋体" w:hAnsi="宋体" w:cs="宋体"/>
                <w:kern w:val="0"/>
                <w:sz w:val="24"/>
              </w:rPr>
            </w:pPr>
          </w:p>
        </w:tc>
        <w:tc>
          <w:tcPr>
            <w:tcW w:w="880" w:type="pct"/>
            <w:tcBorders>
              <w:top w:val="nil"/>
              <w:left w:val="nil"/>
              <w:bottom w:val="nil"/>
              <w:right w:val="nil"/>
            </w:tcBorders>
            <w:shd w:val="clear" w:color="auto" w:fill="auto"/>
            <w:vAlign w:val="bottom"/>
          </w:tcPr>
          <w:p w14:paraId="59E4C524"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C525"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C526" w14:textId="77777777" w:rsidR="00D7560A" w:rsidRDefault="00D7560A">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59E4C527"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C528"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C529" w14:textId="77777777" w:rsidR="00D7560A" w:rsidRDefault="00D7560A">
            <w:pPr>
              <w:widowControl/>
              <w:jc w:val="left"/>
              <w:rPr>
                <w:rFonts w:ascii="Times New Roman" w:eastAsia="宋体" w:hAnsi="宋体" w:cs="宋体"/>
                <w:kern w:val="0"/>
                <w:sz w:val="24"/>
              </w:rPr>
            </w:pPr>
          </w:p>
        </w:tc>
        <w:tc>
          <w:tcPr>
            <w:tcW w:w="873" w:type="pct"/>
            <w:tcBorders>
              <w:top w:val="nil"/>
              <w:left w:val="nil"/>
              <w:bottom w:val="nil"/>
              <w:right w:val="nil"/>
            </w:tcBorders>
            <w:shd w:val="clear" w:color="auto" w:fill="auto"/>
            <w:vAlign w:val="bottom"/>
          </w:tcPr>
          <w:p w14:paraId="59E4C52A"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C52B"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C52C" w14:textId="77777777" w:rsidR="00D7560A" w:rsidRDefault="00D7560A">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59E4C52D"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C52E"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C52F" w14:textId="77777777" w:rsidR="00D7560A" w:rsidRDefault="00D7560A">
            <w:pPr>
              <w:widowControl/>
              <w:jc w:val="left"/>
              <w:rPr>
                <w:rFonts w:ascii="Times New Roman" w:eastAsia="宋体" w:hAnsi="宋体" w:cs="宋体"/>
                <w:kern w:val="0"/>
                <w:sz w:val="24"/>
              </w:rPr>
            </w:pPr>
          </w:p>
        </w:tc>
        <w:tc>
          <w:tcPr>
            <w:tcW w:w="975" w:type="pct"/>
            <w:tcBorders>
              <w:top w:val="nil"/>
              <w:left w:val="nil"/>
              <w:bottom w:val="nil"/>
              <w:right w:val="nil"/>
            </w:tcBorders>
            <w:shd w:val="clear" w:color="auto" w:fill="auto"/>
            <w:vAlign w:val="bottom"/>
          </w:tcPr>
          <w:p w14:paraId="59E4C530"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C531"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C532" w14:textId="77777777" w:rsidR="00D7560A" w:rsidRDefault="00D7560A">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59E4C533"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C534"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C535" w14:textId="77777777" w:rsidR="00D7560A" w:rsidRDefault="00D7560A">
            <w:pPr>
              <w:widowControl/>
              <w:jc w:val="left"/>
              <w:rPr>
                <w:rFonts w:ascii="Times New Roman" w:eastAsia="宋体" w:hAnsi="宋体" w:cs="宋体"/>
                <w:kern w:val="0"/>
                <w:sz w:val="24"/>
              </w:rPr>
            </w:pPr>
          </w:p>
        </w:tc>
        <w:tc>
          <w:tcPr>
            <w:tcW w:w="975" w:type="pct"/>
            <w:tcBorders>
              <w:top w:val="nil"/>
              <w:left w:val="nil"/>
              <w:bottom w:val="nil"/>
              <w:right w:val="nil"/>
            </w:tcBorders>
            <w:shd w:val="clear" w:color="auto" w:fill="auto"/>
            <w:vAlign w:val="bottom"/>
          </w:tcPr>
          <w:p w14:paraId="59E4C536"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C537" w14:textId="77777777" w:rsidR="00D7560A" w:rsidRDefault="00D7560A">
            <w:pPr>
              <w:widowControl/>
              <w:jc w:val="left"/>
              <w:rPr>
                <w:rFonts w:ascii="Times New Roman" w:eastAsia="宋体" w:hAnsi="宋体" w:cs="宋体"/>
                <w:kern w:val="0"/>
                <w:sz w:val="24"/>
              </w:rPr>
            </w:pPr>
          </w:p>
        </w:tc>
      </w:tr>
      <w:tr w:rsidR="00D7560A" w14:paraId="59E4C542"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9E4C539"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Declaration Date</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C53A"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9E4C53B"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Record Date</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C53C"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9E4C53D"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Payment Date</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C53E"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9E4C53F"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Dividend per Share</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C540"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9E4C541"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 xml:space="preserve">Amount </w:t>
            </w:r>
            <w:r>
              <w:rPr>
                <w:rFonts w:ascii="Times New Roman" w:eastAsia="宋体" w:hAnsi="Times New Roman" w:cs="Times New Roman"/>
                <w:b/>
                <w:bCs/>
                <w:color w:val="000000"/>
                <w:kern w:val="0"/>
                <w:sz w:val="20"/>
                <w:szCs w:val="20"/>
                <w:lang w:bidi="ar"/>
              </w:rPr>
              <w:br/>
              <w:t>(in millions)</w:t>
            </w:r>
          </w:p>
        </w:tc>
      </w:tr>
      <w:tr w:rsidR="00D7560A" w14:paraId="59E4C550"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59E4C543"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February 24, 2022</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C544"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59E4C545"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April 20, 2022</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C546"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59E4C547"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April 29, 2022</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C548"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59E4C549"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59E4C54A"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0.33 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59E4C54B"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C54C"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59E4C54D"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59E4C54E"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248 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59E4C54F" w14:textId="77777777" w:rsidR="00D7560A" w:rsidRDefault="00D7560A">
            <w:pPr>
              <w:widowControl/>
              <w:jc w:val="right"/>
              <w:rPr>
                <w:rFonts w:ascii="Times New Roman" w:eastAsia="宋体" w:hAnsi="宋体" w:cs="宋体"/>
                <w:kern w:val="0"/>
                <w:sz w:val="24"/>
              </w:rPr>
            </w:pPr>
          </w:p>
        </w:tc>
      </w:tr>
      <w:tr w:rsidR="00D7560A" w14:paraId="59E4C55E"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9E4C551"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June 7, 2022</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C552"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9E4C553"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July 20, 2022</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C554"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9E4C555"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July 29, 2022</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C556"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Mar>
              <w:top w:w="40" w:type="dxa"/>
              <w:left w:w="20" w:type="dxa"/>
              <w:bottom w:w="40" w:type="dxa"/>
              <w:right w:w="0" w:type="dxa"/>
            </w:tcMar>
            <w:vAlign w:val="bottom"/>
          </w:tcPr>
          <w:p w14:paraId="59E4C557"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auto"/>
            <w:tcMar>
              <w:top w:w="40" w:type="dxa"/>
              <w:left w:w="0" w:type="dxa"/>
              <w:bottom w:w="40" w:type="dxa"/>
              <w:right w:w="0" w:type="dxa"/>
            </w:tcMar>
            <w:vAlign w:val="bottom"/>
          </w:tcPr>
          <w:p w14:paraId="59E4C558"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0.33 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59E4C559"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C55A"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Mar>
              <w:top w:w="40" w:type="dxa"/>
              <w:left w:w="20" w:type="dxa"/>
              <w:bottom w:w="40" w:type="dxa"/>
              <w:right w:w="0" w:type="dxa"/>
            </w:tcMar>
            <w:vAlign w:val="bottom"/>
          </w:tcPr>
          <w:p w14:paraId="59E4C55B"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auto"/>
            <w:tcMar>
              <w:top w:w="40" w:type="dxa"/>
              <w:left w:w="0" w:type="dxa"/>
              <w:bottom w:w="40" w:type="dxa"/>
              <w:right w:w="0" w:type="dxa"/>
            </w:tcMar>
            <w:vAlign w:val="bottom"/>
          </w:tcPr>
          <w:p w14:paraId="59E4C55C"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242 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59E4C55D" w14:textId="77777777" w:rsidR="00D7560A" w:rsidRDefault="00D7560A">
            <w:pPr>
              <w:widowControl/>
              <w:jc w:val="right"/>
              <w:rPr>
                <w:rFonts w:ascii="Times New Roman" w:eastAsia="宋体" w:hAnsi="宋体" w:cs="宋体"/>
                <w:kern w:val="0"/>
                <w:sz w:val="24"/>
              </w:rPr>
            </w:pPr>
          </w:p>
        </w:tc>
      </w:tr>
    </w:tbl>
    <w:p w14:paraId="59E4C55F"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C560"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i/>
          <w:iCs/>
          <w:color w:val="000000"/>
          <w:kern w:val="0"/>
          <w:sz w:val="20"/>
          <w:szCs w:val="20"/>
          <w:u w:val="single"/>
          <w:lang w:bidi="ar"/>
        </w:rPr>
        <w:t>Purchase Obligations</w:t>
      </w:r>
      <w:r>
        <w:rPr>
          <w:rFonts w:ascii="Times New Roman" w:eastAsia="宋体" w:hAnsi="Times New Roman" w:cs="Times New Roman"/>
          <w:color w:val="000000"/>
          <w:kern w:val="0"/>
          <w:sz w:val="20"/>
          <w:szCs w:val="20"/>
          <w:lang w:bidi="ar"/>
        </w:rPr>
        <w:t xml:space="preserve"> </w:t>
      </w:r>
      <w:r>
        <w:rPr>
          <w:rFonts w:ascii="Times New Roman" w:eastAsia="宋体" w:hAnsi="Times New Roman" w:cs="Times New Roman"/>
          <w:b/>
          <w:bCs/>
          <w:color w:val="000000"/>
          <w:kern w:val="0"/>
          <w:sz w:val="20"/>
          <w:szCs w:val="20"/>
          <w:lang w:bidi="ar"/>
        </w:rPr>
        <w:t>—</w:t>
      </w:r>
      <w:r>
        <w:rPr>
          <w:rFonts w:ascii="Times New Roman" w:eastAsia="宋体" w:hAnsi="Times New Roman" w:cs="Times New Roman"/>
          <w:color w:val="000000"/>
          <w:kern w:val="0"/>
          <w:sz w:val="20"/>
          <w:szCs w:val="20"/>
          <w:lang w:bidi="ar"/>
        </w:rPr>
        <w:t xml:space="preserve"> Purchase obligations are defined as contractual obligations to purchase goods or services that are enforceable and legally binding on us. These obligations specify all significant terms, including fixed or minimum quantities to be purchased; fixed, minimu</w:t>
      </w:r>
      <w:r>
        <w:rPr>
          <w:rFonts w:ascii="Times New Roman" w:eastAsia="宋体" w:hAnsi="Times New Roman" w:cs="Times New Roman"/>
          <w:color w:val="000000"/>
          <w:kern w:val="0"/>
          <w:sz w:val="20"/>
          <w:szCs w:val="20"/>
          <w:lang w:bidi="ar"/>
        </w:rPr>
        <w:t>m, or variable price provisions; and the approximate timing of the transaction. Purchase obligations do not include contracts that may be canceled without penalty.</w:t>
      </w:r>
    </w:p>
    <w:p w14:paraId="59E4C561"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C562"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We utilize several suppliers to manufacture sub-assemblies for our products. Our efficient</w:t>
      </w:r>
      <w:r>
        <w:rPr>
          <w:rFonts w:ascii="Times New Roman" w:eastAsia="宋体" w:hAnsi="Times New Roman" w:cs="Times New Roman"/>
          <w:color w:val="000000"/>
          <w:kern w:val="0"/>
          <w:sz w:val="20"/>
          <w:szCs w:val="20"/>
          <w:lang w:bidi="ar"/>
        </w:rPr>
        <w:t xml:space="preserve"> supply chain management allows us to enter into flexible and mutually beneficial purchase arrangements with our suppliers in order to minimize inventory risk. Consistent with industry practice, we acquire raw materials or other goods and services, includi</w:t>
      </w:r>
      <w:r>
        <w:rPr>
          <w:rFonts w:ascii="Times New Roman" w:eastAsia="宋体" w:hAnsi="Times New Roman" w:cs="Times New Roman"/>
          <w:color w:val="000000"/>
          <w:kern w:val="0"/>
          <w:sz w:val="20"/>
          <w:szCs w:val="20"/>
          <w:lang w:bidi="ar"/>
        </w:rPr>
        <w:t>ng product components, by issuing to supplier’s authorizations to purchase based on our projected demand and manufacturing needs. These purchase orders are typically fulfilled within 30 days and are entered into during the ordinary course of business in or</w:t>
      </w:r>
      <w:r>
        <w:rPr>
          <w:rFonts w:ascii="Times New Roman" w:eastAsia="宋体" w:hAnsi="Times New Roman" w:cs="Times New Roman"/>
          <w:color w:val="000000"/>
          <w:kern w:val="0"/>
          <w:sz w:val="20"/>
          <w:szCs w:val="20"/>
          <w:lang w:bidi="ar"/>
        </w:rPr>
        <w:t>der to establish best pricing and continuity of supply for our production. Purchase orders are not included in purchase obligations, as they typically represent our authorization to purchase rather than binding purchase obligations.</w:t>
      </w:r>
    </w:p>
    <w:p w14:paraId="59E4C563"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C564"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As of July 29, 2022, </w:t>
      </w:r>
      <w:r>
        <w:rPr>
          <w:rFonts w:ascii="Times New Roman" w:eastAsia="宋体" w:hAnsi="Times New Roman" w:cs="Times New Roman"/>
          <w:color w:val="000000"/>
          <w:kern w:val="0"/>
          <w:sz w:val="20"/>
          <w:szCs w:val="20"/>
          <w:lang w:bidi="ar"/>
        </w:rPr>
        <w:t>such purchase obligations were $4.0 billion, $0.5 billion, and $0.8 billion for the remaining six months of Fiscal 2023, Fiscal 2024, and Fiscal 2025 and thereafter, respectively.</w:t>
      </w:r>
    </w:p>
    <w:p w14:paraId="59E4C565"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C566"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Market Conditions</w:t>
      </w:r>
    </w:p>
    <w:p w14:paraId="59E4C567"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C568"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We regularly monitor economic conditions and associate</w:t>
      </w:r>
      <w:r>
        <w:rPr>
          <w:rFonts w:ascii="Times New Roman" w:eastAsia="宋体" w:hAnsi="Times New Roman" w:cs="Times New Roman"/>
          <w:color w:val="000000"/>
          <w:kern w:val="0"/>
          <w:sz w:val="20"/>
          <w:szCs w:val="20"/>
          <w:lang w:bidi="ar"/>
        </w:rPr>
        <w:t>d impacts on the financial markets and our business. We consistently evaluate the financial health of our supplier base, carefully manage customer credit, diversify counterparty risk, and monitor the concentration risk of our cash and cash equivalents bala</w:t>
      </w:r>
      <w:r>
        <w:rPr>
          <w:rFonts w:ascii="Times New Roman" w:eastAsia="宋体" w:hAnsi="Times New Roman" w:cs="Times New Roman"/>
          <w:color w:val="000000"/>
          <w:kern w:val="0"/>
          <w:sz w:val="20"/>
          <w:szCs w:val="20"/>
          <w:lang w:bidi="ar"/>
        </w:rPr>
        <w:t>nces globally. We routinely monitor our financial exposure to borrowers and counterparties.</w:t>
      </w:r>
    </w:p>
    <w:p w14:paraId="59E4C569"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C56A"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We monitor credit risk associated with our financial counterparties using various market credit risk indicators such as credit ratings issued by nationally recogn</w:t>
      </w:r>
      <w:r>
        <w:rPr>
          <w:rFonts w:ascii="Times New Roman" w:eastAsia="宋体" w:hAnsi="Times New Roman" w:cs="Times New Roman"/>
          <w:color w:val="000000"/>
          <w:kern w:val="0"/>
          <w:sz w:val="20"/>
          <w:szCs w:val="20"/>
          <w:lang w:bidi="ar"/>
        </w:rPr>
        <w:t>ized credit rating agencies and changes in market credit default swap levels. We perform periodic evaluations of our positions with these counterparties and may limit exposure to any one counterparty in accordance with our policies. We monitor and manage t</w:t>
      </w:r>
      <w:r>
        <w:rPr>
          <w:rFonts w:ascii="Times New Roman" w:eastAsia="宋体" w:hAnsi="Times New Roman" w:cs="Times New Roman"/>
          <w:color w:val="000000"/>
          <w:kern w:val="0"/>
          <w:sz w:val="20"/>
          <w:szCs w:val="20"/>
          <w:lang w:bidi="ar"/>
        </w:rPr>
        <w:t xml:space="preserve">hese activities depending on current and expected market developments. </w:t>
      </w:r>
    </w:p>
    <w:p w14:paraId="59E4C56B"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C56C"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We use derivative instruments to hedge certain foreign currency exposures. We use forward contracts and purchased options designated as cash flow hedges to protect against the foreig</w:t>
      </w:r>
      <w:r>
        <w:rPr>
          <w:rFonts w:ascii="Times New Roman" w:eastAsia="宋体" w:hAnsi="Times New Roman" w:cs="Times New Roman"/>
          <w:color w:val="000000"/>
          <w:kern w:val="0"/>
          <w:sz w:val="20"/>
          <w:szCs w:val="20"/>
          <w:lang w:bidi="ar"/>
        </w:rPr>
        <w:t>n currency exchange rate risks inherent in our forecasted transactions denominated in currencies other than the U.S. dollar.  In addition, we primarily use forward contracts and may use purchased options to hedge monetary assets and liabilities denominated</w:t>
      </w:r>
      <w:r>
        <w:rPr>
          <w:rFonts w:ascii="Times New Roman" w:eastAsia="宋体" w:hAnsi="Times New Roman" w:cs="Times New Roman"/>
          <w:color w:val="000000"/>
          <w:kern w:val="0"/>
          <w:sz w:val="20"/>
          <w:szCs w:val="20"/>
          <w:lang w:bidi="ar"/>
        </w:rPr>
        <w:t xml:space="preserve"> in a foreign currency.  See Note 8 of the Notes to the Condensed Consolidated Financial Statements included in this report for more information about our use of derivative instruments.</w:t>
      </w:r>
    </w:p>
    <w:p w14:paraId="59E4C56D"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C56E"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We are exposed to interest rate risk related to our </w:t>
      </w:r>
      <w:r>
        <w:rPr>
          <w:rFonts w:ascii="Times New Roman" w:eastAsia="宋体" w:hAnsi="Times New Roman" w:cs="Times New Roman"/>
          <w:color w:val="000000"/>
          <w:kern w:val="0"/>
          <w:sz w:val="20"/>
          <w:szCs w:val="20"/>
          <w:lang w:bidi="ar"/>
        </w:rPr>
        <w:t xml:space="preserve">variable-rate debt portfolio. In the normal course of business we follow established policies and procedures to manage this risk, including monitoring of our asset and liability mix. As a result, we do not anticipate any material losses from interest rate </w:t>
      </w:r>
      <w:r>
        <w:rPr>
          <w:rFonts w:ascii="Times New Roman" w:eastAsia="宋体" w:hAnsi="Times New Roman" w:cs="Times New Roman"/>
          <w:color w:val="000000"/>
          <w:kern w:val="0"/>
          <w:sz w:val="20"/>
          <w:szCs w:val="20"/>
          <w:lang w:bidi="ar"/>
        </w:rPr>
        <w:t>risk.</w:t>
      </w:r>
    </w:p>
    <w:p w14:paraId="59E4C56F"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C570"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C571"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C572"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C573"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C574"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85</w:t>
      </w:r>
    </w:p>
    <w:p w14:paraId="59E4C575"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C576" w14:textId="77777777" w:rsidR="00D7560A" w:rsidRDefault="001E3CAB">
      <w:pPr>
        <w:widowControl/>
        <w:jc w:val="center"/>
      </w:pPr>
      <w:r>
        <w:rPr>
          <w:rFonts w:ascii="宋体" w:eastAsia="宋体" w:hAnsi="宋体" w:cs="宋体"/>
          <w:kern w:val="0"/>
          <w:sz w:val="24"/>
        </w:rPr>
        <w:pict w14:anchorId="59E4C820">
          <v:rect id="_x0000_i1109" style="width:6in;height:1.5pt" o:hralign="center" o:hrstd="t" o:hr="t" fillcolor="#a0a0a0" stroked="f"/>
        </w:pict>
      </w:r>
    </w:p>
    <w:p w14:paraId="59E4C577" w14:textId="77777777" w:rsidR="00D7560A" w:rsidRDefault="001E3CAB">
      <w:pPr>
        <w:widowControl/>
        <w:jc w:val="left"/>
        <w:rPr>
          <w:rFonts w:ascii="宋体" w:eastAsia="宋体" w:hAnsi="宋体" w:cs="宋体"/>
          <w:kern w:val="0"/>
          <w:sz w:val="24"/>
        </w:rPr>
      </w:pPr>
      <w:hyperlink w:anchor="if933dd1d5d004d2495dd7029e3ecad00_13" w:history="1">
        <w:r>
          <w:rPr>
            <w:rStyle w:val="a4"/>
            <w:rFonts w:ascii="Times New Roman" w:eastAsia="宋体" w:hAnsi="Times New Roman" w:cs="Times New Roman"/>
            <w:sz w:val="20"/>
            <w:szCs w:val="20"/>
          </w:rPr>
          <w:t>Table of Contents</w:t>
        </w:r>
      </w:hyperlink>
    </w:p>
    <w:p w14:paraId="59E4C578"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C579"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Summarized Guarantor Financial Information</w:t>
      </w:r>
    </w:p>
    <w:p w14:paraId="59E4C57A"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C57B"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As discussed in Note 7 of the Notes to the Condensed Consolidated Financial Statements included in this report, Dell International L.L.C. and EMC Corporation (the “Issuers”), both of which are wholly-owned subsidiaries of Dell Technologies Inc., completed </w:t>
      </w:r>
      <w:r>
        <w:rPr>
          <w:rFonts w:ascii="Times New Roman" w:eastAsia="宋体" w:hAnsi="Times New Roman" w:cs="Times New Roman"/>
          <w:color w:val="000000"/>
          <w:kern w:val="0"/>
          <w:sz w:val="20"/>
          <w:szCs w:val="20"/>
          <w:lang w:bidi="ar"/>
        </w:rPr>
        <w:t>private offerings of multiple series of senior secured notes issued on June 1, 2016, March 20, 2019, and April 9, 2020 (the “Senior Notes”). In June 2021, the Issuers completed an exchange offer and issued $18.4 billion aggregate principal amount of regist</w:t>
      </w:r>
      <w:r>
        <w:rPr>
          <w:rFonts w:ascii="Times New Roman" w:eastAsia="宋体" w:hAnsi="Times New Roman" w:cs="Times New Roman"/>
          <w:color w:val="000000"/>
          <w:kern w:val="0"/>
          <w:sz w:val="20"/>
          <w:szCs w:val="20"/>
          <w:lang w:bidi="ar"/>
        </w:rPr>
        <w:t>ered senior notes under the Securities Act of 1933 in exchange for the same principal amount and substantially identical terms of the Senior Notes. The aggregate principal amount of unregistered Senior Notes remaining outstanding following the settlement o</w:t>
      </w:r>
      <w:r>
        <w:rPr>
          <w:rFonts w:ascii="Times New Roman" w:eastAsia="宋体" w:hAnsi="Times New Roman" w:cs="Times New Roman"/>
          <w:color w:val="000000"/>
          <w:kern w:val="0"/>
          <w:sz w:val="20"/>
          <w:szCs w:val="20"/>
          <w:lang w:bidi="ar"/>
        </w:rPr>
        <w:t>f the exchange offer was approximately $0.1 billion. During Fiscal 2022, the tangible and intangible assets of the Issuers and guarantors that secured obligations under the Senior Notes were released as collateral. As a result, the Senior Notes became full</w:t>
      </w:r>
      <w:r>
        <w:rPr>
          <w:rFonts w:ascii="Times New Roman" w:eastAsia="宋体" w:hAnsi="Times New Roman" w:cs="Times New Roman"/>
          <w:color w:val="000000"/>
          <w:kern w:val="0"/>
          <w:sz w:val="20"/>
          <w:szCs w:val="20"/>
          <w:lang w:bidi="ar"/>
        </w:rPr>
        <w:t xml:space="preserve">y unsecured. In addition, all guarantees of the Senior Notes by subsidiaries of Dell Inc. were released. </w:t>
      </w:r>
    </w:p>
    <w:p w14:paraId="59E4C57C"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C57D"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i/>
          <w:iCs/>
          <w:color w:val="000000"/>
          <w:kern w:val="0"/>
          <w:sz w:val="20"/>
          <w:szCs w:val="20"/>
          <w:lang w:bidi="ar"/>
        </w:rPr>
        <w:t>Guarantees</w:t>
      </w:r>
      <w:r>
        <w:rPr>
          <w:rFonts w:ascii="Times New Roman" w:eastAsia="宋体" w:hAnsi="Times New Roman" w:cs="Times New Roman"/>
          <w:color w:val="000000"/>
          <w:kern w:val="0"/>
          <w:sz w:val="20"/>
          <w:szCs w:val="20"/>
          <w:lang w:bidi="ar"/>
        </w:rPr>
        <w:t xml:space="preserve"> — The Senior Notes are guaranteed on a joint and several unsecured basis by Dell Technologies Inc. and its wholly-owned subsidiaries, Den</w:t>
      </w:r>
      <w:r>
        <w:rPr>
          <w:rFonts w:ascii="Times New Roman" w:eastAsia="宋体" w:hAnsi="Times New Roman" w:cs="Times New Roman"/>
          <w:color w:val="000000"/>
          <w:kern w:val="0"/>
          <w:sz w:val="20"/>
          <w:szCs w:val="20"/>
          <w:lang w:bidi="ar"/>
        </w:rPr>
        <w:t xml:space="preserve">ali Intermediate, Inc. and Dell Inc. (collectively, the “Guarantors”). </w:t>
      </w:r>
    </w:p>
    <w:p w14:paraId="59E4C57E"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C57F"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i/>
          <w:iCs/>
          <w:color w:val="000000"/>
          <w:kern w:val="0"/>
          <w:sz w:val="20"/>
          <w:szCs w:val="20"/>
          <w:lang w:bidi="ar"/>
        </w:rPr>
        <w:t>Basis of Preparation of the Summarized Financial Information</w:t>
      </w:r>
      <w:r>
        <w:rPr>
          <w:rFonts w:ascii="Times New Roman" w:eastAsia="宋体" w:hAnsi="Times New Roman" w:cs="Times New Roman"/>
          <w:color w:val="000000"/>
          <w:kern w:val="0"/>
          <w:sz w:val="20"/>
          <w:szCs w:val="20"/>
          <w:lang w:bidi="ar"/>
        </w:rPr>
        <w:t xml:space="preserve"> — The tables below are summarized financial information provided in conformity with Rule 13-01 of the SEC’s Regulation S-</w:t>
      </w:r>
      <w:r>
        <w:rPr>
          <w:rFonts w:ascii="Times New Roman" w:eastAsia="宋体" w:hAnsi="Times New Roman" w:cs="Times New Roman"/>
          <w:color w:val="000000"/>
          <w:kern w:val="0"/>
          <w:sz w:val="20"/>
          <w:szCs w:val="20"/>
          <w:lang w:bidi="ar"/>
        </w:rPr>
        <w:t xml:space="preserve">X. The summarized financial information of the Issuers and Guarantors (collectively, the “Obligor Group”) is presented on a combined basis, excluding intercompany balances and transactions between entities in the Obligor Group. The Obligor Group’s amounts </w:t>
      </w:r>
      <w:r>
        <w:rPr>
          <w:rFonts w:ascii="Times New Roman" w:eastAsia="宋体" w:hAnsi="Times New Roman" w:cs="Times New Roman"/>
          <w:color w:val="000000"/>
          <w:kern w:val="0"/>
          <w:sz w:val="20"/>
          <w:szCs w:val="20"/>
          <w:lang w:bidi="ar"/>
        </w:rPr>
        <w:t xml:space="preserve">due from, amounts due to, and transactions with Non-Obligor Subsidiaries and VMware, Inc. and its consolidated subsidiaries (the “Related Party”) have been presented separately. The Obligor Group’s investment balances in Non-Obligor Subsidiaries have been </w:t>
      </w:r>
      <w:r>
        <w:rPr>
          <w:rFonts w:ascii="Times New Roman" w:eastAsia="宋体" w:hAnsi="Times New Roman" w:cs="Times New Roman"/>
          <w:color w:val="000000"/>
          <w:kern w:val="0"/>
          <w:sz w:val="20"/>
          <w:szCs w:val="20"/>
          <w:lang w:bidi="ar"/>
        </w:rPr>
        <w:t>excluded.</w:t>
      </w:r>
    </w:p>
    <w:p w14:paraId="59E4C580"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C581"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The following table presents summarized results of operations information for the Obligor Group for the period indicated:</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51"/>
        <w:gridCol w:w="6592"/>
        <w:gridCol w:w="38"/>
        <w:gridCol w:w="121"/>
        <w:gridCol w:w="1498"/>
        <w:gridCol w:w="36"/>
      </w:tblGrid>
      <w:tr w:rsidR="00D7560A" w14:paraId="59E4C588" w14:textId="77777777">
        <w:tc>
          <w:tcPr>
            <w:tcW w:w="50" w:type="pct"/>
            <w:tcBorders>
              <w:top w:val="nil"/>
              <w:left w:val="nil"/>
              <w:bottom w:val="nil"/>
              <w:right w:val="nil"/>
            </w:tcBorders>
            <w:shd w:val="clear" w:color="auto" w:fill="auto"/>
            <w:vAlign w:val="bottom"/>
          </w:tcPr>
          <w:p w14:paraId="59E4C582" w14:textId="77777777" w:rsidR="00D7560A" w:rsidRDefault="00D7560A">
            <w:pPr>
              <w:widowControl/>
              <w:jc w:val="left"/>
              <w:rPr>
                <w:rFonts w:ascii="Times New Roman" w:eastAsia="宋体" w:hAnsi="宋体" w:cs="宋体"/>
                <w:kern w:val="0"/>
                <w:sz w:val="24"/>
              </w:rPr>
            </w:pPr>
          </w:p>
        </w:tc>
        <w:tc>
          <w:tcPr>
            <w:tcW w:w="3972" w:type="pct"/>
            <w:tcBorders>
              <w:top w:val="nil"/>
              <w:left w:val="nil"/>
              <w:bottom w:val="nil"/>
              <w:right w:val="nil"/>
            </w:tcBorders>
            <w:shd w:val="clear" w:color="auto" w:fill="auto"/>
            <w:vAlign w:val="bottom"/>
          </w:tcPr>
          <w:p w14:paraId="59E4C583"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C584"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C585" w14:textId="77777777" w:rsidR="00D7560A" w:rsidRDefault="00D7560A">
            <w:pPr>
              <w:widowControl/>
              <w:jc w:val="left"/>
              <w:rPr>
                <w:rFonts w:ascii="Times New Roman" w:eastAsia="宋体" w:hAnsi="宋体" w:cs="宋体"/>
                <w:kern w:val="0"/>
                <w:sz w:val="24"/>
              </w:rPr>
            </w:pPr>
          </w:p>
        </w:tc>
        <w:tc>
          <w:tcPr>
            <w:tcW w:w="917" w:type="pct"/>
            <w:tcBorders>
              <w:top w:val="nil"/>
              <w:left w:val="nil"/>
              <w:bottom w:val="nil"/>
              <w:right w:val="nil"/>
            </w:tcBorders>
            <w:shd w:val="clear" w:color="auto" w:fill="auto"/>
            <w:vAlign w:val="bottom"/>
          </w:tcPr>
          <w:p w14:paraId="59E4C586"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C587" w14:textId="77777777" w:rsidR="00D7560A" w:rsidRDefault="00D7560A">
            <w:pPr>
              <w:widowControl/>
              <w:jc w:val="left"/>
              <w:rPr>
                <w:rFonts w:ascii="Times New Roman" w:eastAsia="宋体" w:hAnsi="宋体" w:cs="宋体"/>
                <w:kern w:val="0"/>
                <w:sz w:val="24"/>
              </w:rPr>
            </w:pPr>
          </w:p>
        </w:tc>
      </w:tr>
      <w:tr w:rsidR="00D7560A" w14:paraId="59E4C58B"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C589"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9E4C58A"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Six Months Ended</w:t>
            </w:r>
          </w:p>
        </w:tc>
      </w:tr>
      <w:tr w:rsidR="00D7560A" w14:paraId="59E4C58E"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C58C"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59E4C58D"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29, 2022</w:t>
            </w:r>
          </w:p>
        </w:tc>
      </w:tr>
      <w:tr w:rsidR="00D7560A" w14:paraId="59E4C591"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C58F"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59E4C590"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(in millions)</w:t>
            </w:r>
          </w:p>
        </w:tc>
      </w:tr>
      <w:tr w:rsidR="00D7560A" w14:paraId="59E4C596"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9E4C592"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Net revenue (a)</w:t>
            </w: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9E4C593"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9E4C594"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4,966 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C595" w14:textId="77777777" w:rsidR="00D7560A" w:rsidRDefault="00D7560A">
            <w:pPr>
              <w:widowControl/>
              <w:jc w:val="right"/>
              <w:rPr>
                <w:rFonts w:ascii="Times New Roman" w:eastAsia="宋体" w:hAnsi="宋体" w:cs="宋体"/>
                <w:kern w:val="0"/>
                <w:sz w:val="24"/>
              </w:rPr>
            </w:pPr>
          </w:p>
        </w:tc>
      </w:tr>
      <w:tr w:rsidR="00D7560A" w14:paraId="59E4C59A"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59E4C597"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Gross margin (b)</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C598"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2,185 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C599" w14:textId="77777777" w:rsidR="00D7560A" w:rsidRDefault="00D7560A">
            <w:pPr>
              <w:widowControl/>
              <w:jc w:val="right"/>
              <w:rPr>
                <w:rFonts w:ascii="Times New Roman" w:eastAsia="宋体" w:hAnsi="宋体" w:cs="宋体"/>
                <w:kern w:val="0"/>
                <w:sz w:val="24"/>
              </w:rPr>
            </w:pPr>
          </w:p>
        </w:tc>
      </w:tr>
      <w:tr w:rsidR="00D7560A" w14:paraId="59E4C59E"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9E4C59B"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Operating income</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C59C"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597 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C59D" w14:textId="77777777" w:rsidR="00D7560A" w:rsidRDefault="00D7560A">
            <w:pPr>
              <w:widowControl/>
              <w:jc w:val="right"/>
              <w:rPr>
                <w:rFonts w:ascii="Times New Roman" w:eastAsia="宋体" w:hAnsi="宋体" w:cs="宋体"/>
                <w:kern w:val="0"/>
                <w:sz w:val="24"/>
              </w:rPr>
            </w:pPr>
          </w:p>
        </w:tc>
      </w:tr>
      <w:tr w:rsidR="00D7560A" w14:paraId="59E4C5A2" w14:textId="77777777">
        <w:tc>
          <w:tcPr>
            <w:tcW w:w="0" w:type="auto"/>
            <w:gridSpan w:val="3"/>
            <w:tcBorders>
              <w:top w:val="nil"/>
              <w:left w:val="nil"/>
              <w:bottom w:val="nil"/>
              <w:right w:val="nil"/>
            </w:tcBorders>
            <w:shd w:val="clear" w:color="auto" w:fill="FFFFFF"/>
            <w:tcMar>
              <w:top w:w="40" w:type="dxa"/>
              <w:left w:w="140" w:type="dxa"/>
              <w:bottom w:w="40" w:type="dxa"/>
              <w:right w:w="20" w:type="dxa"/>
            </w:tcMar>
            <w:vAlign w:val="bottom"/>
          </w:tcPr>
          <w:p w14:paraId="59E4C59F"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Interest and other, net (c)</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C5A0"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(1,214)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C5A1" w14:textId="77777777" w:rsidR="00D7560A" w:rsidRDefault="00D7560A">
            <w:pPr>
              <w:widowControl/>
              <w:jc w:val="right"/>
              <w:rPr>
                <w:rFonts w:ascii="Times New Roman" w:eastAsia="宋体" w:hAnsi="宋体" w:cs="宋体"/>
                <w:kern w:val="0"/>
                <w:sz w:val="24"/>
              </w:rPr>
            </w:pPr>
          </w:p>
        </w:tc>
      </w:tr>
      <w:tr w:rsidR="00D7560A" w14:paraId="59E4C5A6"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9E4C5A3"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Loss before income taxes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59E4C5A4"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(617)</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59E4C5A5" w14:textId="77777777" w:rsidR="00D7560A" w:rsidRDefault="00D7560A">
            <w:pPr>
              <w:widowControl/>
              <w:jc w:val="right"/>
              <w:rPr>
                <w:rFonts w:ascii="Times New Roman" w:eastAsia="宋体" w:hAnsi="宋体" w:cs="宋体"/>
                <w:kern w:val="0"/>
                <w:sz w:val="24"/>
              </w:rPr>
            </w:pPr>
          </w:p>
        </w:tc>
      </w:tr>
      <w:tr w:rsidR="00D7560A" w14:paraId="59E4C5AB"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59E4C5A7"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Net loss attributable to Obligor Group</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9E4C5A8"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9E4C5A9"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(439)</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C5AA" w14:textId="77777777" w:rsidR="00D7560A" w:rsidRDefault="00D7560A">
            <w:pPr>
              <w:widowControl/>
              <w:jc w:val="right"/>
              <w:rPr>
                <w:rFonts w:ascii="Times New Roman" w:eastAsia="宋体" w:hAnsi="宋体" w:cs="宋体"/>
                <w:kern w:val="0"/>
                <w:sz w:val="24"/>
              </w:rPr>
            </w:pPr>
          </w:p>
        </w:tc>
      </w:tr>
    </w:tbl>
    <w:p w14:paraId="59E4C5AC" w14:textId="77777777" w:rsidR="00D7560A" w:rsidRDefault="001E3CAB">
      <w:pPr>
        <w:widowControl/>
        <w:spacing w:after="6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____________________</w:t>
      </w:r>
    </w:p>
    <w:p w14:paraId="59E4C5AD" w14:textId="77777777" w:rsidR="00D7560A" w:rsidRDefault="001E3CAB">
      <w:pPr>
        <w:widowControl/>
        <w:ind w:left="360" w:hanging="36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(a) Includes net revenue from services provided and product sales to Non-Obligor </w:t>
      </w:r>
      <w:r>
        <w:rPr>
          <w:rFonts w:ascii="Times New Roman" w:eastAsia="宋体" w:hAnsi="Times New Roman" w:cs="Times New Roman"/>
          <w:color w:val="000000"/>
          <w:kern w:val="0"/>
          <w:sz w:val="20"/>
          <w:szCs w:val="20"/>
          <w:lang w:bidi="ar"/>
        </w:rPr>
        <w:t>Subsidiaries of $440 million and $79 million, respectively.</w:t>
      </w:r>
    </w:p>
    <w:p w14:paraId="59E4C5AE" w14:textId="77777777" w:rsidR="00D7560A" w:rsidRDefault="001E3CAB">
      <w:pPr>
        <w:widowControl/>
        <w:ind w:left="360" w:hanging="36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(b) Includes cost of net revenue from resale of solutions purchased from Non-Obligor Subsidiaries and the Related Party of $487 million and $264 million, respectively. Includes costs of net revenu</w:t>
      </w:r>
      <w:r>
        <w:rPr>
          <w:rFonts w:ascii="Times New Roman" w:eastAsia="宋体" w:hAnsi="Times New Roman" w:cs="Times New Roman"/>
          <w:color w:val="000000"/>
          <w:kern w:val="0"/>
          <w:sz w:val="20"/>
          <w:szCs w:val="20"/>
          <w:lang w:bidi="ar"/>
        </w:rPr>
        <w:t>e from shared services provided by Non-Obligor Subsidiaries of $315 million.</w:t>
      </w:r>
    </w:p>
    <w:p w14:paraId="59E4C5AF" w14:textId="77777777" w:rsidR="00D7560A" w:rsidRDefault="001E3CAB">
      <w:pPr>
        <w:widowControl/>
        <w:ind w:left="360" w:hanging="36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(c) Includes interest expense on inter-company loan payables of $631 million.</w:t>
      </w:r>
    </w:p>
    <w:p w14:paraId="59E4C5B0" w14:textId="77777777" w:rsidR="00D7560A" w:rsidRDefault="001E3CAB">
      <w:pPr>
        <w:widowControl/>
        <w:ind w:left="360" w:hanging="360"/>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C5B1"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C5B2"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86</w:t>
      </w:r>
    </w:p>
    <w:p w14:paraId="59E4C5B3"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C5B4" w14:textId="77777777" w:rsidR="00D7560A" w:rsidRDefault="001E3CAB">
      <w:pPr>
        <w:widowControl/>
        <w:jc w:val="center"/>
      </w:pPr>
      <w:r>
        <w:rPr>
          <w:rFonts w:ascii="宋体" w:eastAsia="宋体" w:hAnsi="宋体" w:cs="宋体"/>
          <w:kern w:val="0"/>
          <w:sz w:val="24"/>
        </w:rPr>
        <w:pict w14:anchorId="59E4C821">
          <v:rect id="_x0000_i1110" style="width:6in;height:1.5pt" o:hralign="center" o:hrstd="t" o:hr="t" fillcolor="#a0a0a0" stroked="f"/>
        </w:pict>
      </w:r>
    </w:p>
    <w:p w14:paraId="59E4C5B5" w14:textId="77777777" w:rsidR="00D7560A" w:rsidRDefault="001E3CAB">
      <w:pPr>
        <w:widowControl/>
        <w:jc w:val="left"/>
        <w:rPr>
          <w:rFonts w:ascii="宋体" w:eastAsia="宋体" w:hAnsi="宋体" w:cs="宋体"/>
          <w:kern w:val="0"/>
          <w:sz w:val="24"/>
        </w:rPr>
      </w:pPr>
      <w:hyperlink w:anchor="if933dd1d5d004d2495dd7029e3ecad00_13" w:history="1">
        <w:r>
          <w:rPr>
            <w:rStyle w:val="a4"/>
            <w:rFonts w:ascii="Times New Roman" w:eastAsia="宋体" w:hAnsi="Times New Roman" w:cs="Times New Roman"/>
            <w:sz w:val="20"/>
            <w:szCs w:val="20"/>
          </w:rPr>
          <w:t>Table of Contents</w:t>
        </w:r>
      </w:hyperlink>
    </w:p>
    <w:p w14:paraId="59E4C5B6" w14:textId="77777777" w:rsidR="00D7560A" w:rsidRDefault="001E3CAB">
      <w:pPr>
        <w:widowControl/>
        <w:ind w:left="360" w:hanging="36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The </w:t>
      </w:r>
      <w:r>
        <w:rPr>
          <w:rFonts w:ascii="Times New Roman" w:eastAsia="宋体" w:hAnsi="Times New Roman" w:cs="Times New Roman"/>
          <w:color w:val="000000"/>
          <w:kern w:val="0"/>
          <w:sz w:val="20"/>
          <w:szCs w:val="20"/>
          <w:lang w:bidi="ar"/>
        </w:rPr>
        <w:t>following table presents summarized balance sheet information for the Obligor Group as of the dates indicated:</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8"/>
        <w:gridCol w:w="4891"/>
        <w:gridCol w:w="37"/>
        <w:gridCol w:w="120"/>
        <w:gridCol w:w="1475"/>
        <w:gridCol w:w="36"/>
        <w:gridCol w:w="36"/>
        <w:gridCol w:w="36"/>
        <w:gridCol w:w="36"/>
        <w:gridCol w:w="120"/>
        <w:gridCol w:w="1475"/>
        <w:gridCol w:w="36"/>
      </w:tblGrid>
      <w:tr w:rsidR="00D7560A" w14:paraId="59E4C5C3" w14:textId="77777777">
        <w:tc>
          <w:tcPr>
            <w:tcW w:w="50" w:type="pct"/>
            <w:tcBorders>
              <w:top w:val="nil"/>
              <w:left w:val="nil"/>
              <w:bottom w:val="nil"/>
              <w:right w:val="nil"/>
            </w:tcBorders>
            <w:shd w:val="clear" w:color="auto" w:fill="auto"/>
            <w:vAlign w:val="bottom"/>
          </w:tcPr>
          <w:p w14:paraId="59E4C5B7" w14:textId="77777777" w:rsidR="00D7560A" w:rsidRDefault="00D7560A">
            <w:pPr>
              <w:widowControl/>
              <w:jc w:val="left"/>
              <w:rPr>
                <w:rFonts w:ascii="Times New Roman" w:eastAsia="宋体" w:hAnsi="宋体" w:cs="宋体"/>
                <w:kern w:val="0"/>
                <w:sz w:val="24"/>
              </w:rPr>
            </w:pPr>
          </w:p>
        </w:tc>
        <w:tc>
          <w:tcPr>
            <w:tcW w:w="2971" w:type="pct"/>
            <w:tcBorders>
              <w:top w:val="nil"/>
              <w:left w:val="nil"/>
              <w:bottom w:val="nil"/>
              <w:right w:val="nil"/>
            </w:tcBorders>
            <w:shd w:val="clear" w:color="auto" w:fill="auto"/>
            <w:vAlign w:val="bottom"/>
          </w:tcPr>
          <w:p w14:paraId="59E4C5B8"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C5B9"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C5BA" w14:textId="77777777" w:rsidR="00D7560A" w:rsidRDefault="00D7560A">
            <w:pPr>
              <w:widowControl/>
              <w:jc w:val="left"/>
              <w:rPr>
                <w:rFonts w:ascii="Times New Roman" w:eastAsia="宋体" w:hAnsi="宋体" w:cs="宋体"/>
                <w:kern w:val="0"/>
                <w:sz w:val="24"/>
              </w:rPr>
            </w:pPr>
          </w:p>
        </w:tc>
        <w:tc>
          <w:tcPr>
            <w:tcW w:w="917" w:type="pct"/>
            <w:tcBorders>
              <w:top w:val="nil"/>
              <w:left w:val="nil"/>
              <w:bottom w:val="nil"/>
              <w:right w:val="nil"/>
            </w:tcBorders>
            <w:shd w:val="clear" w:color="auto" w:fill="auto"/>
            <w:vAlign w:val="bottom"/>
          </w:tcPr>
          <w:p w14:paraId="59E4C5BB"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C5BC"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C5BD" w14:textId="77777777" w:rsidR="00D7560A" w:rsidRDefault="00D7560A">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59E4C5BE"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C5BF"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C5C0" w14:textId="77777777" w:rsidR="00D7560A" w:rsidRDefault="00D7560A">
            <w:pPr>
              <w:widowControl/>
              <w:jc w:val="left"/>
              <w:rPr>
                <w:rFonts w:ascii="Times New Roman" w:eastAsia="宋体" w:hAnsi="宋体" w:cs="宋体"/>
                <w:kern w:val="0"/>
                <w:sz w:val="24"/>
              </w:rPr>
            </w:pPr>
          </w:p>
        </w:tc>
        <w:tc>
          <w:tcPr>
            <w:tcW w:w="917" w:type="pct"/>
            <w:tcBorders>
              <w:top w:val="nil"/>
              <w:left w:val="nil"/>
              <w:bottom w:val="nil"/>
              <w:right w:val="nil"/>
            </w:tcBorders>
            <w:shd w:val="clear" w:color="auto" w:fill="auto"/>
            <w:vAlign w:val="bottom"/>
          </w:tcPr>
          <w:p w14:paraId="59E4C5C1"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C5C2" w14:textId="77777777" w:rsidR="00D7560A" w:rsidRDefault="00D7560A">
            <w:pPr>
              <w:widowControl/>
              <w:jc w:val="left"/>
              <w:rPr>
                <w:rFonts w:ascii="Times New Roman" w:eastAsia="宋体" w:hAnsi="宋体" w:cs="宋体"/>
                <w:kern w:val="0"/>
                <w:sz w:val="24"/>
              </w:rPr>
            </w:pPr>
          </w:p>
        </w:tc>
      </w:tr>
      <w:tr w:rsidR="00D7560A" w14:paraId="59E4C5C8"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C5C4"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9E4C5C5"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29, 2022</w:t>
            </w: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59E4C5C6"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auto"/>
            <w:tcMar>
              <w:top w:w="40" w:type="dxa"/>
              <w:left w:w="20" w:type="dxa"/>
              <w:bottom w:w="40" w:type="dxa"/>
              <w:right w:w="20" w:type="dxa"/>
            </w:tcMar>
            <w:vAlign w:val="bottom"/>
          </w:tcPr>
          <w:p w14:paraId="59E4C5C7"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January 28, 2022</w:t>
            </w:r>
          </w:p>
        </w:tc>
      </w:tr>
      <w:tr w:rsidR="00D7560A" w14:paraId="59E4C5CB"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C5C9" w14:textId="77777777" w:rsidR="00D7560A" w:rsidRDefault="00D7560A">
            <w:pPr>
              <w:widowControl/>
              <w:jc w:val="left"/>
              <w:rPr>
                <w:rFonts w:ascii="Times New Roman" w:eastAsia="宋体" w:hAnsi="宋体" w:cs="宋体"/>
                <w:kern w:val="0"/>
                <w:sz w:val="24"/>
              </w:rPr>
            </w:pPr>
          </w:p>
        </w:tc>
        <w:tc>
          <w:tcPr>
            <w:tcW w:w="0" w:type="auto"/>
            <w:gridSpan w:val="9"/>
            <w:tcBorders>
              <w:top w:val="single" w:sz="8" w:space="0" w:color="000000"/>
              <w:left w:val="nil"/>
              <w:bottom w:val="nil"/>
              <w:right w:val="nil"/>
            </w:tcBorders>
            <w:shd w:val="clear" w:color="auto" w:fill="auto"/>
            <w:tcMar>
              <w:top w:w="40" w:type="dxa"/>
              <w:left w:w="20" w:type="dxa"/>
              <w:bottom w:w="40" w:type="dxa"/>
              <w:right w:w="20" w:type="dxa"/>
            </w:tcMar>
            <w:vAlign w:val="bottom"/>
          </w:tcPr>
          <w:p w14:paraId="59E4C5CA"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(in millions)</w:t>
            </w:r>
          </w:p>
        </w:tc>
      </w:tr>
      <w:tr w:rsidR="00D7560A" w14:paraId="59E4C5CD" w14:textId="77777777">
        <w:tc>
          <w:tcPr>
            <w:tcW w:w="0" w:type="auto"/>
            <w:gridSpan w:val="12"/>
            <w:tcBorders>
              <w:top w:val="nil"/>
              <w:left w:val="nil"/>
              <w:bottom w:val="nil"/>
              <w:right w:val="nil"/>
            </w:tcBorders>
            <w:shd w:val="clear" w:color="auto" w:fill="CCEEFF"/>
            <w:tcMar>
              <w:top w:w="40" w:type="dxa"/>
              <w:left w:w="20" w:type="dxa"/>
              <w:bottom w:w="40" w:type="dxa"/>
              <w:right w:w="20" w:type="dxa"/>
            </w:tcMar>
            <w:vAlign w:val="bottom"/>
          </w:tcPr>
          <w:p w14:paraId="59E4C5CC"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ASSETS</w:t>
            </w:r>
          </w:p>
        </w:tc>
      </w:tr>
      <w:tr w:rsidR="00D7560A" w14:paraId="59E4C5D6"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59E4C5CE"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Current assets</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9E4C5CF"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9E4C5D0"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3,178 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C5D1"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C5D2"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9E4C5D3"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9E4C5D4"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3,106 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C5D5" w14:textId="77777777" w:rsidR="00D7560A" w:rsidRDefault="00D7560A">
            <w:pPr>
              <w:widowControl/>
              <w:jc w:val="right"/>
              <w:rPr>
                <w:rFonts w:ascii="Times New Roman" w:eastAsia="宋体" w:hAnsi="宋体" w:cs="宋体"/>
                <w:kern w:val="0"/>
                <w:sz w:val="24"/>
              </w:rPr>
            </w:pPr>
          </w:p>
        </w:tc>
      </w:tr>
      <w:tr w:rsidR="00D7560A" w14:paraId="59E4C5DD"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9E4C5D7"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Intercompany receivables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C5D8"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123 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C5D9"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C5DA"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C5DB"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988 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C5DC" w14:textId="77777777" w:rsidR="00D7560A" w:rsidRDefault="00D7560A">
            <w:pPr>
              <w:widowControl/>
              <w:jc w:val="right"/>
              <w:rPr>
                <w:rFonts w:ascii="Times New Roman" w:eastAsia="宋体" w:hAnsi="宋体" w:cs="宋体"/>
                <w:kern w:val="0"/>
                <w:sz w:val="24"/>
              </w:rPr>
            </w:pPr>
          </w:p>
        </w:tc>
      </w:tr>
      <w:tr w:rsidR="00D7560A" w14:paraId="59E4C5E4"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59E4C5DE"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Due from related party, net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C5DF"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117 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C5E0"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C5E1"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C5E2"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C5E3" w14:textId="77777777" w:rsidR="00D7560A" w:rsidRDefault="00D7560A">
            <w:pPr>
              <w:widowControl/>
              <w:jc w:val="right"/>
              <w:rPr>
                <w:rFonts w:ascii="Times New Roman" w:eastAsia="宋体" w:hAnsi="宋体" w:cs="宋体"/>
                <w:kern w:val="0"/>
                <w:sz w:val="24"/>
              </w:rPr>
            </w:pPr>
          </w:p>
        </w:tc>
      </w:tr>
      <w:tr w:rsidR="00D7560A" w14:paraId="59E4C5EB"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9E4C5E5"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Short-term intercompany loan receivables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C5E6"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232 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C5E7"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C5E8"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C5E9"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C5EA" w14:textId="77777777" w:rsidR="00D7560A" w:rsidRDefault="00D7560A">
            <w:pPr>
              <w:widowControl/>
              <w:jc w:val="right"/>
              <w:rPr>
                <w:rFonts w:ascii="Times New Roman" w:eastAsia="宋体" w:hAnsi="宋体" w:cs="宋体"/>
                <w:kern w:val="0"/>
                <w:sz w:val="24"/>
              </w:rPr>
            </w:pPr>
          </w:p>
        </w:tc>
      </w:tr>
      <w:tr w:rsidR="00D7560A" w14:paraId="59E4C5F2" w14:textId="77777777">
        <w:tc>
          <w:tcPr>
            <w:tcW w:w="0" w:type="auto"/>
            <w:gridSpan w:val="3"/>
            <w:tcBorders>
              <w:top w:val="nil"/>
              <w:left w:val="nil"/>
              <w:bottom w:val="nil"/>
              <w:right w:val="nil"/>
            </w:tcBorders>
            <w:shd w:val="clear" w:color="auto" w:fill="FFFFFF"/>
            <w:tcMar>
              <w:top w:w="40" w:type="dxa"/>
              <w:left w:w="140" w:type="dxa"/>
              <w:bottom w:w="40" w:type="dxa"/>
              <w:right w:w="20" w:type="dxa"/>
            </w:tcMar>
            <w:vAlign w:val="bottom"/>
          </w:tcPr>
          <w:p w14:paraId="59E4C5EC"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Total current assets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59E4C5ED"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3,650 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59E4C5EE"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C5EF" w14:textId="77777777" w:rsidR="00D7560A" w:rsidRDefault="00D7560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59E4C5F0"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4,153 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59E4C5F1" w14:textId="77777777" w:rsidR="00D7560A" w:rsidRDefault="00D7560A">
            <w:pPr>
              <w:widowControl/>
              <w:jc w:val="right"/>
              <w:rPr>
                <w:rFonts w:ascii="Times New Roman" w:eastAsia="宋体" w:hAnsi="宋体" w:cs="宋体"/>
                <w:kern w:val="0"/>
                <w:sz w:val="24"/>
              </w:rPr>
            </w:pPr>
          </w:p>
        </w:tc>
      </w:tr>
      <w:tr w:rsidR="00D7560A" w14:paraId="59E4C5F9"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9E4C5F3"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Due from related party, net</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C5F4"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609 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C5F5"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C5F6"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C5F7"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710 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C5F8" w14:textId="77777777" w:rsidR="00D7560A" w:rsidRDefault="00D7560A">
            <w:pPr>
              <w:widowControl/>
              <w:jc w:val="right"/>
              <w:rPr>
                <w:rFonts w:ascii="Times New Roman" w:eastAsia="宋体" w:hAnsi="宋体" w:cs="宋体"/>
                <w:kern w:val="0"/>
                <w:sz w:val="24"/>
              </w:rPr>
            </w:pPr>
          </w:p>
        </w:tc>
      </w:tr>
      <w:tr w:rsidR="00D7560A" w14:paraId="59E4C600"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59E4C5FA"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Goodwill and intangible assets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C5FB"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15,119 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C5FC"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C5FD"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C5FE"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15,399 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C5FF" w14:textId="77777777" w:rsidR="00D7560A" w:rsidRDefault="00D7560A">
            <w:pPr>
              <w:widowControl/>
              <w:jc w:val="right"/>
              <w:rPr>
                <w:rFonts w:ascii="Times New Roman" w:eastAsia="宋体" w:hAnsi="宋体" w:cs="宋体"/>
                <w:kern w:val="0"/>
                <w:sz w:val="24"/>
              </w:rPr>
            </w:pPr>
          </w:p>
        </w:tc>
      </w:tr>
      <w:tr w:rsidR="00D7560A" w14:paraId="59E4C607"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9E4C601"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Other </w:t>
            </w:r>
            <w:r>
              <w:rPr>
                <w:rFonts w:ascii="Times New Roman" w:eastAsia="宋体" w:hAnsi="Times New Roman" w:cs="Times New Roman"/>
                <w:color w:val="000000"/>
                <w:kern w:val="0"/>
                <w:sz w:val="20"/>
                <w:szCs w:val="20"/>
                <w:lang w:bidi="ar"/>
              </w:rPr>
              <w:t>non-current assets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C602"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2,812 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C603"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C604"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C605"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2,810 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C606" w14:textId="77777777" w:rsidR="00D7560A" w:rsidRDefault="00D7560A">
            <w:pPr>
              <w:widowControl/>
              <w:jc w:val="right"/>
              <w:rPr>
                <w:rFonts w:ascii="Times New Roman" w:eastAsia="宋体" w:hAnsi="宋体" w:cs="宋体"/>
                <w:kern w:val="0"/>
                <w:sz w:val="24"/>
              </w:rPr>
            </w:pPr>
          </w:p>
        </w:tc>
      </w:tr>
      <w:tr w:rsidR="00D7560A" w14:paraId="59E4C610" w14:textId="77777777">
        <w:tc>
          <w:tcPr>
            <w:tcW w:w="0" w:type="auto"/>
            <w:gridSpan w:val="3"/>
            <w:tcBorders>
              <w:top w:val="nil"/>
              <w:left w:val="nil"/>
              <w:bottom w:val="nil"/>
              <w:right w:val="nil"/>
            </w:tcBorders>
            <w:shd w:val="clear" w:color="auto" w:fill="FFFFFF"/>
            <w:tcMar>
              <w:top w:w="40" w:type="dxa"/>
              <w:left w:w="260" w:type="dxa"/>
              <w:bottom w:w="40" w:type="dxa"/>
              <w:right w:w="20" w:type="dxa"/>
            </w:tcMar>
            <w:vAlign w:val="bottom"/>
          </w:tcPr>
          <w:p w14:paraId="59E4C608"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Total assets</w:t>
            </w: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59E4C609"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59E4C60A"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22,190 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59E4C60B"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C60C"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59E4C60D"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59E4C60E"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23,072 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59E4C60F" w14:textId="77777777" w:rsidR="00D7560A" w:rsidRDefault="00D7560A">
            <w:pPr>
              <w:widowControl/>
              <w:jc w:val="right"/>
              <w:rPr>
                <w:rFonts w:ascii="Times New Roman" w:eastAsia="宋体" w:hAnsi="宋体" w:cs="宋体"/>
                <w:kern w:val="0"/>
                <w:sz w:val="24"/>
              </w:rPr>
            </w:pPr>
          </w:p>
        </w:tc>
      </w:tr>
      <w:tr w:rsidR="00D7560A" w14:paraId="59E4C612" w14:textId="77777777">
        <w:tc>
          <w:tcPr>
            <w:tcW w:w="0" w:type="auto"/>
            <w:gridSpan w:val="12"/>
            <w:tcBorders>
              <w:top w:val="nil"/>
              <w:left w:val="nil"/>
              <w:bottom w:val="nil"/>
              <w:right w:val="nil"/>
            </w:tcBorders>
            <w:shd w:val="clear" w:color="auto" w:fill="CCEEFF"/>
            <w:tcMar>
              <w:top w:w="40" w:type="dxa"/>
              <w:left w:w="20" w:type="dxa"/>
              <w:bottom w:w="40" w:type="dxa"/>
              <w:right w:w="20" w:type="dxa"/>
            </w:tcMar>
            <w:vAlign w:val="bottom"/>
          </w:tcPr>
          <w:p w14:paraId="59E4C611"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LIABILITIES</w:t>
            </w:r>
          </w:p>
        </w:tc>
      </w:tr>
      <w:tr w:rsidR="00D7560A" w14:paraId="59E4C61B"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59E4C613"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Current liabilities</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9E4C614"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9E4C615"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5,629 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C616"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C617"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9E4C618"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9E4C619"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4,625 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C61A" w14:textId="77777777" w:rsidR="00D7560A" w:rsidRDefault="00D7560A">
            <w:pPr>
              <w:widowControl/>
              <w:jc w:val="right"/>
              <w:rPr>
                <w:rFonts w:ascii="Times New Roman" w:eastAsia="宋体" w:hAnsi="宋体" w:cs="宋体"/>
                <w:kern w:val="0"/>
                <w:sz w:val="24"/>
              </w:rPr>
            </w:pPr>
          </w:p>
        </w:tc>
      </w:tr>
      <w:tr w:rsidR="00D7560A" w14:paraId="59E4C622"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9E4C61C"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Due to related party</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C61D"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C61E"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C61F"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C620"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192 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C621" w14:textId="77777777" w:rsidR="00D7560A" w:rsidRDefault="00D7560A">
            <w:pPr>
              <w:widowControl/>
              <w:jc w:val="right"/>
              <w:rPr>
                <w:rFonts w:ascii="Times New Roman" w:eastAsia="宋体" w:hAnsi="宋体" w:cs="宋体"/>
                <w:kern w:val="0"/>
                <w:sz w:val="24"/>
              </w:rPr>
            </w:pPr>
          </w:p>
        </w:tc>
      </w:tr>
      <w:tr w:rsidR="00D7560A" w14:paraId="59E4C629" w14:textId="77777777">
        <w:tc>
          <w:tcPr>
            <w:tcW w:w="0" w:type="auto"/>
            <w:gridSpan w:val="3"/>
            <w:tcBorders>
              <w:top w:val="nil"/>
              <w:left w:val="nil"/>
              <w:bottom w:val="nil"/>
              <w:right w:val="nil"/>
            </w:tcBorders>
            <w:shd w:val="clear" w:color="auto" w:fill="FFFFFF"/>
            <w:tcMar>
              <w:top w:w="40" w:type="dxa"/>
              <w:left w:w="140" w:type="dxa"/>
              <w:bottom w:w="40" w:type="dxa"/>
              <w:right w:w="20" w:type="dxa"/>
            </w:tcMar>
            <w:vAlign w:val="bottom"/>
          </w:tcPr>
          <w:p w14:paraId="59E4C623"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Total current liabilities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59E4C624"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5,724 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59E4C625"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C626" w14:textId="77777777" w:rsidR="00D7560A" w:rsidRDefault="00D7560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59E4C627"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4,817 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59E4C628" w14:textId="77777777" w:rsidR="00D7560A" w:rsidRDefault="00D7560A">
            <w:pPr>
              <w:widowControl/>
              <w:jc w:val="right"/>
              <w:rPr>
                <w:rFonts w:ascii="Times New Roman" w:eastAsia="宋体" w:hAnsi="宋体" w:cs="宋体"/>
                <w:kern w:val="0"/>
                <w:sz w:val="24"/>
              </w:rPr>
            </w:pPr>
          </w:p>
        </w:tc>
      </w:tr>
      <w:tr w:rsidR="00D7560A" w14:paraId="59E4C630"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9E4C62A"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Long-term debt</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C62B"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16,016 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C62C"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C62D"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C62E"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17,001 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C62F" w14:textId="77777777" w:rsidR="00D7560A" w:rsidRDefault="00D7560A">
            <w:pPr>
              <w:widowControl/>
              <w:jc w:val="right"/>
              <w:rPr>
                <w:rFonts w:ascii="Times New Roman" w:eastAsia="宋体" w:hAnsi="宋体" w:cs="宋体"/>
                <w:kern w:val="0"/>
                <w:sz w:val="24"/>
              </w:rPr>
            </w:pPr>
          </w:p>
        </w:tc>
      </w:tr>
      <w:tr w:rsidR="00D7560A" w14:paraId="59E4C637"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59E4C631"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Intercompany loan payables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C632"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37,582 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C633"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C634"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C635"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37,509 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C636" w14:textId="77777777" w:rsidR="00D7560A" w:rsidRDefault="00D7560A">
            <w:pPr>
              <w:widowControl/>
              <w:jc w:val="right"/>
              <w:rPr>
                <w:rFonts w:ascii="Times New Roman" w:eastAsia="宋体" w:hAnsi="宋体" w:cs="宋体"/>
                <w:kern w:val="0"/>
                <w:sz w:val="24"/>
              </w:rPr>
            </w:pPr>
          </w:p>
        </w:tc>
      </w:tr>
      <w:tr w:rsidR="00D7560A" w14:paraId="59E4C63E"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9E4C638"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Other non-current </w:t>
            </w:r>
            <w:r>
              <w:rPr>
                <w:rFonts w:ascii="Times New Roman" w:eastAsia="宋体" w:hAnsi="Times New Roman" w:cs="Times New Roman"/>
                <w:color w:val="000000"/>
                <w:kern w:val="0"/>
                <w:sz w:val="20"/>
                <w:szCs w:val="20"/>
                <w:lang w:bidi="ar"/>
              </w:rPr>
              <w:t>liabilities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C639"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3,445 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C63A"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C63B"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C63C"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3,473 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C63D" w14:textId="77777777" w:rsidR="00D7560A" w:rsidRDefault="00D7560A">
            <w:pPr>
              <w:widowControl/>
              <w:jc w:val="right"/>
              <w:rPr>
                <w:rFonts w:ascii="Times New Roman" w:eastAsia="宋体" w:hAnsi="宋体" w:cs="宋体"/>
                <w:kern w:val="0"/>
                <w:sz w:val="24"/>
              </w:rPr>
            </w:pPr>
          </w:p>
        </w:tc>
      </w:tr>
      <w:tr w:rsidR="00D7560A" w14:paraId="59E4C647" w14:textId="77777777">
        <w:tc>
          <w:tcPr>
            <w:tcW w:w="0" w:type="auto"/>
            <w:gridSpan w:val="3"/>
            <w:tcBorders>
              <w:top w:val="nil"/>
              <w:left w:val="nil"/>
              <w:bottom w:val="nil"/>
              <w:right w:val="nil"/>
            </w:tcBorders>
            <w:shd w:val="clear" w:color="auto" w:fill="FFFFFF"/>
            <w:tcMar>
              <w:top w:w="40" w:type="dxa"/>
              <w:left w:w="260" w:type="dxa"/>
              <w:bottom w:w="40" w:type="dxa"/>
              <w:right w:w="20" w:type="dxa"/>
            </w:tcMar>
            <w:vAlign w:val="bottom"/>
          </w:tcPr>
          <w:p w14:paraId="59E4C63F"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Total liabilities</w:t>
            </w: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59E4C640"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59E4C641"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62,767 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59E4C642"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C643" w14:textId="77777777" w:rsidR="00D7560A" w:rsidRDefault="00D7560A">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59E4C644"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59E4C645"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62,800 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59E4C646" w14:textId="77777777" w:rsidR="00D7560A" w:rsidRDefault="00D7560A">
            <w:pPr>
              <w:widowControl/>
              <w:jc w:val="right"/>
              <w:rPr>
                <w:rFonts w:ascii="Times New Roman" w:eastAsia="宋体" w:hAnsi="宋体" w:cs="宋体"/>
                <w:kern w:val="0"/>
                <w:sz w:val="24"/>
              </w:rPr>
            </w:pPr>
          </w:p>
        </w:tc>
      </w:tr>
    </w:tbl>
    <w:p w14:paraId="59E4C648"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C649"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C64A"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87</w:t>
      </w:r>
    </w:p>
    <w:p w14:paraId="59E4C64B"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C64C" w14:textId="77777777" w:rsidR="00D7560A" w:rsidRDefault="001E3CAB">
      <w:pPr>
        <w:widowControl/>
        <w:jc w:val="center"/>
      </w:pPr>
      <w:r>
        <w:rPr>
          <w:rFonts w:ascii="宋体" w:eastAsia="宋体" w:hAnsi="宋体" w:cs="宋体"/>
          <w:kern w:val="0"/>
          <w:sz w:val="24"/>
        </w:rPr>
        <w:pict w14:anchorId="59E4C822">
          <v:rect id="_x0000_i1111" style="width:6in;height:1.5pt" o:hralign="center" o:hrstd="t" o:hr="t" fillcolor="#a0a0a0" stroked="f"/>
        </w:pict>
      </w:r>
    </w:p>
    <w:p w14:paraId="59E4C64D" w14:textId="77777777" w:rsidR="00D7560A" w:rsidRDefault="001E3CAB">
      <w:pPr>
        <w:widowControl/>
        <w:jc w:val="left"/>
        <w:rPr>
          <w:rFonts w:ascii="宋体" w:eastAsia="宋体" w:hAnsi="宋体" w:cs="宋体"/>
          <w:kern w:val="0"/>
          <w:sz w:val="24"/>
        </w:rPr>
      </w:pPr>
      <w:hyperlink w:anchor="if933dd1d5d004d2495dd7029e3ecad00_13" w:history="1">
        <w:r>
          <w:rPr>
            <w:rStyle w:val="a4"/>
            <w:rFonts w:ascii="Times New Roman" w:eastAsia="宋体" w:hAnsi="Times New Roman" w:cs="Times New Roman"/>
            <w:sz w:val="20"/>
            <w:szCs w:val="20"/>
          </w:rPr>
          <w:t>Table of Contents</w:t>
        </w:r>
      </w:hyperlink>
    </w:p>
    <w:p w14:paraId="59E4C64E"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ITEM 3 — QUANTITATIVE AND QUALITATIVE DISCLOSURES ABOUT MARKET RISK</w:t>
      </w:r>
    </w:p>
    <w:p w14:paraId="59E4C64F"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C650"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For quantitative and qualitative disclosures about market risk affecting us, see “Part II — </w:t>
      </w:r>
      <w:r>
        <w:rPr>
          <w:rFonts w:ascii="Times New Roman" w:eastAsia="宋体" w:hAnsi="Times New Roman" w:cs="Times New Roman"/>
          <w:color w:val="000000"/>
          <w:kern w:val="0"/>
          <w:sz w:val="20"/>
          <w:szCs w:val="20"/>
          <w:lang w:bidi="ar"/>
        </w:rPr>
        <w:t>Item 7A — Quantitative and Qualitative Disclosures About Market Risk” in our Annual Report on Form 10-K for the fiscal year ended January 28, 2022. Our exposure to market risks has not changed materially from that set forth in our Annual Report.</w:t>
      </w:r>
    </w:p>
    <w:p w14:paraId="59E4C651"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C652"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ITEM 4 —</w:t>
      </w:r>
      <w:r>
        <w:rPr>
          <w:rFonts w:ascii="Times New Roman" w:eastAsia="宋体" w:hAnsi="Times New Roman" w:cs="Times New Roman"/>
          <w:b/>
          <w:bCs/>
          <w:color w:val="000000"/>
          <w:kern w:val="0"/>
          <w:sz w:val="20"/>
          <w:szCs w:val="20"/>
          <w:lang w:bidi="ar"/>
        </w:rPr>
        <w:t xml:space="preserve"> CONTROLS AND PROCEDURES</w:t>
      </w:r>
    </w:p>
    <w:p w14:paraId="59E4C653"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C654"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This report includes the certifications of our Chief Executive Officer and Chief Financial Officer required by Rule 13a-14 under the Securities Exchange Act of 1934 (the “Exchange Act”). See Exhibits 31.1 and 31.2 filed with this</w:t>
      </w:r>
      <w:r>
        <w:rPr>
          <w:rFonts w:ascii="Times New Roman" w:eastAsia="宋体" w:hAnsi="Times New Roman" w:cs="Times New Roman"/>
          <w:color w:val="000000"/>
          <w:kern w:val="0"/>
          <w:sz w:val="20"/>
          <w:szCs w:val="20"/>
          <w:lang w:bidi="ar"/>
        </w:rPr>
        <w:t xml:space="preserve"> report. This Item 4 includes information concerning the controls and control evaluations referred to in those certifications.</w:t>
      </w:r>
    </w:p>
    <w:p w14:paraId="59E4C655"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C656"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Evaluation of Disclosure Controls and Procedures</w:t>
      </w:r>
    </w:p>
    <w:p w14:paraId="59E4C657"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C658"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Disclosure controls and procedures (as defined in Rules 13a-15(e) and </w:t>
      </w:r>
      <w:r>
        <w:rPr>
          <w:rFonts w:ascii="Times New Roman" w:eastAsia="宋体" w:hAnsi="Times New Roman" w:cs="Times New Roman"/>
          <w:color w:val="000000"/>
          <w:kern w:val="0"/>
          <w:sz w:val="20"/>
          <w:szCs w:val="20"/>
          <w:lang w:bidi="ar"/>
        </w:rPr>
        <w:t>15d-15(e) under the Exchange Act) are designed to provide reasonable assurance that information required to be disclosed in reports filed or submitted under the Exchange Act is recorded, processed, summarized, and reported within the time periods specified</w:t>
      </w:r>
      <w:r>
        <w:rPr>
          <w:rFonts w:ascii="Times New Roman" w:eastAsia="宋体" w:hAnsi="Times New Roman" w:cs="Times New Roman"/>
          <w:color w:val="000000"/>
          <w:kern w:val="0"/>
          <w:sz w:val="20"/>
          <w:szCs w:val="20"/>
          <w:lang w:bidi="ar"/>
        </w:rPr>
        <w:t xml:space="preserve"> in SEC rules and forms and that such information is accumulated and communicated to management, including the Chief Executive Officer and the Chief Financial Officer, as appropriate to allow timely decisions regarding required disclosures.</w:t>
      </w:r>
    </w:p>
    <w:p w14:paraId="59E4C659"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C65A"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In connection</w:t>
      </w:r>
      <w:r>
        <w:rPr>
          <w:rFonts w:ascii="Times New Roman" w:eastAsia="宋体" w:hAnsi="Times New Roman" w:cs="Times New Roman"/>
          <w:color w:val="000000"/>
          <w:kern w:val="0"/>
          <w:sz w:val="20"/>
          <w:szCs w:val="20"/>
          <w:lang w:bidi="ar"/>
        </w:rPr>
        <w:t xml:space="preserve"> with the preparation of this report, our management, under the supervision and with the participation of our Chief Executive Officer and Chief Financial Officer, conducted an evaluation of the effectiveness of the design and operation of our disclosure co</w:t>
      </w:r>
      <w:r>
        <w:rPr>
          <w:rFonts w:ascii="Times New Roman" w:eastAsia="宋体" w:hAnsi="Times New Roman" w:cs="Times New Roman"/>
          <w:color w:val="000000"/>
          <w:kern w:val="0"/>
          <w:sz w:val="20"/>
          <w:szCs w:val="20"/>
          <w:lang w:bidi="ar"/>
        </w:rPr>
        <w:t xml:space="preserve">ntrols and procedures as of July 29, 2022. Based on that evaluation, our Chief Executive Officer and Chief Financial Officer have concluded that our disclosure controls and procedures were effective at the reasonable assurance level as of July 29, 2022. </w:t>
      </w:r>
    </w:p>
    <w:p w14:paraId="59E4C65B"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C65C"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Changes in Internal Control Over Financial Reporting</w:t>
      </w:r>
    </w:p>
    <w:p w14:paraId="59E4C65D"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C65E"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There were no changes in our internal control over financial reporting during the fiscal quarter ended July 29, 2022 that have materially affected, or are reasonably likely to materially affect, our internal control over financial reporting. </w:t>
      </w:r>
    </w:p>
    <w:p w14:paraId="59E4C65F"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C660"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88</w:t>
      </w:r>
    </w:p>
    <w:p w14:paraId="59E4C661"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C662" w14:textId="77777777" w:rsidR="00D7560A" w:rsidRDefault="001E3CAB">
      <w:pPr>
        <w:widowControl/>
        <w:jc w:val="center"/>
      </w:pPr>
      <w:r>
        <w:rPr>
          <w:rFonts w:ascii="宋体" w:eastAsia="宋体" w:hAnsi="宋体" w:cs="宋体"/>
          <w:kern w:val="0"/>
          <w:sz w:val="24"/>
        </w:rPr>
        <w:pict w14:anchorId="59E4C823">
          <v:rect id="_x0000_i1112" style="width:6in;height:1.5pt" o:hralign="center" o:hrstd="t" o:hr="t" fillcolor="#a0a0a0" stroked="f"/>
        </w:pict>
      </w:r>
    </w:p>
    <w:p w14:paraId="59E4C663" w14:textId="77777777" w:rsidR="00D7560A" w:rsidRDefault="001E3CAB">
      <w:pPr>
        <w:widowControl/>
        <w:jc w:val="left"/>
        <w:rPr>
          <w:rFonts w:ascii="宋体" w:eastAsia="宋体" w:hAnsi="宋体" w:cs="宋体"/>
          <w:kern w:val="0"/>
          <w:sz w:val="24"/>
        </w:rPr>
      </w:pPr>
      <w:hyperlink w:anchor="if933dd1d5d004d2495dd7029e3ecad00_13" w:history="1">
        <w:r>
          <w:rPr>
            <w:rStyle w:val="a4"/>
            <w:rFonts w:ascii="Times New Roman" w:eastAsia="宋体" w:hAnsi="Times New Roman" w:cs="Times New Roman"/>
            <w:sz w:val="20"/>
            <w:szCs w:val="20"/>
          </w:rPr>
          <w:t>Table of Contents</w:t>
        </w:r>
      </w:hyperlink>
    </w:p>
    <w:p w14:paraId="59E4C664"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PART II — OTHER INFORMATION</w:t>
      </w:r>
    </w:p>
    <w:p w14:paraId="59E4C665"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C666"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ITEM 1 — LEGAL PROCEEDINGS</w:t>
      </w:r>
    </w:p>
    <w:p w14:paraId="59E4C667"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C668"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shd w:val="clear" w:color="auto" w:fill="FFFFFF"/>
          <w:lang w:bidi="ar"/>
        </w:rPr>
        <w:t>The information required by this item is incorporated herein by reference to the information set forth under the caption “Le</w:t>
      </w:r>
      <w:r>
        <w:rPr>
          <w:rFonts w:ascii="Times New Roman" w:eastAsia="宋体" w:hAnsi="Times New Roman" w:cs="Times New Roman"/>
          <w:color w:val="000000"/>
          <w:kern w:val="0"/>
          <w:sz w:val="20"/>
          <w:szCs w:val="20"/>
          <w:shd w:val="clear" w:color="auto" w:fill="FFFFFF"/>
          <w:lang w:bidi="ar"/>
        </w:rPr>
        <w:t xml:space="preserve">gal Matters” in Note 11 of the </w:t>
      </w:r>
      <w:r>
        <w:rPr>
          <w:rFonts w:ascii="Times New Roman" w:eastAsia="宋体" w:hAnsi="Times New Roman" w:cs="Times New Roman"/>
          <w:color w:val="000000"/>
          <w:kern w:val="0"/>
          <w:sz w:val="20"/>
          <w:szCs w:val="20"/>
          <w:lang w:bidi="ar"/>
        </w:rPr>
        <w:t>Notes to the Condensed Consolidated Financial Statements</w:t>
      </w:r>
      <w:r>
        <w:rPr>
          <w:rFonts w:ascii="Times New Roman" w:eastAsia="宋体" w:hAnsi="Times New Roman" w:cs="Times New Roman"/>
          <w:color w:val="000000"/>
          <w:kern w:val="0"/>
          <w:sz w:val="20"/>
          <w:szCs w:val="20"/>
          <w:shd w:val="clear" w:color="auto" w:fill="FFFFFF"/>
          <w:lang w:bidi="ar"/>
        </w:rPr>
        <w:t xml:space="preserve"> included in Part I of this report.</w:t>
      </w:r>
    </w:p>
    <w:p w14:paraId="59E4C669"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C66A"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ITEM 1A — RISK FACTORS</w:t>
      </w:r>
    </w:p>
    <w:p w14:paraId="59E4C66B"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C66C"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In addition to the other information set forth in this report, the risks discussed in “Part I — Item 1A —</w:t>
      </w:r>
      <w:r>
        <w:rPr>
          <w:rFonts w:ascii="Times New Roman" w:eastAsia="宋体" w:hAnsi="Times New Roman" w:cs="Times New Roman"/>
          <w:color w:val="000000"/>
          <w:kern w:val="0"/>
          <w:sz w:val="20"/>
          <w:szCs w:val="20"/>
          <w:lang w:bidi="ar"/>
        </w:rPr>
        <w:t xml:space="preserve"> Risk Factors” in our Annual Report on Form 10-K for the fiscal year ended January 28, 2022 could materially affect our business, operating results, financial condition, or prospects. The risks described in our Annual Report on Form 10-K and our subsequent</w:t>
      </w:r>
      <w:r>
        <w:rPr>
          <w:rFonts w:ascii="Times New Roman" w:eastAsia="宋体" w:hAnsi="Times New Roman" w:cs="Times New Roman"/>
          <w:color w:val="000000"/>
          <w:kern w:val="0"/>
          <w:sz w:val="20"/>
          <w:szCs w:val="20"/>
          <w:lang w:bidi="ar"/>
        </w:rPr>
        <w:t xml:space="preserve"> SEC reports are not the only risks facing us.  There are additional risks and uncertainties not currently known to us or that we currently deem to be immaterial that also may materially adversely affect our business, operating results, financial condition</w:t>
      </w:r>
      <w:r>
        <w:rPr>
          <w:rFonts w:ascii="Times New Roman" w:eastAsia="宋体" w:hAnsi="Times New Roman" w:cs="Times New Roman"/>
          <w:color w:val="000000"/>
          <w:kern w:val="0"/>
          <w:sz w:val="20"/>
          <w:szCs w:val="20"/>
          <w:lang w:bidi="ar"/>
        </w:rPr>
        <w:t>, or prospects.</w:t>
      </w:r>
    </w:p>
    <w:p w14:paraId="59E4C66D"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C66E"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C66F"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C670"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89</w:t>
      </w:r>
    </w:p>
    <w:p w14:paraId="59E4C671"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C672" w14:textId="77777777" w:rsidR="00D7560A" w:rsidRDefault="001E3CAB">
      <w:pPr>
        <w:widowControl/>
        <w:jc w:val="center"/>
      </w:pPr>
      <w:r>
        <w:rPr>
          <w:rFonts w:ascii="宋体" w:eastAsia="宋体" w:hAnsi="宋体" w:cs="宋体"/>
          <w:kern w:val="0"/>
          <w:sz w:val="24"/>
        </w:rPr>
        <w:pict w14:anchorId="59E4C824">
          <v:rect id="_x0000_i1113" style="width:6in;height:1.5pt" o:hralign="center" o:hrstd="t" o:hr="t" fillcolor="#a0a0a0" stroked="f"/>
        </w:pict>
      </w:r>
    </w:p>
    <w:p w14:paraId="59E4C673" w14:textId="77777777" w:rsidR="00D7560A" w:rsidRDefault="001E3CAB">
      <w:pPr>
        <w:widowControl/>
        <w:jc w:val="left"/>
        <w:rPr>
          <w:rFonts w:ascii="宋体" w:eastAsia="宋体" w:hAnsi="宋体" w:cs="宋体"/>
          <w:kern w:val="0"/>
          <w:sz w:val="24"/>
        </w:rPr>
      </w:pPr>
      <w:hyperlink w:anchor="if933dd1d5d004d2495dd7029e3ecad00_13" w:history="1">
        <w:r>
          <w:rPr>
            <w:rStyle w:val="a4"/>
            <w:rFonts w:ascii="Times New Roman" w:eastAsia="宋体" w:hAnsi="Times New Roman" w:cs="Times New Roman"/>
            <w:sz w:val="20"/>
            <w:szCs w:val="20"/>
          </w:rPr>
          <w:t>Table of Contents</w:t>
        </w:r>
      </w:hyperlink>
    </w:p>
    <w:p w14:paraId="59E4C674"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b/>
          <w:bCs/>
          <w:color w:val="000000"/>
          <w:kern w:val="0"/>
          <w:sz w:val="20"/>
          <w:szCs w:val="20"/>
          <w:shd w:val="clear" w:color="auto" w:fill="FFFFFF"/>
          <w:lang w:bidi="ar"/>
        </w:rPr>
        <w:t>ITEM 2 — UNREGISTERED SALES OF EQUITY SECURITIES AND USE OF PROCEEDS</w:t>
      </w:r>
    </w:p>
    <w:p w14:paraId="59E4C675"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C676"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Purchases of Equity Securities</w:t>
      </w:r>
    </w:p>
    <w:p w14:paraId="59E4C677"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C678"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The following table presents </w:t>
      </w:r>
      <w:r>
        <w:rPr>
          <w:rFonts w:ascii="Times New Roman" w:eastAsia="宋体" w:hAnsi="Times New Roman" w:cs="Times New Roman"/>
          <w:color w:val="000000"/>
          <w:kern w:val="0"/>
          <w:sz w:val="20"/>
          <w:szCs w:val="20"/>
          <w:lang w:bidi="ar"/>
        </w:rPr>
        <w:t>information with respect to our purchases of Class C Common Stock during the second quarter of Fiscal 2023.</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48"/>
        <w:gridCol w:w="2765"/>
        <w:gridCol w:w="36"/>
        <w:gridCol w:w="56"/>
        <w:gridCol w:w="1279"/>
        <w:gridCol w:w="36"/>
        <w:gridCol w:w="36"/>
        <w:gridCol w:w="36"/>
        <w:gridCol w:w="36"/>
        <w:gridCol w:w="121"/>
        <w:gridCol w:w="823"/>
        <w:gridCol w:w="36"/>
        <w:gridCol w:w="36"/>
        <w:gridCol w:w="36"/>
        <w:gridCol w:w="36"/>
        <w:gridCol w:w="61"/>
        <w:gridCol w:w="1247"/>
        <w:gridCol w:w="36"/>
        <w:gridCol w:w="36"/>
        <w:gridCol w:w="36"/>
        <w:gridCol w:w="36"/>
        <w:gridCol w:w="121"/>
        <w:gridCol w:w="1311"/>
        <w:gridCol w:w="36"/>
      </w:tblGrid>
      <w:tr w:rsidR="00D7560A" w14:paraId="59E4C691" w14:textId="77777777">
        <w:tc>
          <w:tcPr>
            <w:tcW w:w="50" w:type="pct"/>
            <w:tcBorders>
              <w:top w:val="nil"/>
              <w:left w:val="nil"/>
              <w:bottom w:val="nil"/>
              <w:right w:val="nil"/>
            </w:tcBorders>
            <w:shd w:val="clear" w:color="auto" w:fill="auto"/>
            <w:vAlign w:val="bottom"/>
          </w:tcPr>
          <w:p w14:paraId="59E4C679" w14:textId="77777777" w:rsidR="00D7560A" w:rsidRDefault="00D7560A">
            <w:pPr>
              <w:widowControl/>
              <w:jc w:val="left"/>
              <w:rPr>
                <w:rFonts w:ascii="Times New Roman" w:eastAsia="宋体" w:hAnsi="宋体" w:cs="宋体"/>
                <w:kern w:val="0"/>
                <w:sz w:val="24"/>
              </w:rPr>
            </w:pPr>
          </w:p>
        </w:tc>
        <w:tc>
          <w:tcPr>
            <w:tcW w:w="1676" w:type="pct"/>
            <w:tcBorders>
              <w:top w:val="nil"/>
              <w:left w:val="nil"/>
              <w:bottom w:val="nil"/>
              <w:right w:val="nil"/>
            </w:tcBorders>
            <w:shd w:val="clear" w:color="auto" w:fill="auto"/>
            <w:vAlign w:val="bottom"/>
          </w:tcPr>
          <w:p w14:paraId="59E4C67A"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C67B"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C67C" w14:textId="77777777" w:rsidR="00D7560A" w:rsidRDefault="00D7560A">
            <w:pPr>
              <w:widowControl/>
              <w:jc w:val="left"/>
              <w:rPr>
                <w:rFonts w:ascii="Times New Roman" w:eastAsia="宋体" w:hAnsi="宋体" w:cs="宋体"/>
                <w:kern w:val="0"/>
                <w:sz w:val="24"/>
              </w:rPr>
            </w:pPr>
          </w:p>
        </w:tc>
        <w:tc>
          <w:tcPr>
            <w:tcW w:w="791" w:type="pct"/>
            <w:tcBorders>
              <w:top w:val="nil"/>
              <w:left w:val="nil"/>
              <w:bottom w:val="nil"/>
              <w:right w:val="nil"/>
            </w:tcBorders>
            <w:shd w:val="clear" w:color="auto" w:fill="auto"/>
            <w:vAlign w:val="bottom"/>
          </w:tcPr>
          <w:p w14:paraId="59E4C67D"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C67E"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C67F" w14:textId="77777777" w:rsidR="00D7560A" w:rsidRDefault="00D7560A">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59E4C680"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C681"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C682" w14:textId="77777777" w:rsidR="00D7560A" w:rsidRDefault="00D7560A">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vAlign w:val="bottom"/>
          </w:tcPr>
          <w:p w14:paraId="59E4C683"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C684"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C685" w14:textId="77777777" w:rsidR="00D7560A" w:rsidRDefault="00D7560A">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59E4C686"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C687"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C688" w14:textId="77777777" w:rsidR="00D7560A" w:rsidRDefault="00D7560A">
            <w:pPr>
              <w:widowControl/>
              <w:jc w:val="left"/>
              <w:rPr>
                <w:rFonts w:ascii="Times New Roman" w:eastAsia="宋体" w:hAnsi="宋体" w:cs="宋体"/>
                <w:kern w:val="0"/>
                <w:sz w:val="24"/>
              </w:rPr>
            </w:pPr>
          </w:p>
        </w:tc>
        <w:tc>
          <w:tcPr>
            <w:tcW w:w="791" w:type="pct"/>
            <w:tcBorders>
              <w:top w:val="nil"/>
              <w:left w:val="nil"/>
              <w:bottom w:val="nil"/>
              <w:right w:val="nil"/>
            </w:tcBorders>
            <w:shd w:val="clear" w:color="auto" w:fill="auto"/>
            <w:vAlign w:val="bottom"/>
          </w:tcPr>
          <w:p w14:paraId="59E4C689"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C68A"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C68B" w14:textId="77777777" w:rsidR="00D7560A" w:rsidRDefault="00D7560A">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59E4C68C"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C68D"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C68E" w14:textId="77777777" w:rsidR="00D7560A" w:rsidRDefault="00D7560A">
            <w:pPr>
              <w:widowControl/>
              <w:jc w:val="left"/>
              <w:rPr>
                <w:rFonts w:ascii="Times New Roman" w:eastAsia="宋体" w:hAnsi="宋体" w:cs="宋体"/>
                <w:kern w:val="0"/>
                <w:sz w:val="24"/>
              </w:rPr>
            </w:pPr>
          </w:p>
        </w:tc>
        <w:tc>
          <w:tcPr>
            <w:tcW w:w="822" w:type="pct"/>
            <w:tcBorders>
              <w:top w:val="nil"/>
              <w:left w:val="nil"/>
              <w:bottom w:val="nil"/>
              <w:right w:val="nil"/>
            </w:tcBorders>
            <w:shd w:val="clear" w:color="auto" w:fill="auto"/>
            <w:vAlign w:val="bottom"/>
          </w:tcPr>
          <w:p w14:paraId="59E4C68F"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C690" w14:textId="77777777" w:rsidR="00D7560A" w:rsidRDefault="00D7560A">
            <w:pPr>
              <w:widowControl/>
              <w:jc w:val="left"/>
              <w:rPr>
                <w:rFonts w:ascii="Times New Roman" w:eastAsia="宋体" w:hAnsi="宋体" w:cs="宋体"/>
                <w:kern w:val="0"/>
                <w:sz w:val="24"/>
              </w:rPr>
            </w:pPr>
          </w:p>
        </w:tc>
      </w:tr>
      <w:tr w:rsidR="00D7560A" w14:paraId="59E4C69A"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9E4C692"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Period</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9E4C693"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Total Number of Shares Purchased</w:t>
            </w: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59E4C694"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auto"/>
            <w:tcMar>
              <w:top w:w="40" w:type="dxa"/>
              <w:left w:w="20" w:type="dxa"/>
              <w:bottom w:w="40" w:type="dxa"/>
              <w:right w:w="20" w:type="dxa"/>
            </w:tcMar>
            <w:vAlign w:val="bottom"/>
          </w:tcPr>
          <w:p w14:paraId="59E4C695"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Weighted Average Price Paid per Share</w:t>
            </w: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59E4C696"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auto"/>
            <w:tcMar>
              <w:top w:w="40" w:type="dxa"/>
              <w:left w:w="20" w:type="dxa"/>
              <w:bottom w:w="40" w:type="dxa"/>
              <w:right w:w="20" w:type="dxa"/>
            </w:tcMar>
            <w:vAlign w:val="bottom"/>
          </w:tcPr>
          <w:p w14:paraId="59E4C697"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Total Number of Shares Purchased as Part of Publicly Announced Programs</w:t>
            </w: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59E4C698"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auto"/>
            <w:tcMar>
              <w:top w:w="40" w:type="dxa"/>
              <w:left w:w="20" w:type="dxa"/>
              <w:bottom w:w="40" w:type="dxa"/>
              <w:right w:w="20" w:type="dxa"/>
            </w:tcMar>
            <w:vAlign w:val="bottom"/>
          </w:tcPr>
          <w:p w14:paraId="59E4C699"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Approximate Dollar Value of Shares that May Yet Be Purchased Un</w:t>
            </w:r>
            <w:r>
              <w:rPr>
                <w:rFonts w:ascii="Times New Roman" w:eastAsia="宋体" w:hAnsi="Times New Roman" w:cs="Times New Roman"/>
                <w:b/>
                <w:bCs/>
                <w:color w:val="000000"/>
                <w:kern w:val="0"/>
                <w:sz w:val="20"/>
                <w:szCs w:val="20"/>
                <w:lang w:bidi="ar"/>
              </w:rPr>
              <w:t>der the Programs</w:t>
            </w:r>
          </w:p>
        </w:tc>
      </w:tr>
      <w:tr w:rsidR="00D7560A" w14:paraId="59E4C69D" w14:textId="77777777">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59E4C69B" w14:textId="77777777" w:rsidR="00D7560A" w:rsidRDefault="00D7560A">
            <w:pPr>
              <w:widowControl/>
              <w:jc w:val="left"/>
              <w:rPr>
                <w:rFonts w:ascii="Times New Roman" w:eastAsia="宋体" w:hAnsi="宋体" w:cs="宋体"/>
                <w:kern w:val="0"/>
                <w:sz w:val="24"/>
              </w:rPr>
            </w:pPr>
          </w:p>
        </w:tc>
        <w:tc>
          <w:tcPr>
            <w:tcW w:w="0" w:type="auto"/>
            <w:gridSpan w:val="21"/>
            <w:tcBorders>
              <w:top w:val="single" w:sz="8" w:space="0" w:color="000000"/>
              <w:left w:val="nil"/>
              <w:bottom w:val="nil"/>
              <w:right w:val="nil"/>
            </w:tcBorders>
            <w:shd w:val="clear" w:color="auto" w:fill="auto"/>
            <w:tcMar>
              <w:top w:w="40" w:type="dxa"/>
              <w:left w:w="20" w:type="dxa"/>
              <w:bottom w:w="40" w:type="dxa"/>
              <w:right w:w="20" w:type="dxa"/>
            </w:tcMar>
            <w:vAlign w:val="center"/>
          </w:tcPr>
          <w:p w14:paraId="59E4C69C" w14:textId="77777777" w:rsidR="00D7560A" w:rsidRDefault="001E3CAB">
            <w:pPr>
              <w:widowControl/>
              <w:jc w:val="center"/>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(in millions, except per share amounts)</w:t>
            </w:r>
          </w:p>
        </w:tc>
      </w:tr>
      <w:tr w:rsidR="00D7560A" w14:paraId="59E4C6AC"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9E4C69E"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Repurchases from April 30, 2022 to May 27, 2022</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C69F"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C6A0"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C6A1"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9E4C6A2"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9E4C6A3"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44.45 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C6A4"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C6A5"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C6A6"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C6A7"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C6A8"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9E4C6A9"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9E4C6AA"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2,538 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C6AB" w14:textId="77777777" w:rsidR="00D7560A" w:rsidRDefault="00D7560A">
            <w:pPr>
              <w:widowControl/>
              <w:jc w:val="right"/>
              <w:rPr>
                <w:rFonts w:ascii="Times New Roman" w:eastAsia="宋体" w:hAnsi="宋体" w:cs="宋体"/>
                <w:kern w:val="0"/>
                <w:sz w:val="24"/>
              </w:rPr>
            </w:pPr>
          </w:p>
        </w:tc>
      </w:tr>
      <w:tr w:rsidR="00D7560A" w14:paraId="59E4C6BB"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59E4C6AD"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Repurchases from May 28, 2022 to June 24, 2022</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C6AE"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C6AF"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C6B0"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9E4C6B1"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9E4C6B2"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48.42 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C6B3"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C6B4"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59E4C6B5"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C6B6"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C6B7"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59E4C6B8"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59E4C6B9"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2,461 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59E4C6BA" w14:textId="77777777" w:rsidR="00D7560A" w:rsidRDefault="00D7560A">
            <w:pPr>
              <w:widowControl/>
              <w:jc w:val="right"/>
              <w:rPr>
                <w:rFonts w:ascii="Times New Roman" w:eastAsia="宋体" w:hAnsi="宋体" w:cs="宋体"/>
                <w:kern w:val="0"/>
                <w:sz w:val="24"/>
              </w:rPr>
            </w:pPr>
          </w:p>
        </w:tc>
      </w:tr>
      <w:tr w:rsidR="00D7560A" w14:paraId="59E4C6CA"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59E4C6BC"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Repurchases from June 25, 2022 to July </w:t>
            </w:r>
            <w:r>
              <w:rPr>
                <w:rFonts w:ascii="Times New Roman" w:eastAsia="宋体" w:hAnsi="Times New Roman" w:cs="Times New Roman"/>
                <w:color w:val="000000"/>
                <w:kern w:val="0"/>
                <w:sz w:val="20"/>
                <w:szCs w:val="20"/>
                <w:lang w:bidi="ar"/>
              </w:rPr>
              <w:t>29, 2022</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C6BD"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C6BE"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C6BF"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9E4C6C0"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9E4C6C1"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43.56 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C6C2"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C6C3" w14:textId="77777777" w:rsidR="00D7560A" w:rsidRDefault="00D7560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59E4C6C4"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C6C5"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59E4C6C6" w14:textId="77777777" w:rsidR="00D7560A" w:rsidRDefault="00D7560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59E4C6C7"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59E4C6C8"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2,252 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59E4C6C9" w14:textId="77777777" w:rsidR="00D7560A" w:rsidRDefault="00D7560A">
            <w:pPr>
              <w:widowControl/>
              <w:jc w:val="right"/>
              <w:rPr>
                <w:rFonts w:ascii="Times New Roman" w:eastAsia="宋体" w:hAnsi="宋体" w:cs="宋体"/>
                <w:kern w:val="0"/>
                <w:sz w:val="24"/>
              </w:rPr>
            </w:pPr>
          </w:p>
        </w:tc>
      </w:tr>
      <w:tr w:rsidR="00D7560A" w14:paraId="59E4C6D5"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59E4C6CB"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Total</w:t>
            </w: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59E4C6CC"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13.6 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59E4C6CD"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C6CE"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C6CF"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C6D0" w14:textId="77777777" w:rsidR="00D7560A" w:rsidRDefault="00D7560A">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59E4C6D1" w14:textId="77777777" w:rsidR="00D7560A" w:rsidRDefault="001E3CAB">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13.6 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59E4C6D2" w14:textId="77777777" w:rsidR="00D7560A" w:rsidRDefault="00D7560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C6D3"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59E4C6D4" w14:textId="77777777" w:rsidR="00D7560A" w:rsidRDefault="00D7560A">
            <w:pPr>
              <w:widowControl/>
              <w:jc w:val="left"/>
              <w:rPr>
                <w:rFonts w:ascii="Times New Roman" w:eastAsia="宋体" w:hAnsi="宋体" w:cs="宋体"/>
                <w:kern w:val="0"/>
                <w:sz w:val="24"/>
              </w:rPr>
            </w:pPr>
          </w:p>
        </w:tc>
      </w:tr>
    </w:tbl>
    <w:p w14:paraId="59E4C6D6"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C6D7"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All shares were purchased in open-market transactions pursuant to a stock repurchase program approved by our Board of Directors in September 2021 authorizing the repurchase of up to $5 billion of shares of Class C Common </w:t>
      </w:r>
      <w:r>
        <w:rPr>
          <w:rFonts w:ascii="Times New Roman" w:eastAsia="宋体" w:hAnsi="Times New Roman" w:cs="Times New Roman"/>
          <w:color w:val="000000"/>
          <w:kern w:val="0"/>
          <w:sz w:val="20"/>
          <w:szCs w:val="20"/>
          <w:lang w:bidi="ar"/>
        </w:rPr>
        <w:t>Stock. The repurchase program does not have a fixed expiration date.</w:t>
      </w:r>
    </w:p>
    <w:p w14:paraId="59E4C6D8"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C6D9"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See Note 14 of the Notes to the Condensed Consolidated Financial Statements included in this report for additional information about the stock repurchase program.</w:t>
      </w:r>
    </w:p>
    <w:p w14:paraId="59E4C6DA"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C6DB"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90</w:t>
      </w:r>
    </w:p>
    <w:p w14:paraId="59E4C6DC"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C6DD" w14:textId="77777777" w:rsidR="00D7560A" w:rsidRDefault="001E3CAB">
      <w:pPr>
        <w:widowControl/>
        <w:jc w:val="center"/>
      </w:pPr>
      <w:r>
        <w:rPr>
          <w:rFonts w:ascii="宋体" w:eastAsia="宋体" w:hAnsi="宋体" w:cs="宋体"/>
          <w:kern w:val="0"/>
          <w:sz w:val="24"/>
        </w:rPr>
        <w:pict w14:anchorId="59E4C825">
          <v:rect id="_x0000_i1114" style="width:6in;height:1.5pt" o:hralign="center" o:hrstd="t" o:hr="t" fillcolor="#a0a0a0" stroked="f"/>
        </w:pict>
      </w:r>
    </w:p>
    <w:p w14:paraId="59E4C6DE" w14:textId="77777777" w:rsidR="00D7560A" w:rsidRDefault="001E3CAB">
      <w:pPr>
        <w:widowControl/>
        <w:jc w:val="left"/>
        <w:rPr>
          <w:rFonts w:ascii="宋体" w:eastAsia="宋体" w:hAnsi="宋体" w:cs="宋体"/>
          <w:kern w:val="0"/>
          <w:sz w:val="24"/>
        </w:rPr>
      </w:pPr>
      <w:hyperlink w:anchor="if933dd1d5d004d2495dd7029e3ecad00_13" w:history="1">
        <w:r>
          <w:rPr>
            <w:rStyle w:val="a4"/>
            <w:rFonts w:ascii="Times New Roman" w:eastAsia="宋体" w:hAnsi="Times New Roman" w:cs="Times New Roman"/>
            <w:sz w:val="20"/>
            <w:szCs w:val="20"/>
          </w:rPr>
          <w:t>Table of Contents</w:t>
        </w:r>
      </w:hyperlink>
    </w:p>
    <w:p w14:paraId="59E4C6DF"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ITEM 6 — EXHIBIT AND FINANCIAL STATEMENT SCHEDULES</w:t>
      </w:r>
    </w:p>
    <w:tbl>
      <w:tblPr>
        <w:tblW w:w="5000" w:type="pct"/>
        <w:jc w:val="center"/>
        <w:tblCellMar>
          <w:top w:w="15" w:type="dxa"/>
          <w:left w:w="15" w:type="dxa"/>
          <w:bottom w:w="15" w:type="dxa"/>
          <w:right w:w="15" w:type="dxa"/>
        </w:tblCellMar>
        <w:tblLook w:val="04A0" w:firstRow="1" w:lastRow="0" w:firstColumn="1" w:lastColumn="0" w:noHBand="0" w:noVBand="1"/>
      </w:tblPr>
      <w:tblGrid>
        <w:gridCol w:w="80"/>
        <w:gridCol w:w="943"/>
        <w:gridCol w:w="36"/>
        <w:gridCol w:w="36"/>
        <w:gridCol w:w="36"/>
        <w:gridCol w:w="36"/>
        <w:gridCol w:w="48"/>
        <w:gridCol w:w="7084"/>
        <w:gridCol w:w="37"/>
      </w:tblGrid>
      <w:tr w:rsidR="00D7560A" w14:paraId="59E4C6E9" w14:textId="77777777">
        <w:trPr>
          <w:jc w:val="center"/>
        </w:trPr>
        <w:tc>
          <w:tcPr>
            <w:tcW w:w="50" w:type="pct"/>
            <w:tcBorders>
              <w:top w:val="nil"/>
              <w:left w:val="nil"/>
              <w:bottom w:val="nil"/>
              <w:right w:val="nil"/>
            </w:tcBorders>
            <w:shd w:val="clear" w:color="auto" w:fill="auto"/>
            <w:vAlign w:val="bottom"/>
          </w:tcPr>
          <w:p w14:paraId="59E4C6E0" w14:textId="77777777" w:rsidR="00D7560A" w:rsidRDefault="00D7560A">
            <w:pPr>
              <w:widowControl/>
              <w:jc w:val="left"/>
              <w:rPr>
                <w:rFonts w:ascii="Times New Roman" w:eastAsia="宋体" w:hAnsi="宋体" w:cs="宋体"/>
                <w:kern w:val="0"/>
                <w:sz w:val="24"/>
              </w:rPr>
            </w:pPr>
          </w:p>
        </w:tc>
        <w:tc>
          <w:tcPr>
            <w:tcW w:w="595" w:type="pct"/>
            <w:tcBorders>
              <w:top w:val="nil"/>
              <w:left w:val="nil"/>
              <w:bottom w:val="nil"/>
              <w:right w:val="nil"/>
            </w:tcBorders>
            <w:shd w:val="clear" w:color="auto" w:fill="auto"/>
            <w:vAlign w:val="bottom"/>
          </w:tcPr>
          <w:p w14:paraId="59E4C6E1"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C6E2"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C6E3" w14:textId="77777777" w:rsidR="00D7560A" w:rsidRDefault="00D7560A">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59E4C6E4"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C6E5"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C6E6" w14:textId="77777777" w:rsidR="00D7560A" w:rsidRDefault="00D7560A">
            <w:pPr>
              <w:widowControl/>
              <w:jc w:val="left"/>
              <w:rPr>
                <w:rFonts w:ascii="Times New Roman" w:eastAsia="宋体" w:hAnsi="宋体" w:cs="宋体"/>
                <w:kern w:val="0"/>
                <w:sz w:val="24"/>
              </w:rPr>
            </w:pPr>
          </w:p>
        </w:tc>
        <w:tc>
          <w:tcPr>
            <w:tcW w:w="4265" w:type="pct"/>
            <w:tcBorders>
              <w:top w:val="nil"/>
              <w:left w:val="nil"/>
              <w:bottom w:val="nil"/>
              <w:right w:val="nil"/>
            </w:tcBorders>
            <w:shd w:val="clear" w:color="auto" w:fill="auto"/>
            <w:vAlign w:val="bottom"/>
          </w:tcPr>
          <w:p w14:paraId="59E4C6E7"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C6E8" w14:textId="77777777" w:rsidR="00D7560A" w:rsidRDefault="00D7560A">
            <w:pPr>
              <w:widowControl/>
              <w:jc w:val="left"/>
              <w:rPr>
                <w:rFonts w:ascii="Times New Roman" w:eastAsia="宋体" w:hAnsi="宋体" w:cs="宋体"/>
                <w:kern w:val="0"/>
                <w:sz w:val="24"/>
              </w:rPr>
            </w:pPr>
          </w:p>
        </w:tc>
      </w:tr>
      <w:tr w:rsidR="00D7560A" w14:paraId="59E4C6ED"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9E4C6EA"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Exhibit</w:t>
            </w:r>
            <w:r>
              <w:rPr>
                <w:rFonts w:ascii="Times New Roman" w:eastAsia="宋体" w:hAnsi="Times New Roman" w:cs="Times New Roman"/>
                <w:b/>
                <w:bCs/>
                <w:color w:val="000000"/>
                <w:kern w:val="0"/>
                <w:sz w:val="20"/>
                <w:szCs w:val="20"/>
                <w:lang w:bidi="ar"/>
              </w:rPr>
              <w:br/>
              <w:t>Number</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C6EB"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9E4C6EC"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Description</w:t>
            </w:r>
          </w:p>
        </w:tc>
      </w:tr>
      <w:tr w:rsidR="00D7560A" w14:paraId="59E4C6F1" w14:textId="77777777">
        <w:trPr>
          <w:jc w:val="center"/>
        </w:trPr>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tcPr>
          <w:p w14:paraId="59E4C6EE" w14:textId="77777777" w:rsidR="00D7560A" w:rsidRDefault="001E3CAB">
            <w:pPr>
              <w:widowControl/>
              <w:jc w:val="right"/>
              <w:textAlignment w:val="top"/>
              <w:rPr>
                <w:rFonts w:ascii="宋体" w:eastAsia="宋体" w:hAnsi="宋体" w:cs="宋体"/>
                <w:kern w:val="0"/>
                <w:sz w:val="24"/>
              </w:rPr>
            </w:pPr>
            <w:hyperlink r:id="rId6" w:history="1">
              <w:r>
                <w:rPr>
                  <w:rStyle w:val="a4"/>
                  <w:rFonts w:ascii="Times New Roman" w:eastAsia="宋体" w:hAnsi="Times New Roman" w:cs="Times New Roman"/>
                  <w:kern w:val="0"/>
                  <w:sz w:val="20"/>
                  <w:szCs w:val="20"/>
                </w:rPr>
                <w:t>3.1</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C6EF"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tcPr>
          <w:p w14:paraId="59E4C6F0" w14:textId="77777777" w:rsidR="00D7560A" w:rsidRDefault="001E3CAB">
            <w:pPr>
              <w:widowControl/>
              <w:jc w:val="left"/>
              <w:textAlignment w:val="top"/>
              <w:rPr>
                <w:rFonts w:ascii="宋体" w:eastAsia="宋体" w:hAnsi="宋体" w:cs="宋体"/>
                <w:kern w:val="0"/>
                <w:sz w:val="24"/>
              </w:rPr>
            </w:pPr>
            <w:hyperlink r:id="rId7" w:history="1">
              <w:r>
                <w:rPr>
                  <w:rStyle w:val="a4"/>
                  <w:rFonts w:ascii="Times New Roman" w:eastAsia="宋体" w:hAnsi="Times New Roman" w:cs="Times New Roman"/>
                  <w:kern w:val="0"/>
                  <w:sz w:val="20"/>
                  <w:szCs w:val="20"/>
                </w:rPr>
                <w:t>Sixth Amended and Restated Cert</w:t>
              </w:r>
              <w:r>
                <w:rPr>
                  <w:rStyle w:val="a4"/>
                  <w:rFonts w:ascii="Times New Roman" w:eastAsia="宋体" w:hAnsi="Times New Roman" w:cs="Times New Roman"/>
                  <w:kern w:val="0"/>
                  <w:sz w:val="20"/>
                  <w:szCs w:val="20"/>
                </w:rPr>
                <w:t>ificate of Incorporation of Dell Technologies Inc. (incorporated by reference to Exhibit 3.1 to the Company’s Current Report on Form 8-K filed with the Commission on June 29, 2022) (Commission File No. 001-37867).</w:t>
              </w:r>
            </w:hyperlink>
          </w:p>
        </w:tc>
      </w:tr>
      <w:tr w:rsidR="00D7560A" w14:paraId="59E4C6F5"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59E4C6F2" w14:textId="77777777" w:rsidR="00D7560A" w:rsidRDefault="001E3CAB">
            <w:pPr>
              <w:widowControl/>
              <w:jc w:val="right"/>
              <w:textAlignment w:val="top"/>
              <w:rPr>
                <w:rFonts w:ascii="宋体" w:eastAsia="宋体" w:hAnsi="宋体" w:cs="宋体"/>
                <w:kern w:val="0"/>
                <w:sz w:val="24"/>
              </w:rPr>
            </w:pPr>
            <w:hyperlink r:id="rId8" w:history="1">
              <w:r>
                <w:rPr>
                  <w:rStyle w:val="a4"/>
                  <w:rFonts w:ascii="Times New Roman" w:eastAsia="宋体" w:hAnsi="Times New Roman" w:cs="Times New Roman"/>
                  <w:kern w:val="0"/>
                  <w:sz w:val="20"/>
                  <w:szCs w:val="20"/>
                </w:rPr>
                <w:t>3.2</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C6F3"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59E4C6F4" w14:textId="77777777" w:rsidR="00D7560A" w:rsidRDefault="001E3CAB">
            <w:pPr>
              <w:widowControl/>
              <w:jc w:val="left"/>
              <w:textAlignment w:val="top"/>
              <w:rPr>
                <w:rFonts w:ascii="宋体" w:eastAsia="宋体" w:hAnsi="宋体" w:cs="宋体"/>
                <w:kern w:val="0"/>
                <w:sz w:val="24"/>
              </w:rPr>
            </w:pPr>
            <w:hyperlink r:id="rId9" w:history="1">
              <w:r>
                <w:rPr>
                  <w:rStyle w:val="a4"/>
                  <w:rFonts w:ascii="Times New Roman" w:eastAsia="宋体" w:hAnsi="Times New Roman" w:cs="Times New Roman"/>
                  <w:kern w:val="0"/>
                  <w:sz w:val="20"/>
                  <w:szCs w:val="20"/>
                </w:rPr>
                <w:t>Third Amended and Restated Byla</w:t>
              </w:r>
              <w:r>
                <w:rPr>
                  <w:rStyle w:val="a4"/>
                  <w:rFonts w:ascii="Times New Roman" w:eastAsia="宋体" w:hAnsi="Times New Roman" w:cs="Times New Roman"/>
                  <w:kern w:val="0"/>
                  <w:sz w:val="20"/>
                  <w:szCs w:val="20"/>
                </w:rPr>
                <w:t>ws of Dell Technologies Inc. (incorporated by reference to Exhibit 3.2 to the Company’s Current Report on Form 8-K filed with the Commission on June 29, 2022) (Commission File No. 001-37867).</w:t>
              </w:r>
            </w:hyperlink>
          </w:p>
        </w:tc>
      </w:tr>
      <w:tr w:rsidR="00D7560A" w14:paraId="59E4C6F9"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59E4C6F6" w14:textId="77777777" w:rsidR="00D7560A" w:rsidRDefault="001E3CAB">
            <w:pPr>
              <w:widowControl/>
              <w:jc w:val="right"/>
              <w:textAlignment w:val="top"/>
              <w:rPr>
                <w:rFonts w:ascii="宋体" w:eastAsia="宋体" w:hAnsi="宋体" w:cs="宋体"/>
                <w:kern w:val="0"/>
                <w:sz w:val="24"/>
              </w:rPr>
            </w:pPr>
            <w:hyperlink r:id="rId10" w:history="1">
              <w:r>
                <w:rPr>
                  <w:rStyle w:val="a4"/>
                  <w:rFonts w:ascii="Times New Roman" w:eastAsia="宋体" w:hAnsi="Times New Roman" w:cs="Times New Roman"/>
                  <w:kern w:val="0"/>
                  <w:sz w:val="20"/>
                  <w:szCs w:val="20"/>
                </w:rPr>
                <w:t>4.1††</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C6F7"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59E4C6F8" w14:textId="77777777" w:rsidR="00D7560A" w:rsidRDefault="001E3CAB">
            <w:pPr>
              <w:widowControl/>
              <w:jc w:val="left"/>
              <w:textAlignment w:val="top"/>
              <w:rPr>
                <w:rFonts w:ascii="宋体" w:eastAsia="宋体" w:hAnsi="宋体" w:cs="宋体"/>
                <w:kern w:val="0"/>
                <w:sz w:val="24"/>
              </w:rPr>
            </w:pPr>
            <w:hyperlink r:id="rId11" w:history="1">
              <w:r>
                <w:rPr>
                  <w:rStyle w:val="a4"/>
                  <w:rFonts w:ascii="Times New Roman" w:eastAsia="宋体" w:hAnsi="Times New Roman" w:cs="Times New Roman"/>
                  <w:kern w:val="0"/>
                  <w:sz w:val="20"/>
                  <w:szCs w:val="20"/>
                </w:rPr>
                <w:t>Consent to the Extension of Registration</w:t>
              </w:r>
              <w:r>
                <w:rPr>
                  <w:rStyle w:val="a4"/>
                  <w:rFonts w:ascii="Times New Roman" w:eastAsia="宋体" w:hAnsi="Times New Roman" w:cs="Times New Roman"/>
                  <w:kern w:val="0"/>
                  <w:sz w:val="20"/>
                  <w:szCs w:val="20"/>
                </w:rPr>
                <w:t xml:space="preserve"> Rights Under the Second Amended and Restated Registration Rights Agreement, dated June 28, 2022, among Dell Technologies Inc. (the “Company”) and SL SPV-2 L.P., Silver Lake Partners IV, L.P., Silver Lake Technology Investors IV, L.P., Silver Lake Partners</w:t>
              </w:r>
              <w:r>
                <w:rPr>
                  <w:rStyle w:val="a4"/>
                  <w:rFonts w:ascii="Times New Roman" w:eastAsia="宋体" w:hAnsi="Times New Roman" w:cs="Times New Roman"/>
                  <w:kern w:val="0"/>
                  <w:sz w:val="20"/>
                  <w:szCs w:val="20"/>
                </w:rPr>
                <w:t xml:space="preserve"> V DE (AIV), L.P., Silver Lake Technology Investors V, L.P.</w:t>
              </w:r>
            </w:hyperlink>
          </w:p>
        </w:tc>
      </w:tr>
      <w:tr w:rsidR="00D7560A" w14:paraId="59E4C6FD"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59E4C6FA" w14:textId="77777777" w:rsidR="00D7560A" w:rsidRDefault="001E3CAB">
            <w:pPr>
              <w:widowControl/>
              <w:jc w:val="right"/>
              <w:textAlignment w:val="top"/>
              <w:rPr>
                <w:rFonts w:ascii="宋体" w:eastAsia="宋体" w:hAnsi="宋体" w:cs="宋体"/>
                <w:kern w:val="0"/>
                <w:sz w:val="24"/>
              </w:rPr>
            </w:pPr>
            <w:hyperlink r:id="rId12" w:history="1">
              <w:r>
                <w:rPr>
                  <w:rStyle w:val="a4"/>
                  <w:rFonts w:ascii="Times New Roman" w:eastAsia="宋体" w:hAnsi="Times New Roman" w:cs="Times New Roman"/>
                  <w:kern w:val="0"/>
                  <w:sz w:val="20"/>
                  <w:szCs w:val="20"/>
                </w:rPr>
                <w:t>22.1††</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C6FB"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59E4C6FC" w14:textId="77777777" w:rsidR="00D7560A" w:rsidRDefault="001E3CAB">
            <w:pPr>
              <w:widowControl/>
              <w:jc w:val="left"/>
              <w:textAlignment w:val="top"/>
              <w:rPr>
                <w:rFonts w:ascii="宋体" w:eastAsia="宋体" w:hAnsi="宋体" w:cs="宋体"/>
                <w:kern w:val="0"/>
                <w:sz w:val="24"/>
              </w:rPr>
            </w:pPr>
            <w:hyperlink r:id="rId13" w:history="1">
              <w:r>
                <w:rPr>
                  <w:rStyle w:val="a4"/>
                  <w:rFonts w:ascii="Times New Roman" w:eastAsia="宋体" w:hAnsi="Times New Roman" w:cs="Times New Roman"/>
                  <w:kern w:val="0"/>
                  <w:sz w:val="20"/>
                  <w:szCs w:val="20"/>
                </w:rPr>
                <w:t>List of Guarantor Subsidiaries and Issuers of Guaranteed Securities and Affiliates Whose Securities Collateralize Securities of Dell Technologies Inc.</w:t>
              </w:r>
            </w:hyperlink>
          </w:p>
        </w:tc>
      </w:tr>
      <w:tr w:rsidR="00D7560A" w14:paraId="59E4C701"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59E4C6FE" w14:textId="77777777" w:rsidR="00D7560A" w:rsidRDefault="001E3CAB">
            <w:pPr>
              <w:widowControl/>
              <w:jc w:val="right"/>
              <w:textAlignment w:val="top"/>
              <w:rPr>
                <w:rFonts w:ascii="宋体" w:eastAsia="宋体" w:hAnsi="宋体" w:cs="宋体"/>
                <w:kern w:val="0"/>
                <w:sz w:val="24"/>
              </w:rPr>
            </w:pPr>
            <w:hyperlink r:id="rId14" w:history="1">
              <w:r>
                <w:rPr>
                  <w:rStyle w:val="a4"/>
                  <w:rFonts w:ascii="Times New Roman" w:eastAsia="宋体" w:hAnsi="Times New Roman" w:cs="Times New Roman"/>
                  <w:kern w:val="0"/>
                  <w:sz w:val="20"/>
                  <w:szCs w:val="20"/>
                </w:rPr>
                <w:t>31.1††</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C6FF"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59E4C700" w14:textId="77777777" w:rsidR="00D7560A" w:rsidRDefault="001E3CAB">
            <w:pPr>
              <w:widowControl/>
              <w:jc w:val="left"/>
              <w:textAlignment w:val="top"/>
              <w:rPr>
                <w:rFonts w:ascii="宋体" w:eastAsia="宋体" w:hAnsi="宋体" w:cs="宋体"/>
                <w:kern w:val="0"/>
                <w:sz w:val="24"/>
              </w:rPr>
            </w:pPr>
            <w:hyperlink r:id="rId15" w:history="1">
              <w:r>
                <w:rPr>
                  <w:rStyle w:val="a4"/>
                  <w:rFonts w:ascii="Times New Roman" w:eastAsia="宋体" w:hAnsi="Times New Roman" w:cs="Times New Roman"/>
                  <w:kern w:val="0"/>
                  <w:sz w:val="20"/>
                  <w:szCs w:val="20"/>
                </w:rPr>
                <w:t>Certification of Michael S. Dell, Cha</w:t>
              </w:r>
              <w:r>
                <w:rPr>
                  <w:rStyle w:val="a4"/>
                  <w:rFonts w:ascii="Times New Roman" w:eastAsia="宋体" w:hAnsi="Times New Roman" w:cs="Times New Roman"/>
                  <w:kern w:val="0"/>
                  <w:sz w:val="20"/>
                  <w:szCs w:val="20"/>
                </w:rPr>
                <w:t>irman and Chief Executive Officer, pursuant to Rule 13a-14(a) or Rule 15d-14(a) under the Securities Exchange Act of 1934, as adopted pursuant to Section 302 of the Sarbanes-Oxley Act of 2002.</w:t>
              </w:r>
            </w:hyperlink>
          </w:p>
        </w:tc>
      </w:tr>
      <w:tr w:rsidR="00D7560A" w14:paraId="59E4C705"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59E4C702" w14:textId="77777777" w:rsidR="00D7560A" w:rsidRDefault="001E3CAB">
            <w:pPr>
              <w:widowControl/>
              <w:jc w:val="right"/>
              <w:textAlignment w:val="top"/>
              <w:rPr>
                <w:rFonts w:ascii="宋体" w:eastAsia="宋体" w:hAnsi="宋体" w:cs="宋体"/>
                <w:kern w:val="0"/>
                <w:sz w:val="24"/>
              </w:rPr>
            </w:pPr>
            <w:hyperlink r:id="rId16" w:history="1">
              <w:r>
                <w:rPr>
                  <w:rStyle w:val="a4"/>
                  <w:rFonts w:ascii="Times New Roman" w:eastAsia="宋体" w:hAnsi="Times New Roman" w:cs="Times New Roman"/>
                  <w:kern w:val="0"/>
                  <w:sz w:val="20"/>
                  <w:szCs w:val="20"/>
                </w:rPr>
                <w:t>31.2††</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C703"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59E4C704" w14:textId="77777777" w:rsidR="00D7560A" w:rsidRDefault="001E3CAB">
            <w:pPr>
              <w:widowControl/>
              <w:jc w:val="left"/>
              <w:textAlignment w:val="top"/>
              <w:rPr>
                <w:rFonts w:ascii="宋体" w:eastAsia="宋体" w:hAnsi="宋体" w:cs="宋体"/>
                <w:kern w:val="0"/>
                <w:sz w:val="24"/>
              </w:rPr>
            </w:pPr>
            <w:hyperlink r:id="rId17" w:history="1">
              <w:r>
                <w:rPr>
                  <w:rStyle w:val="a4"/>
                  <w:rFonts w:ascii="Times New Roman" w:eastAsia="宋体" w:hAnsi="Times New Roman" w:cs="Times New Roman"/>
                  <w:kern w:val="0"/>
                  <w:sz w:val="20"/>
                  <w:szCs w:val="20"/>
                </w:rPr>
                <w:t>Certification of Thomas W. Sweet, Exe</w:t>
              </w:r>
              <w:r>
                <w:rPr>
                  <w:rStyle w:val="a4"/>
                  <w:rFonts w:ascii="Times New Roman" w:eastAsia="宋体" w:hAnsi="Times New Roman" w:cs="Times New Roman"/>
                  <w:kern w:val="0"/>
                  <w:sz w:val="20"/>
                  <w:szCs w:val="20"/>
                </w:rPr>
                <w:t>cutive Vice President and Chief Financial Officer, pursuant to Rule 13a-14(a) or Rule 15d-14(a) under the Securities Exchange Act of 1934, as adopted pursuant to Section 302 of the Sarbanes-Oxley Act of 2002.</w:t>
              </w:r>
            </w:hyperlink>
          </w:p>
        </w:tc>
      </w:tr>
      <w:tr w:rsidR="00D7560A" w14:paraId="59E4C709"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59E4C706" w14:textId="77777777" w:rsidR="00D7560A" w:rsidRDefault="001E3CAB">
            <w:pPr>
              <w:widowControl/>
              <w:jc w:val="right"/>
              <w:textAlignment w:val="top"/>
              <w:rPr>
                <w:rFonts w:ascii="宋体" w:eastAsia="宋体" w:hAnsi="宋体" w:cs="宋体"/>
                <w:kern w:val="0"/>
                <w:sz w:val="24"/>
              </w:rPr>
            </w:pPr>
            <w:hyperlink r:id="rId18" w:history="1">
              <w:r>
                <w:rPr>
                  <w:rStyle w:val="a4"/>
                  <w:rFonts w:ascii="Times New Roman" w:eastAsia="宋体" w:hAnsi="Times New Roman" w:cs="Times New Roman"/>
                  <w:kern w:val="0"/>
                  <w:sz w:val="20"/>
                  <w:szCs w:val="20"/>
                </w:rPr>
                <w:t>32.1†††</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C707"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59E4C708" w14:textId="77777777" w:rsidR="00D7560A" w:rsidRDefault="001E3CAB">
            <w:pPr>
              <w:widowControl/>
              <w:jc w:val="left"/>
              <w:textAlignment w:val="top"/>
              <w:rPr>
                <w:rFonts w:ascii="宋体" w:eastAsia="宋体" w:hAnsi="宋体" w:cs="宋体"/>
                <w:kern w:val="0"/>
                <w:sz w:val="24"/>
              </w:rPr>
            </w:pPr>
            <w:hyperlink r:id="rId19" w:history="1">
              <w:r>
                <w:rPr>
                  <w:rStyle w:val="a4"/>
                  <w:rFonts w:ascii="Times New Roman" w:eastAsia="宋体" w:hAnsi="Times New Roman" w:cs="Times New Roman"/>
                  <w:kern w:val="0"/>
                  <w:sz w:val="20"/>
                  <w:szCs w:val="20"/>
                </w:rPr>
                <w:t>Certifications of Michael S. Dell, Chairman and Chief Executive Officer, and Th</w:t>
              </w:r>
              <w:r>
                <w:rPr>
                  <w:rStyle w:val="a4"/>
                  <w:rFonts w:ascii="Times New Roman" w:eastAsia="宋体" w:hAnsi="Times New Roman" w:cs="Times New Roman"/>
                  <w:kern w:val="0"/>
                  <w:sz w:val="20"/>
                  <w:szCs w:val="20"/>
                </w:rPr>
                <w:t>omas W. Sweet, Executive Vice President and Chief Financial Officer, pursuant to Rule 13a-14(b) or Rule 15d-14(b) under the Securities Exchange Act of 1934 and 18 U.S.C. Section 1350, as adopted pursuant to Section 906 of the Sarbanes-Oxley Act of 2002.</w:t>
              </w:r>
            </w:hyperlink>
          </w:p>
        </w:tc>
      </w:tr>
      <w:tr w:rsidR="00D7560A" w14:paraId="59E4C70D"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59E4C70A" w14:textId="77777777" w:rsidR="00D7560A" w:rsidRDefault="001E3CAB">
            <w:pPr>
              <w:widowControl/>
              <w:jc w:val="righ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101 .INS††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C70B"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59E4C70C" w14:textId="77777777" w:rsidR="00D7560A" w:rsidRDefault="001E3CAB">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XBRL Instance Document - the instance document does not appear in the Interactive Data File because its XBRL tags are embedded within the Inline XBRL document.</w:t>
            </w:r>
          </w:p>
        </w:tc>
      </w:tr>
      <w:tr w:rsidR="00D7560A" w14:paraId="59E4C711"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59E4C70E" w14:textId="77777777" w:rsidR="00D7560A" w:rsidRDefault="001E3CAB">
            <w:pPr>
              <w:widowControl/>
              <w:jc w:val="righ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101 .SCH††</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C70F"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59E4C710" w14:textId="77777777" w:rsidR="00D7560A" w:rsidRDefault="001E3CAB">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Inline XBRL Taxonomy Extension Schema Document.</w:t>
            </w:r>
          </w:p>
        </w:tc>
      </w:tr>
      <w:tr w:rsidR="00D7560A" w14:paraId="59E4C715"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59E4C712" w14:textId="77777777" w:rsidR="00D7560A" w:rsidRDefault="001E3CAB">
            <w:pPr>
              <w:widowControl/>
              <w:jc w:val="righ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101 .CAL††</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C713"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59E4C714" w14:textId="77777777" w:rsidR="00D7560A" w:rsidRDefault="001E3CAB">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Inline XBRL Taxonomy Extension Calculation Linkbase Document.</w:t>
            </w:r>
          </w:p>
        </w:tc>
      </w:tr>
      <w:tr w:rsidR="00D7560A" w14:paraId="59E4C719"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59E4C716" w14:textId="77777777" w:rsidR="00D7560A" w:rsidRDefault="001E3CAB">
            <w:pPr>
              <w:widowControl/>
              <w:jc w:val="righ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101 .DEF††</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C717"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59E4C718" w14:textId="77777777" w:rsidR="00D7560A" w:rsidRDefault="001E3CAB">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Inline XBRL Taxonomy Extension Definition Linkbase Document.</w:t>
            </w:r>
          </w:p>
        </w:tc>
      </w:tr>
      <w:tr w:rsidR="00D7560A" w14:paraId="59E4C71D"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59E4C71A" w14:textId="77777777" w:rsidR="00D7560A" w:rsidRDefault="001E3CAB">
            <w:pPr>
              <w:widowControl/>
              <w:jc w:val="righ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101 .LAB††</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C71B"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59E4C71C" w14:textId="77777777" w:rsidR="00D7560A" w:rsidRDefault="001E3CAB">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Inline XBRL Taxonomy Extension Label Linkbase Document.</w:t>
            </w:r>
          </w:p>
        </w:tc>
      </w:tr>
      <w:tr w:rsidR="00D7560A" w14:paraId="59E4C721"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59E4C71E" w14:textId="77777777" w:rsidR="00D7560A" w:rsidRDefault="001E3CAB">
            <w:pPr>
              <w:widowControl/>
              <w:jc w:val="righ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101 .PRE††</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C71F"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59E4C720" w14:textId="77777777" w:rsidR="00D7560A" w:rsidRDefault="001E3CAB">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Inline XBRL Taxonomy </w:t>
            </w:r>
            <w:r>
              <w:rPr>
                <w:rFonts w:ascii="Times New Roman" w:eastAsia="宋体" w:hAnsi="Times New Roman" w:cs="Times New Roman"/>
                <w:color w:val="000000"/>
                <w:kern w:val="0"/>
                <w:sz w:val="20"/>
                <w:szCs w:val="20"/>
                <w:lang w:bidi="ar"/>
              </w:rPr>
              <w:t>Extension Presentation Linkbase Document.</w:t>
            </w:r>
          </w:p>
        </w:tc>
      </w:tr>
      <w:tr w:rsidR="00D7560A" w14:paraId="59E4C725"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59E4C722" w14:textId="77777777" w:rsidR="00D7560A" w:rsidRDefault="001E3CAB">
            <w:pPr>
              <w:widowControl/>
              <w:jc w:val="righ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104 ††</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C723"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59E4C724" w14:textId="77777777" w:rsidR="00D7560A" w:rsidRDefault="001E3CAB">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Cover Page Interactive Data File - the cover page XBRL tags are embedded within the Inline XBRL document (included in Exhibit 101).</w:t>
            </w:r>
          </w:p>
        </w:tc>
      </w:tr>
    </w:tbl>
    <w:p w14:paraId="59E4C726" w14:textId="77777777" w:rsidR="00D7560A" w:rsidRDefault="001E3CAB">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4993" w:type="pct"/>
        <w:jc w:val="center"/>
        <w:tblCellMar>
          <w:top w:w="15" w:type="dxa"/>
          <w:left w:w="15" w:type="dxa"/>
          <w:bottom w:w="15" w:type="dxa"/>
          <w:right w:w="15" w:type="dxa"/>
        </w:tblCellMar>
        <w:tblLook w:val="04A0" w:firstRow="1" w:lastRow="0" w:firstColumn="1" w:lastColumn="0" w:noHBand="0" w:noVBand="1"/>
      </w:tblPr>
      <w:tblGrid>
        <w:gridCol w:w="60"/>
        <w:gridCol w:w="970"/>
        <w:gridCol w:w="36"/>
        <w:gridCol w:w="36"/>
        <w:gridCol w:w="36"/>
        <w:gridCol w:w="36"/>
        <w:gridCol w:w="46"/>
        <w:gridCol w:w="7067"/>
        <w:gridCol w:w="37"/>
      </w:tblGrid>
      <w:tr w:rsidR="00D7560A" w14:paraId="59E4C730" w14:textId="77777777">
        <w:trPr>
          <w:jc w:val="center"/>
        </w:trPr>
        <w:tc>
          <w:tcPr>
            <w:tcW w:w="50" w:type="pct"/>
            <w:tcBorders>
              <w:top w:val="nil"/>
              <w:left w:val="nil"/>
              <w:bottom w:val="nil"/>
              <w:right w:val="nil"/>
            </w:tcBorders>
            <w:shd w:val="clear" w:color="auto" w:fill="auto"/>
            <w:vAlign w:val="bottom"/>
          </w:tcPr>
          <w:p w14:paraId="59E4C727" w14:textId="77777777" w:rsidR="00D7560A" w:rsidRDefault="00D7560A">
            <w:pPr>
              <w:widowControl/>
              <w:jc w:val="left"/>
              <w:rPr>
                <w:rFonts w:ascii="Times New Roman" w:eastAsia="宋体" w:hAnsi="宋体" w:cs="宋体"/>
                <w:kern w:val="0"/>
                <w:sz w:val="24"/>
              </w:rPr>
            </w:pPr>
          </w:p>
        </w:tc>
        <w:tc>
          <w:tcPr>
            <w:tcW w:w="596" w:type="pct"/>
            <w:tcBorders>
              <w:top w:val="nil"/>
              <w:left w:val="nil"/>
              <w:bottom w:val="single" w:sz="8" w:space="0" w:color="000000"/>
              <w:right w:val="nil"/>
            </w:tcBorders>
            <w:shd w:val="clear" w:color="auto" w:fill="auto"/>
            <w:vAlign w:val="bottom"/>
          </w:tcPr>
          <w:p w14:paraId="59E4C728"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single" w:sz="8" w:space="0" w:color="000000"/>
              <w:right w:val="nil"/>
            </w:tcBorders>
            <w:shd w:val="clear" w:color="auto" w:fill="auto"/>
            <w:vAlign w:val="bottom"/>
          </w:tcPr>
          <w:p w14:paraId="59E4C729"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C72A" w14:textId="77777777" w:rsidR="00D7560A" w:rsidRDefault="00D7560A">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59E4C72B"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C72C"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C72D" w14:textId="77777777" w:rsidR="00D7560A" w:rsidRDefault="00D7560A">
            <w:pPr>
              <w:widowControl/>
              <w:jc w:val="left"/>
              <w:rPr>
                <w:rFonts w:ascii="Times New Roman" w:eastAsia="宋体" w:hAnsi="宋体" w:cs="宋体"/>
                <w:kern w:val="0"/>
                <w:sz w:val="24"/>
              </w:rPr>
            </w:pPr>
          </w:p>
        </w:tc>
        <w:tc>
          <w:tcPr>
            <w:tcW w:w="4256" w:type="pct"/>
            <w:tcBorders>
              <w:top w:val="nil"/>
              <w:left w:val="nil"/>
              <w:bottom w:val="nil"/>
              <w:right w:val="nil"/>
            </w:tcBorders>
            <w:shd w:val="clear" w:color="auto" w:fill="auto"/>
            <w:vAlign w:val="bottom"/>
          </w:tcPr>
          <w:p w14:paraId="59E4C72E"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C72F" w14:textId="77777777" w:rsidR="00D7560A" w:rsidRDefault="00D7560A">
            <w:pPr>
              <w:widowControl/>
              <w:jc w:val="left"/>
              <w:rPr>
                <w:rFonts w:ascii="Times New Roman" w:eastAsia="宋体" w:hAnsi="宋体" w:cs="宋体"/>
                <w:kern w:val="0"/>
                <w:sz w:val="24"/>
              </w:rPr>
            </w:pPr>
          </w:p>
        </w:tc>
      </w:tr>
      <w:tr w:rsidR="00D7560A" w14:paraId="59E4C734" w14:textId="77777777">
        <w:trPr>
          <w:jc w:val="center"/>
        </w:trPr>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tcPr>
          <w:p w14:paraId="59E4C731" w14:textId="77777777" w:rsidR="00D7560A" w:rsidRDefault="001E3CAB">
            <w:pPr>
              <w:widowControl/>
              <w:jc w:val="righ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C732"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9E4C733"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Filed with this report.</w:t>
            </w:r>
          </w:p>
        </w:tc>
      </w:tr>
      <w:tr w:rsidR="00D7560A" w14:paraId="59E4C738"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59E4C735" w14:textId="77777777" w:rsidR="00D7560A" w:rsidRDefault="001E3CAB">
            <w:pPr>
              <w:widowControl/>
              <w:jc w:val="righ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C736"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9E4C737"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Furnished with this </w:t>
            </w:r>
            <w:r>
              <w:rPr>
                <w:rFonts w:ascii="Times New Roman" w:eastAsia="宋体" w:hAnsi="Times New Roman" w:cs="Times New Roman"/>
                <w:color w:val="000000"/>
                <w:kern w:val="0"/>
                <w:sz w:val="20"/>
                <w:szCs w:val="20"/>
                <w:lang w:bidi="ar"/>
              </w:rPr>
              <w:t>report.</w:t>
            </w:r>
          </w:p>
        </w:tc>
      </w:tr>
    </w:tbl>
    <w:p w14:paraId="59E4C739"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C73A"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C73B"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91</w:t>
      </w:r>
    </w:p>
    <w:p w14:paraId="59E4C73C"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C73D" w14:textId="77777777" w:rsidR="00D7560A" w:rsidRDefault="001E3CAB">
      <w:pPr>
        <w:widowControl/>
        <w:jc w:val="center"/>
      </w:pPr>
      <w:r>
        <w:rPr>
          <w:rFonts w:ascii="宋体" w:eastAsia="宋体" w:hAnsi="宋体" w:cs="宋体"/>
          <w:kern w:val="0"/>
          <w:sz w:val="24"/>
        </w:rPr>
        <w:pict w14:anchorId="59E4C826">
          <v:rect id="_x0000_i1115" style="width:6in;height:1.5pt" o:hralign="center" o:hrstd="t" o:hr="t" fillcolor="#a0a0a0" stroked="f"/>
        </w:pict>
      </w:r>
    </w:p>
    <w:p w14:paraId="59E4C73E" w14:textId="77777777" w:rsidR="00D7560A" w:rsidRDefault="001E3CAB">
      <w:pPr>
        <w:widowControl/>
        <w:jc w:val="left"/>
        <w:rPr>
          <w:rFonts w:ascii="宋体" w:eastAsia="宋体" w:hAnsi="宋体" w:cs="宋体"/>
          <w:kern w:val="0"/>
          <w:sz w:val="24"/>
        </w:rPr>
      </w:pPr>
      <w:hyperlink w:anchor="if933dd1d5d004d2495dd7029e3ecad00_13" w:history="1">
        <w:r>
          <w:rPr>
            <w:rStyle w:val="a4"/>
            <w:rFonts w:ascii="Times New Roman" w:eastAsia="宋体" w:hAnsi="Times New Roman" w:cs="Times New Roman"/>
            <w:sz w:val="20"/>
            <w:szCs w:val="20"/>
          </w:rPr>
          <w:t>Table of Contents</w:t>
        </w:r>
      </w:hyperlink>
    </w:p>
    <w:p w14:paraId="59E4C73F"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SIGNATURES</w:t>
      </w:r>
    </w:p>
    <w:p w14:paraId="59E4C740"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C741"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shd w:val="clear" w:color="auto" w:fill="FFFFFF"/>
          <w:lang w:bidi="ar"/>
        </w:rPr>
        <w:t xml:space="preserve">Pursuant to the requirements of the Securities Exchange Act of 1934, the registrant has duly caused this report to be signed on its behalf by </w:t>
      </w:r>
      <w:r>
        <w:rPr>
          <w:rFonts w:ascii="Times New Roman" w:eastAsia="宋体" w:hAnsi="Times New Roman" w:cs="Times New Roman"/>
          <w:color w:val="000000"/>
          <w:kern w:val="0"/>
          <w:sz w:val="20"/>
          <w:szCs w:val="20"/>
          <w:shd w:val="clear" w:color="auto" w:fill="FFFFFF"/>
          <w:lang w:bidi="ar"/>
        </w:rPr>
        <w:t>the undersigned, thereunto duly authorized.</w:t>
      </w:r>
    </w:p>
    <w:p w14:paraId="59E4C742"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 </w:t>
      </w:r>
    </w:p>
    <w:tbl>
      <w:tblPr>
        <w:tblW w:w="4795" w:type="pct"/>
        <w:tblInd w:w="93" w:type="dxa"/>
        <w:tblCellMar>
          <w:top w:w="15" w:type="dxa"/>
          <w:left w:w="15" w:type="dxa"/>
          <w:bottom w:w="15" w:type="dxa"/>
          <w:right w:w="15" w:type="dxa"/>
        </w:tblCellMar>
        <w:tblLook w:val="04A0" w:firstRow="1" w:lastRow="0" w:firstColumn="1" w:lastColumn="0" w:noHBand="0" w:noVBand="1"/>
      </w:tblPr>
      <w:tblGrid>
        <w:gridCol w:w="65"/>
        <w:gridCol w:w="3297"/>
        <w:gridCol w:w="36"/>
        <w:gridCol w:w="78"/>
        <w:gridCol w:w="244"/>
        <w:gridCol w:w="37"/>
        <w:gridCol w:w="49"/>
        <w:gridCol w:w="4152"/>
        <w:gridCol w:w="36"/>
      </w:tblGrid>
      <w:tr w:rsidR="00D7560A" w14:paraId="59E4C74C" w14:textId="77777777">
        <w:tc>
          <w:tcPr>
            <w:tcW w:w="50" w:type="pct"/>
            <w:tcBorders>
              <w:top w:val="nil"/>
              <w:left w:val="nil"/>
              <w:bottom w:val="nil"/>
              <w:right w:val="nil"/>
            </w:tcBorders>
            <w:shd w:val="clear" w:color="auto" w:fill="auto"/>
            <w:vAlign w:val="bottom"/>
          </w:tcPr>
          <w:p w14:paraId="59E4C743" w14:textId="77777777" w:rsidR="00D7560A" w:rsidRDefault="00D7560A">
            <w:pPr>
              <w:widowControl/>
              <w:jc w:val="left"/>
              <w:rPr>
                <w:rFonts w:ascii="Times New Roman" w:eastAsia="宋体" w:hAnsi="宋体" w:cs="宋体"/>
                <w:kern w:val="0"/>
                <w:sz w:val="24"/>
              </w:rPr>
            </w:pPr>
          </w:p>
        </w:tc>
        <w:tc>
          <w:tcPr>
            <w:tcW w:w="2071" w:type="pct"/>
            <w:tcBorders>
              <w:top w:val="nil"/>
              <w:left w:val="nil"/>
              <w:bottom w:val="nil"/>
              <w:right w:val="nil"/>
            </w:tcBorders>
            <w:shd w:val="clear" w:color="auto" w:fill="auto"/>
            <w:vAlign w:val="bottom"/>
          </w:tcPr>
          <w:p w14:paraId="59E4C744"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C745"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C746" w14:textId="77777777" w:rsidR="00D7560A" w:rsidRDefault="00D7560A">
            <w:pPr>
              <w:widowControl/>
              <w:jc w:val="left"/>
              <w:rPr>
                <w:rFonts w:ascii="Times New Roman" w:eastAsia="宋体" w:hAnsi="宋体" w:cs="宋体"/>
                <w:kern w:val="0"/>
                <w:sz w:val="24"/>
              </w:rPr>
            </w:pPr>
          </w:p>
        </w:tc>
        <w:tc>
          <w:tcPr>
            <w:tcW w:w="158" w:type="pct"/>
            <w:tcBorders>
              <w:top w:val="nil"/>
              <w:left w:val="nil"/>
              <w:bottom w:val="nil"/>
              <w:right w:val="nil"/>
            </w:tcBorders>
            <w:shd w:val="clear" w:color="auto" w:fill="auto"/>
            <w:vAlign w:val="bottom"/>
          </w:tcPr>
          <w:p w14:paraId="59E4C747"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C748" w14:textId="77777777" w:rsidR="00D7560A" w:rsidRDefault="00D7560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59E4C749" w14:textId="77777777" w:rsidR="00D7560A" w:rsidRDefault="00D7560A">
            <w:pPr>
              <w:widowControl/>
              <w:jc w:val="left"/>
              <w:rPr>
                <w:rFonts w:ascii="Times New Roman" w:eastAsia="宋体" w:hAnsi="宋体" w:cs="宋体"/>
                <w:kern w:val="0"/>
                <w:sz w:val="24"/>
              </w:rPr>
            </w:pPr>
          </w:p>
        </w:tc>
        <w:tc>
          <w:tcPr>
            <w:tcW w:w="2605" w:type="pct"/>
            <w:tcBorders>
              <w:top w:val="nil"/>
              <w:left w:val="nil"/>
              <w:bottom w:val="nil"/>
              <w:right w:val="nil"/>
            </w:tcBorders>
            <w:shd w:val="clear" w:color="auto" w:fill="auto"/>
            <w:vAlign w:val="bottom"/>
          </w:tcPr>
          <w:p w14:paraId="59E4C74A" w14:textId="77777777" w:rsidR="00D7560A" w:rsidRDefault="00D7560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59E4C74B" w14:textId="77777777" w:rsidR="00D7560A" w:rsidRDefault="00D7560A">
            <w:pPr>
              <w:widowControl/>
              <w:jc w:val="left"/>
              <w:rPr>
                <w:rFonts w:ascii="Times New Roman" w:eastAsia="宋体" w:hAnsi="宋体" w:cs="宋体"/>
                <w:kern w:val="0"/>
                <w:sz w:val="24"/>
              </w:rPr>
            </w:pPr>
          </w:p>
        </w:tc>
      </w:tr>
      <w:tr w:rsidR="00D7560A" w14:paraId="59E4C74F"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C74D" w14:textId="77777777" w:rsidR="00D7560A" w:rsidRDefault="00D7560A">
            <w:pPr>
              <w:widowControl/>
              <w:jc w:val="left"/>
              <w:rPr>
                <w:rFonts w:ascii="Times New Roman" w:eastAsia="宋体" w:hAnsi="宋体" w:cs="宋体"/>
                <w:kern w:val="0"/>
                <w:sz w:val="24"/>
              </w:rPr>
            </w:pPr>
          </w:p>
        </w:tc>
        <w:tc>
          <w:tcPr>
            <w:tcW w:w="0" w:type="auto"/>
            <w:gridSpan w:val="6"/>
            <w:tcBorders>
              <w:top w:val="nil"/>
              <w:left w:val="nil"/>
              <w:bottom w:val="nil"/>
              <w:right w:val="nil"/>
            </w:tcBorders>
            <w:shd w:val="clear" w:color="auto" w:fill="auto"/>
            <w:tcMar>
              <w:top w:w="40" w:type="dxa"/>
              <w:left w:w="20" w:type="dxa"/>
              <w:bottom w:w="40" w:type="dxa"/>
              <w:right w:w="20" w:type="dxa"/>
            </w:tcMar>
            <w:vAlign w:val="bottom"/>
          </w:tcPr>
          <w:p w14:paraId="59E4C74E" w14:textId="77777777" w:rsidR="00D7560A" w:rsidRDefault="001E3CAB">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DELL TECHNOLOGIES INC.</w:t>
            </w:r>
          </w:p>
        </w:tc>
      </w:tr>
      <w:tr w:rsidR="00D7560A" w14:paraId="59E4C753" w14:textId="77777777">
        <w:trPr>
          <w:trHeight w:val="30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C750"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C751"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C752" w14:textId="77777777" w:rsidR="00D7560A" w:rsidRDefault="00D7560A">
            <w:pPr>
              <w:widowControl/>
              <w:jc w:val="left"/>
              <w:rPr>
                <w:rFonts w:ascii="Times New Roman" w:eastAsia="宋体" w:hAnsi="宋体" w:cs="宋体"/>
                <w:kern w:val="0"/>
                <w:sz w:val="24"/>
              </w:rPr>
            </w:pPr>
          </w:p>
        </w:tc>
      </w:tr>
      <w:tr w:rsidR="00D7560A" w14:paraId="59E4C757"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59E4C754" w14:textId="77777777" w:rsidR="00D7560A" w:rsidRDefault="001E3CAB">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59E4C755" w14:textId="77777777" w:rsidR="00D7560A" w:rsidRDefault="001E3CAB">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By:</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9E4C756"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/s/ BRUNILDA RIOS</w:t>
            </w:r>
          </w:p>
        </w:tc>
      </w:tr>
      <w:tr w:rsidR="00D7560A" w14:paraId="59E4C75B"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C758"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C759" w14:textId="77777777" w:rsidR="00D7560A" w:rsidRDefault="00D7560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59E4C75A"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Brunilda Rios</w:t>
            </w:r>
          </w:p>
        </w:tc>
      </w:tr>
      <w:tr w:rsidR="00D7560A" w14:paraId="59E4C75F"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C75C"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C75D"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9E4C75E"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i/>
                <w:iCs/>
                <w:color w:val="000000"/>
                <w:kern w:val="0"/>
                <w:sz w:val="20"/>
                <w:szCs w:val="20"/>
                <w:lang w:bidi="ar"/>
              </w:rPr>
              <w:t>Senior Vice President, Corporate Finance and</w:t>
            </w:r>
          </w:p>
        </w:tc>
      </w:tr>
      <w:tr w:rsidR="00D7560A" w14:paraId="59E4C763"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C760"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C761"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9E4C762"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i/>
                <w:iCs/>
                <w:color w:val="000000"/>
                <w:kern w:val="0"/>
                <w:sz w:val="20"/>
                <w:szCs w:val="20"/>
                <w:lang w:bidi="ar"/>
              </w:rPr>
              <w:t>Chief Accounting Officer</w:t>
            </w:r>
          </w:p>
        </w:tc>
      </w:tr>
      <w:tr w:rsidR="00D7560A" w14:paraId="59E4C767"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C764"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59E4C765" w14:textId="77777777" w:rsidR="00D7560A" w:rsidRDefault="00D7560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59E4C766" w14:textId="77777777" w:rsidR="00D7560A" w:rsidRDefault="001E3CAB">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(On behalf of registrant and as principal </w:t>
            </w:r>
            <w:r>
              <w:rPr>
                <w:rFonts w:ascii="Times New Roman" w:eastAsia="宋体" w:hAnsi="Times New Roman" w:cs="Times New Roman"/>
                <w:color w:val="000000"/>
                <w:kern w:val="0"/>
                <w:sz w:val="20"/>
                <w:szCs w:val="20"/>
                <w:lang w:bidi="ar"/>
              </w:rPr>
              <w:t>accounting officer)</w:t>
            </w:r>
          </w:p>
        </w:tc>
      </w:tr>
    </w:tbl>
    <w:p w14:paraId="59E4C768"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C769" w14:textId="77777777" w:rsidR="00D7560A" w:rsidRDefault="001E3CAB">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shd w:val="clear" w:color="auto" w:fill="FFFFFF"/>
          <w:lang w:bidi="ar"/>
        </w:rPr>
        <w:t>Dat</w:t>
      </w:r>
      <w:r>
        <w:rPr>
          <w:rFonts w:ascii="Times New Roman" w:eastAsia="宋体" w:hAnsi="Times New Roman" w:cs="Times New Roman"/>
          <w:color w:val="000000"/>
          <w:kern w:val="0"/>
          <w:sz w:val="20"/>
          <w:szCs w:val="20"/>
          <w:lang w:bidi="ar"/>
        </w:rPr>
        <w:t xml:space="preserve">e: September 1, 2022 </w:t>
      </w:r>
    </w:p>
    <w:p w14:paraId="59E4C76A"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C76B"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C76C"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C76D"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C76E"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C76F"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C770"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C771"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C772"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C773"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C774"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C775"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C776"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C777"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C778"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C779"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C77A"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C77B"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C77C"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C77D"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C77E"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C77F"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C780"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C781"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C782"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C783"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C784"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C785"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59E4C786"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C787" w14:textId="77777777" w:rsidR="00D7560A" w:rsidRDefault="001E3CAB">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92</w:t>
      </w:r>
    </w:p>
    <w:p w14:paraId="59E4C788" w14:textId="77777777" w:rsidR="00D7560A" w:rsidRDefault="001E3CA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59E4C789"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Copy and Paste Below Content. </w:t>
      </w:r>
      <w:r>
        <w:rPr>
          <w:rFonts w:ascii="宋体" w:eastAsia="宋体" w:hAnsi="宋体" w:cs="宋体" w:hint="eastAsia"/>
          <w:noProof/>
          <w:kern w:val="0"/>
          <w:sz w:val="24"/>
          <w:lang w:bidi="ar"/>
        </w:rPr>
        <w:drawing>
          <wp:inline distT="0" distB="0" distL="114300" distR="114300" wp14:anchorId="59E4C827" wp14:editId="59E4C828">
            <wp:extent cx="38100" cy="38100"/>
            <wp:effectExtent l="0" t="0" r="12700" b="12700"/>
            <wp:docPr id="29" name="图片 125" descr="IMG_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25" descr="IMG_288"/>
                    <pic:cNvPicPr>
                      <a:picLocks noChangeAspect="1"/>
                    </pic:cNvPicPr>
                  </pic:nvPicPr>
                  <pic:blipFill>
                    <a:blip r:embed="rId20"/>
                    <a:stretch>
                      <a:fillRect/>
                    </a:stretch>
                  </pic:blipFill>
                  <pic:spPr>
                    <a:xfrm>
                      <a:off x="0" y="0"/>
                      <a:ext cx="38100" cy="38100"/>
                    </a:xfrm>
                    <a:prstGeom prst="rect">
                      <a:avLst/>
                    </a:prstGeom>
                    <a:noFill/>
                    <a:ln w="9525">
                      <a:noFill/>
                    </a:ln>
                  </pic:spPr>
                </pic:pic>
              </a:graphicData>
            </a:graphic>
          </wp:inline>
        </w:drawing>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D7560A" w14:paraId="59E4C78B" w14:textId="77777777">
        <w:trPr>
          <w:tblCellSpacing w:w="15" w:type="dxa"/>
        </w:trPr>
        <w:tc>
          <w:tcPr>
            <w:tcW w:w="0" w:type="auto"/>
            <w:tcBorders>
              <w:top w:val="nil"/>
              <w:left w:val="nil"/>
              <w:bottom w:val="nil"/>
              <w:right w:val="nil"/>
            </w:tcBorders>
            <w:shd w:val="clear" w:color="auto" w:fill="auto"/>
            <w:vAlign w:val="center"/>
          </w:tcPr>
          <w:p w14:paraId="59E4C78A" w14:textId="77777777" w:rsidR="00D7560A" w:rsidRDefault="00D7560A">
            <w:pPr>
              <w:widowControl/>
              <w:jc w:val="left"/>
              <w:rPr>
                <w:rFonts w:ascii="Times New Roman" w:eastAsia="宋体" w:hAnsi="宋体" w:cs="宋体"/>
                <w:kern w:val="0"/>
                <w:sz w:val="24"/>
              </w:rPr>
            </w:pPr>
          </w:p>
        </w:tc>
      </w:tr>
    </w:tbl>
    <w:p w14:paraId="59E4C78C" w14:textId="77777777" w:rsidR="00D7560A" w:rsidRDefault="001E3CAB">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D7560A" w14:paraId="59E4C78E" w14:textId="77777777">
        <w:trPr>
          <w:tblCellSpacing w:w="15" w:type="dxa"/>
        </w:trPr>
        <w:tc>
          <w:tcPr>
            <w:tcW w:w="0" w:type="auto"/>
            <w:tcBorders>
              <w:top w:val="nil"/>
              <w:left w:val="nil"/>
              <w:bottom w:val="nil"/>
              <w:right w:val="nil"/>
            </w:tcBorders>
            <w:shd w:val="clear" w:color="auto" w:fill="auto"/>
            <w:vAlign w:val="center"/>
          </w:tcPr>
          <w:p w14:paraId="59E4C78D" w14:textId="77777777" w:rsidR="00D7560A" w:rsidRDefault="00D7560A">
            <w:pPr>
              <w:widowControl/>
              <w:jc w:val="left"/>
              <w:rPr>
                <w:rFonts w:ascii="Times New Roman" w:eastAsia="宋体" w:hAnsi="宋体" w:cs="宋体"/>
                <w:kern w:val="0"/>
                <w:sz w:val="24"/>
              </w:rPr>
            </w:pPr>
          </w:p>
        </w:tc>
      </w:tr>
    </w:tbl>
    <w:p w14:paraId="59E4C78F" w14:textId="77777777" w:rsidR="00D7560A" w:rsidRDefault="001E3CAB">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D7560A" w14:paraId="59E4C791" w14:textId="77777777">
        <w:trPr>
          <w:tblCellSpacing w:w="15" w:type="dxa"/>
        </w:trPr>
        <w:tc>
          <w:tcPr>
            <w:tcW w:w="0" w:type="auto"/>
            <w:tcBorders>
              <w:top w:val="nil"/>
              <w:left w:val="nil"/>
              <w:bottom w:val="nil"/>
              <w:right w:val="nil"/>
            </w:tcBorders>
            <w:shd w:val="clear" w:color="auto" w:fill="auto"/>
            <w:vAlign w:val="center"/>
          </w:tcPr>
          <w:p w14:paraId="59E4C790" w14:textId="77777777" w:rsidR="00D7560A" w:rsidRDefault="00D7560A">
            <w:pPr>
              <w:widowControl/>
              <w:jc w:val="left"/>
              <w:rPr>
                <w:rFonts w:ascii="Times New Roman" w:eastAsia="宋体" w:hAnsi="宋体" w:cs="宋体"/>
                <w:kern w:val="0"/>
                <w:sz w:val="24"/>
              </w:rPr>
            </w:pPr>
          </w:p>
        </w:tc>
      </w:tr>
    </w:tbl>
    <w:p w14:paraId="59E4C792" w14:textId="77777777" w:rsidR="00D7560A" w:rsidRDefault="001E3CAB">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D7560A" w14:paraId="59E4C794" w14:textId="77777777">
        <w:trPr>
          <w:tblCellSpacing w:w="15" w:type="dxa"/>
        </w:trPr>
        <w:tc>
          <w:tcPr>
            <w:tcW w:w="0" w:type="auto"/>
            <w:tcBorders>
              <w:top w:val="nil"/>
              <w:left w:val="nil"/>
              <w:bottom w:val="nil"/>
              <w:right w:val="nil"/>
            </w:tcBorders>
            <w:shd w:val="clear" w:color="auto" w:fill="auto"/>
            <w:vAlign w:val="center"/>
          </w:tcPr>
          <w:p w14:paraId="59E4C793" w14:textId="77777777" w:rsidR="00D7560A" w:rsidRDefault="00D7560A">
            <w:pPr>
              <w:widowControl/>
              <w:jc w:val="left"/>
              <w:rPr>
                <w:rFonts w:ascii="Times New Roman" w:eastAsia="宋体" w:hAnsi="宋体" w:cs="宋体"/>
                <w:kern w:val="0"/>
                <w:sz w:val="24"/>
              </w:rPr>
            </w:pPr>
          </w:p>
        </w:tc>
      </w:tr>
    </w:tbl>
    <w:p w14:paraId="59E4C795"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Previous Next </w:t>
      </w:r>
    </w:p>
    <w:p w14:paraId="59E4C796" w14:textId="77777777" w:rsidR="00D7560A" w:rsidRDefault="001E3CAB">
      <w:pPr>
        <w:pStyle w:val="a3"/>
        <w:widowControl/>
        <w:rPr>
          <w:rFonts w:cs="宋体"/>
        </w:rPr>
      </w:pPr>
      <w:r>
        <w:rPr>
          <w:rFonts w:cs="宋体" w:hint="eastAsia"/>
          <w:lang w:bidi="ar"/>
        </w:rPr>
        <w:t>Settings</w:t>
      </w:r>
    </w:p>
    <w:p w14:paraId="59E4C797" w14:textId="77777777" w:rsidR="00D7560A" w:rsidRDefault="001E3CAB">
      <w:pPr>
        <w:pStyle w:val="z-10"/>
        <w:widowControl/>
        <w:rPr>
          <w:rFonts w:cs="宋体"/>
        </w:rPr>
      </w:pPr>
      <w:r>
        <w:rPr>
          <w:rFonts w:ascii="宋体" w:cs="宋体" w:hint="eastAsia"/>
        </w:rPr>
        <w:t>窗体顶端</w:t>
      </w:r>
    </w:p>
    <w:p w14:paraId="59E4C798"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Hover over Fact for quick information. </w:t>
      </w:r>
      <w:r>
        <w:rPr>
          <w:rFonts w:ascii="宋体" w:eastAsia="宋体" w:hAnsi="宋体" w:cs="宋体" w:hint="eastAsia"/>
          <w:noProof/>
          <w:kern w:val="0"/>
          <w:sz w:val="24"/>
          <w:lang w:bidi="ar"/>
        </w:rPr>
        <w:drawing>
          <wp:inline distT="0" distB="0" distL="114300" distR="114300" wp14:anchorId="59E4C829" wp14:editId="59E4C82A">
            <wp:extent cx="38100" cy="38100"/>
            <wp:effectExtent l="0" t="0" r="12700" b="12700"/>
            <wp:docPr id="28" name="图片 126" descr="IMG_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26" descr="IMG_289"/>
                    <pic:cNvPicPr>
                      <a:picLocks noChangeAspect="1"/>
                    </pic:cNvPicPr>
                  </pic:nvPicPr>
                  <pic:blipFill>
                    <a:blip r:embed="rId20"/>
                    <a:stretch>
                      <a:fillRect/>
                    </a:stretch>
                  </pic:blipFill>
                  <pic:spPr>
                    <a:xfrm>
                      <a:off x="0" y="0"/>
                      <a:ext cx="38100" cy="38100"/>
                    </a:xfrm>
                    <a:prstGeom prst="rect">
                      <a:avLst/>
                    </a:prstGeom>
                    <a:noFill/>
                    <a:ln w="9525">
                      <a:noFill/>
                    </a:ln>
                  </pic:spPr>
                </pic:pic>
              </a:graphicData>
            </a:graphic>
          </wp:inline>
        </w:drawing>
      </w:r>
      <w:r>
        <w:rPr>
          <w:rFonts w:ascii="宋体" w:eastAsia="宋体" w:hAnsi="宋体" w:cs="宋体" w:hint="eastAsia"/>
          <w:kern w:val="0"/>
          <w:sz w:val="24"/>
          <w:lang w:bidi="ar"/>
        </w:rPr>
        <w:t xml:space="preserve"> </w:t>
      </w:r>
    </w:p>
    <w:p w14:paraId="59E4C799"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Auto Scrolling Position </w:t>
      </w:r>
      <w:r>
        <w:rPr>
          <w:rFonts w:ascii="宋体" w:eastAsia="宋体" w:hAnsi="宋体" w:cs="宋体" w:hint="eastAsia"/>
          <w:noProof/>
          <w:kern w:val="0"/>
          <w:sz w:val="24"/>
          <w:lang w:bidi="ar"/>
        </w:rPr>
        <w:drawing>
          <wp:inline distT="0" distB="0" distL="114300" distR="114300" wp14:anchorId="59E4C82B" wp14:editId="59E4C82C">
            <wp:extent cx="38100" cy="38100"/>
            <wp:effectExtent l="0" t="0" r="12700" b="12700"/>
            <wp:docPr id="3" name="图片 127" descr="IMG_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27" descr="IMG_290"/>
                    <pic:cNvPicPr>
                      <a:picLocks noChangeAspect="1"/>
                    </pic:cNvPicPr>
                  </pic:nvPicPr>
                  <pic:blipFill>
                    <a:blip r:embed="rId20"/>
                    <a:stretch>
                      <a:fillRect/>
                    </a:stretch>
                  </pic:blipFill>
                  <pic:spPr>
                    <a:xfrm>
                      <a:off x="0" y="0"/>
                      <a:ext cx="38100" cy="38100"/>
                    </a:xfrm>
                    <a:prstGeom prst="rect">
                      <a:avLst/>
                    </a:prstGeom>
                    <a:noFill/>
                    <a:ln w="9525">
                      <a:noFill/>
                    </a:ln>
                  </pic:spPr>
                </pic:pic>
              </a:graphicData>
            </a:graphic>
          </wp:inline>
        </w:drawing>
      </w:r>
      <w:r>
        <w:rPr>
          <w:rFonts w:ascii="宋体" w:eastAsia="宋体" w:hAnsi="宋体" w:cs="宋体" w:hint="eastAsia"/>
          <w:kern w:val="0"/>
          <w:sz w:val="24"/>
          <w:lang w:bidi="ar"/>
        </w:rPr>
        <w:t xml:space="preserve"> Selecting a fact from the Sections Menu or the Fact Menu will automatically scroll that element to the (Top, or Middle) of the viewer window. This setting will have no use on IE 10, or Saf</w:t>
      </w:r>
      <w:r>
        <w:rPr>
          <w:rFonts w:ascii="宋体" w:eastAsia="宋体" w:hAnsi="宋体" w:cs="宋体" w:hint="eastAsia"/>
          <w:kern w:val="0"/>
          <w:sz w:val="24"/>
          <w:lang w:bidi="ar"/>
        </w:rPr>
        <w:t xml:space="preserve">ari. </w:t>
      </w:r>
    </w:p>
    <w:p w14:paraId="59E4C79A" w14:textId="77777777" w:rsidR="00D7560A" w:rsidRDefault="001E3CAB">
      <w:pPr>
        <w:widowControl/>
        <w:jc w:val="center"/>
      </w:pPr>
      <w:r>
        <w:rPr>
          <w:rFonts w:ascii="宋体" w:eastAsia="宋体" w:hAnsi="宋体" w:cs="宋体"/>
          <w:kern w:val="0"/>
          <w:sz w:val="24"/>
        </w:rPr>
        <w:pict w14:anchorId="59E4C82D">
          <v:rect id="_x0000_i1116" style="width:6in;height:1.5pt" o:hralign="center" o:hrstd="t" o:hr="t" fillcolor="#a0a0a0" stroked="f"/>
        </w:pict>
      </w:r>
    </w:p>
    <w:p w14:paraId="59E4C79B"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Tagged Data </w:t>
      </w:r>
    </w:p>
    <w:p w14:paraId="59E4C79C" w14:textId="77777777" w:rsidR="00D7560A" w:rsidRDefault="001E3CAB">
      <w:pPr>
        <w:widowControl/>
        <w:jc w:val="left"/>
        <w:rPr>
          <w:rFonts w:ascii="宋体" w:eastAsia="宋体" w:hAnsi="宋体" w:cs="宋体"/>
          <w:kern w:val="0"/>
          <w:sz w:val="24"/>
        </w:rPr>
      </w:pPr>
      <w:r>
        <w:rPr>
          <w:rFonts w:ascii="宋体" w:eastAsia="宋体" w:hAnsi="宋体" w:cs="宋体" w:hint="eastAsia"/>
          <w:noProof/>
          <w:kern w:val="0"/>
          <w:sz w:val="24"/>
          <w:lang w:bidi="ar"/>
        </w:rPr>
        <w:drawing>
          <wp:inline distT="0" distB="0" distL="114300" distR="114300" wp14:anchorId="59E4C82E" wp14:editId="59E4C82F">
            <wp:extent cx="38100" cy="38100"/>
            <wp:effectExtent l="0" t="0" r="12700" b="12700"/>
            <wp:docPr id="31" name="图片 129" descr="IMG_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29" descr="IMG_291"/>
                    <pic:cNvPicPr>
                      <a:picLocks noChangeAspect="1"/>
                    </pic:cNvPicPr>
                  </pic:nvPicPr>
                  <pic:blipFill>
                    <a:blip r:embed="rId20"/>
                    <a:stretch>
                      <a:fillRect/>
                    </a:stretch>
                  </pic:blipFill>
                  <pic:spPr>
                    <a:xfrm>
                      <a:off x="0" y="0"/>
                      <a:ext cx="38100" cy="38100"/>
                    </a:xfrm>
                    <a:prstGeom prst="rect">
                      <a:avLst/>
                    </a:prstGeom>
                    <a:noFill/>
                    <a:ln w="9525">
                      <a:noFill/>
                    </a:ln>
                  </pic:spPr>
                </pic:pic>
              </a:graphicData>
            </a:graphic>
          </wp:inline>
        </w:drawing>
      </w:r>
      <w:r>
        <w:rPr>
          <w:rFonts w:ascii="宋体" w:eastAsia="宋体" w:hAnsi="宋体" w:cs="宋体" w:hint="eastAsia"/>
          <w:kern w:val="0"/>
          <w:sz w:val="24"/>
          <w:lang w:bidi="ar"/>
        </w:rPr>
        <w:t xml:space="preserve"> </w:t>
      </w:r>
    </w:p>
    <w:p w14:paraId="59E4C79D"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Save</w:t>
      </w:r>
    </w:p>
    <w:p w14:paraId="59E4C79E"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Reset</w:t>
      </w:r>
    </w:p>
    <w:p w14:paraId="59E4C79F" w14:textId="77777777" w:rsidR="00D7560A" w:rsidRDefault="001E3CAB">
      <w:pPr>
        <w:widowControl/>
        <w:jc w:val="center"/>
      </w:pPr>
      <w:r>
        <w:rPr>
          <w:rFonts w:ascii="宋体" w:eastAsia="宋体" w:hAnsi="宋体" w:cs="宋体"/>
          <w:kern w:val="0"/>
          <w:sz w:val="24"/>
        </w:rPr>
        <w:pict w14:anchorId="59E4C830">
          <v:rect id="_x0000_i1117" style="width:6in;height:1.5pt" o:hralign="center" o:hrstd="t" o:hr="t" fillcolor="#a0a0a0" stroked="f"/>
        </w:pict>
      </w:r>
    </w:p>
    <w:p w14:paraId="59E4C7A0"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Search Results </w:t>
      </w:r>
    </w:p>
    <w:p w14:paraId="59E4C7A1" w14:textId="77777777" w:rsidR="00D7560A" w:rsidRDefault="001E3CAB">
      <w:pPr>
        <w:widowControl/>
        <w:jc w:val="left"/>
        <w:rPr>
          <w:rFonts w:ascii="宋体" w:eastAsia="宋体" w:hAnsi="宋体" w:cs="宋体"/>
          <w:kern w:val="0"/>
          <w:sz w:val="24"/>
        </w:rPr>
      </w:pPr>
      <w:r>
        <w:rPr>
          <w:rFonts w:ascii="宋体" w:eastAsia="宋体" w:hAnsi="宋体" w:cs="宋体" w:hint="eastAsia"/>
          <w:noProof/>
          <w:kern w:val="0"/>
          <w:sz w:val="24"/>
          <w:lang w:bidi="ar"/>
        </w:rPr>
        <w:drawing>
          <wp:inline distT="0" distB="0" distL="114300" distR="114300" wp14:anchorId="59E4C831" wp14:editId="59E4C832">
            <wp:extent cx="38100" cy="38100"/>
            <wp:effectExtent l="0" t="0" r="12700" b="12700"/>
            <wp:docPr id="27" name="图片 131" descr="IMG_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31" descr="IMG_292"/>
                    <pic:cNvPicPr>
                      <a:picLocks noChangeAspect="1"/>
                    </pic:cNvPicPr>
                  </pic:nvPicPr>
                  <pic:blipFill>
                    <a:blip r:embed="rId20"/>
                    <a:stretch>
                      <a:fillRect/>
                    </a:stretch>
                  </pic:blipFill>
                  <pic:spPr>
                    <a:xfrm>
                      <a:off x="0" y="0"/>
                      <a:ext cx="38100" cy="38100"/>
                    </a:xfrm>
                    <a:prstGeom prst="rect">
                      <a:avLst/>
                    </a:prstGeom>
                    <a:noFill/>
                    <a:ln w="9525">
                      <a:noFill/>
                    </a:ln>
                  </pic:spPr>
                </pic:pic>
              </a:graphicData>
            </a:graphic>
          </wp:inline>
        </w:drawing>
      </w:r>
      <w:r>
        <w:rPr>
          <w:rFonts w:ascii="宋体" w:eastAsia="宋体" w:hAnsi="宋体" w:cs="宋体" w:hint="eastAsia"/>
          <w:kern w:val="0"/>
          <w:sz w:val="24"/>
          <w:lang w:bidi="ar"/>
        </w:rPr>
        <w:t xml:space="preserve"> </w:t>
      </w:r>
    </w:p>
    <w:p w14:paraId="59E4C7A2"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Save</w:t>
      </w:r>
    </w:p>
    <w:p w14:paraId="59E4C7A3"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Reset</w:t>
      </w:r>
    </w:p>
    <w:p w14:paraId="59E4C7A4" w14:textId="77777777" w:rsidR="00D7560A" w:rsidRDefault="001E3CAB">
      <w:pPr>
        <w:widowControl/>
        <w:jc w:val="center"/>
      </w:pPr>
      <w:r>
        <w:rPr>
          <w:rFonts w:ascii="宋体" w:eastAsia="宋体" w:hAnsi="宋体" w:cs="宋体"/>
          <w:kern w:val="0"/>
          <w:sz w:val="24"/>
        </w:rPr>
        <w:pict w14:anchorId="59E4C833">
          <v:rect id="_x0000_i1118" style="width:6in;height:1.5pt" o:hralign="center" o:hrstd="t" o:hr="t" fillcolor="#a0a0a0" stroked="f"/>
        </w:pict>
      </w:r>
    </w:p>
    <w:p w14:paraId="59E4C7A5"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Selected Fact </w:t>
      </w:r>
    </w:p>
    <w:p w14:paraId="59E4C7A6" w14:textId="77777777" w:rsidR="00D7560A" w:rsidRDefault="001E3CAB">
      <w:pPr>
        <w:widowControl/>
        <w:jc w:val="left"/>
        <w:rPr>
          <w:rFonts w:ascii="宋体" w:eastAsia="宋体" w:hAnsi="宋体" w:cs="宋体"/>
          <w:kern w:val="0"/>
          <w:sz w:val="24"/>
        </w:rPr>
      </w:pPr>
      <w:r>
        <w:rPr>
          <w:rFonts w:ascii="宋体" w:eastAsia="宋体" w:hAnsi="宋体" w:cs="宋体" w:hint="eastAsia"/>
          <w:noProof/>
          <w:kern w:val="0"/>
          <w:sz w:val="24"/>
          <w:lang w:bidi="ar"/>
        </w:rPr>
        <w:drawing>
          <wp:inline distT="0" distB="0" distL="114300" distR="114300" wp14:anchorId="59E4C834" wp14:editId="59E4C835">
            <wp:extent cx="38100" cy="38100"/>
            <wp:effectExtent l="0" t="0" r="12700" b="12700"/>
            <wp:docPr id="37" name="图片 133" descr="IMG_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33" descr="IMG_293"/>
                    <pic:cNvPicPr>
                      <a:picLocks noChangeAspect="1"/>
                    </pic:cNvPicPr>
                  </pic:nvPicPr>
                  <pic:blipFill>
                    <a:blip r:embed="rId20"/>
                    <a:stretch>
                      <a:fillRect/>
                    </a:stretch>
                  </pic:blipFill>
                  <pic:spPr>
                    <a:xfrm>
                      <a:off x="0" y="0"/>
                      <a:ext cx="38100" cy="38100"/>
                    </a:xfrm>
                    <a:prstGeom prst="rect">
                      <a:avLst/>
                    </a:prstGeom>
                    <a:noFill/>
                    <a:ln w="9525">
                      <a:noFill/>
                    </a:ln>
                  </pic:spPr>
                </pic:pic>
              </a:graphicData>
            </a:graphic>
          </wp:inline>
        </w:drawing>
      </w:r>
      <w:r>
        <w:rPr>
          <w:rFonts w:ascii="宋体" w:eastAsia="宋体" w:hAnsi="宋体" w:cs="宋体" w:hint="eastAsia"/>
          <w:kern w:val="0"/>
          <w:sz w:val="24"/>
          <w:lang w:bidi="ar"/>
        </w:rPr>
        <w:t xml:space="preserve"> </w:t>
      </w:r>
    </w:p>
    <w:p w14:paraId="59E4C7A7"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Save</w:t>
      </w:r>
    </w:p>
    <w:p w14:paraId="59E4C7A8"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Reset</w:t>
      </w:r>
    </w:p>
    <w:p w14:paraId="59E4C7A9" w14:textId="77777777" w:rsidR="00D7560A" w:rsidRDefault="001E3CAB">
      <w:pPr>
        <w:widowControl/>
        <w:jc w:val="center"/>
      </w:pPr>
      <w:r>
        <w:rPr>
          <w:rFonts w:ascii="宋体" w:eastAsia="宋体" w:hAnsi="宋体" w:cs="宋体"/>
          <w:kern w:val="0"/>
          <w:sz w:val="24"/>
        </w:rPr>
        <w:pict w14:anchorId="59E4C836">
          <v:rect id="_x0000_i1119" style="width:6in;height:1.5pt" o:hralign="center" o:hrstd="t" o:hr="t" fillcolor="#a0a0a0" stroked="f"/>
        </w:pict>
      </w:r>
    </w:p>
    <w:p w14:paraId="59E4C7AA"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Tag Shading (hover) </w:t>
      </w:r>
    </w:p>
    <w:p w14:paraId="59E4C7AB" w14:textId="77777777" w:rsidR="00D7560A" w:rsidRDefault="001E3CAB">
      <w:pPr>
        <w:widowControl/>
        <w:jc w:val="left"/>
        <w:rPr>
          <w:rFonts w:ascii="宋体" w:eastAsia="宋体" w:hAnsi="宋体" w:cs="宋体"/>
          <w:kern w:val="0"/>
          <w:sz w:val="24"/>
        </w:rPr>
      </w:pPr>
      <w:r>
        <w:rPr>
          <w:rFonts w:ascii="宋体" w:eastAsia="宋体" w:hAnsi="宋体" w:cs="宋体" w:hint="eastAsia"/>
          <w:noProof/>
          <w:kern w:val="0"/>
          <w:sz w:val="24"/>
          <w:lang w:bidi="ar"/>
        </w:rPr>
        <w:drawing>
          <wp:inline distT="0" distB="0" distL="114300" distR="114300" wp14:anchorId="59E4C837" wp14:editId="59E4C838">
            <wp:extent cx="38100" cy="38100"/>
            <wp:effectExtent l="0" t="0" r="12700" b="12700"/>
            <wp:docPr id="35" name="图片 135" descr="IMG_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35" descr="IMG_294"/>
                    <pic:cNvPicPr>
                      <a:picLocks noChangeAspect="1"/>
                    </pic:cNvPicPr>
                  </pic:nvPicPr>
                  <pic:blipFill>
                    <a:blip r:embed="rId20"/>
                    <a:stretch>
                      <a:fillRect/>
                    </a:stretch>
                  </pic:blipFill>
                  <pic:spPr>
                    <a:xfrm>
                      <a:off x="0" y="0"/>
                      <a:ext cx="38100" cy="38100"/>
                    </a:xfrm>
                    <a:prstGeom prst="rect">
                      <a:avLst/>
                    </a:prstGeom>
                    <a:noFill/>
                    <a:ln w="9525">
                      <a:noFill/>
                    </a:ln>
                  </pic:spPr>
                </pic:pic>
              </a:graphicData>
            </a:graphic>
          </wp:inline>
        </w:drawing>
      </w:r>
      <w:r>
        <w:rPr>
          <w:rFonts w:ascii="宋体" w:eastAsia="宋体" w:hAnsi="宋体" w:cs="宋体" w:hint="eastAsia"/>
          <w:kern w:val="0"/>
          <w:sz w:val="24"/>
          <w:lang w:bidi="ar"/>
        </w:rPr>
        <w:t xml:space="preserve"> </w:t>
      </w:r>
    </w:p>
    <w:p w14:paraId="59E4C7AC"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Save</w:t>
      </w:r>
    </w:p>
    <w:p w14:paraId="59E4C7AD"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Reset</w:t>
      </w:r>
    </w:p>
    <w:p w14:paraId="59E4C7AE" w14:textId="77777777" w:rsidR="00D7560A" w:rsidRDefault="001E3CAB">
      <w:pPr>
        <w:pStyle w:val="z-1"/>
        <w:widowControl/>
        <w:rPr>
          <w:rFonts w:cs="宋体"/>
        </w:rPr>
      </w:pPr>
      <w:r>
        <w:rPr>
          <w:rFonts w:ascii="宋体" w:cs="宋体" w:hint="eastAsia"/>
        </w:rPr>
        <w:t>窗体底端</w:t>
      </w:r>
    </w:p>
    <w:p w14:paraId="59E4C7AF"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Copy and Paste Below Content. </w:t>
      </w:r>
      <w:r>
        <w:rPr>
          <w:rFonts w:ascii="宋体" w:eastAsia="宋体" w:hAnsi="宋体" w:cs="宋体" w:hint="eastAsia"/>
          <w:noProof/>
          <w:kern w:val="0"/>
          <w:sz w:val="24"/>
          <w:lang w:bidi="ar"/>
        </w:rPr>
        <w:drawing>
          <wp:inline distT="0" distB="0" distL="114300" distR="114300" wp14:anchorId="59E4C839" wp14:editId="59E4C83A">
            <wp:extent cx="38100" cy="38100"/>
            <wp:effectExtent l="0" t="0" r="12700" b="12700"/>
            <wp:docPr id="26" name="图片 136" descr="IMG_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36" descr="IMG_295"/>
                    <pic:cNvPicPr>
                      <a:picLocks noChangeAspect="1"/>
                    </pic:cNvPicPr>
                  </pic:nvPicPr>
                  <pic:blipFill>
                    <a:blip r:embed="rId20"/>
                    <a:stretch>
                      <a:fillRect/>
                    </a:stretch>
                  </pic:blipFill>
                  <pic:spPr>
                    <a:xfrm>
                      <a:off x="0" y="0"/>
                      <a:ext cx="38100" cy="38100"/>
                    </a:xfrm>
                    <a:prstGeom prst="rect">
                      <a:avLst/>
                    </a:prstGeom>
                    <a:noFill/>
                    <a:ln w="9525">
                      <a:noFill/>
                    </a:ln>
                  </pic:spPr>
                </pic:pic>
              </a:graphicData>
            </a:graphic>
          </wp:inline>
        </w:drawing>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D7560A" w14:paraId="59E4C7B1" w14:textId="77777777">
        <w:trPr>
          <w:tblCellSpacing w:w="15" w:type="dxa"/>
        </w:trPr>
        <w:tc>
          <w:tcPr>
            <w:tcW w:w="0" w:type="auto"/>
            <w:tcBorders>
              <w:top w:val="nil"/>
              <w:left w:val="nil"/>
              <w:bottom w:val="nil"/>
              <w:right w:val="nil"/>
            </w:tcBorders>
            <w:shd w:val="clear" w:color="auto" w:fill="auto"/>
            <w:vAlign w:val="center"/>
          </w:tcPr>
          <w:p w14:paraId="59E4C7B0" w14:textId="77777777" w:rsidR="00D7560A" w:rsidRDefault="00D7560A">
            <w:pPr>
              <w:widowControl/>
              <w:jc w:val="left"/>
              <w:rPr>
                <w:rFonts w:ascii="Times New Roman" w:eastAsia="宋体" w:hAnsi="宋体" w:cs="宋体"/>
                <w:kern w:val="0"/>
                <w:sz w:val="24"/>
              </w:rPr>
            </w:pPr>
          </w:p>
        </w:tc>
      </w:tr>
    </w:tbl>
    <w:p w14:paraId="59E4C7B2" w14:textId="77777777" w:rsidR="00D7560A" w:rsidRDefault="001E3CAB">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D7560A" w14:paraId="59E4C7B4" w14:textId="77777777">
        <w:trPr>
          <w:tblCellSpacing w:w="15" w:type="dxa"/>
        </w:trPr>
        <w:tc>
          <w:tcPr>
            <w:tcW w:w="0" w:type="auto"/>
            <w:tcBorders>
              <w:top w:val="nil"/>
              <w:left w:val="nil"/>
              <w:bottom w:val="nil"/>
              <w:right w:val="nil"/>
            </w:tcBorders>
            <w:shd w:val="clear" w:color="auto" w:fill="auto"/>
            <w:vAlign w:val="center"/>
          </w:tcPr>
          <w:p w14:paraId="59E4C7B3" w14:textId="77777777" w:rsidR="00D7560A" w:rsidRDefault="00D7560A">
            <w:pPr>
              <w:widowControl/>
              <w:jc w:val="left"/>
              <w:rPr>
                <w:rFonts w:ascii="Times New Roman" w:eastAsia="宋体" w:hAnsi="宋体" w:cs="宋体"/>
                <w:kern w:val="0"/>
                <w:sz w:val="24"/>
              </w:rPr>
            </w:pPr>
          </w:p>
        </w:tc>
      </w:tr>
    </w:tbl>
    <w:p w14:paraId="59E4C7B5" w14:textId="77777777" w:rsidR="00D7560A" w:rsidRDefault="001E3CAB">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D7560A" w14:paraId="59E4C7B7" w14:textId="77777777">
        <w:trPr>
          <w:tblCellSpacing w:w="15" w:type="dxa"/>
        </w:trPr>
        <w:tc>
          <w:tcPr>
            <w:tcW w:w="0" w:type="auto"/>
            <w:tcBorders>
              <w:top w:val="nil"/>
              <w:left w:val="nil"/>
              <w:bottom w:val="nil"/>
              <w:right w:val="nil"/>
            </w:tcBorders>
            <w:shd w:val="clear" w:color="auto" w:fill="auto"/>
            <w:vAlign w:val="center"/>
          </w:tcPr>
          <w:p w14:paraId="59E4C7B6" w14:textId="77777777" w:rsidR="00D7560A" w:rsidRDefault="00D7560A">
            <w:pPr>
              <w:widowControl/>
              <w:jc w:val="left"/>
              <w:rPr>
                <w:rFonts w:ascii="Times New Roman" w:eastAsia="宋体" w:hAnsi="宋体" w:cs="宋体"/>
                <w:kern w:val="0"/>
                <w:sz w:val="24"/>
              </w:rPr>
            </w:pPr>
          </w:p>
        </w:tc>
      </w:tr>
    </w:tbl>
    <w:p w14:paraId="59E4C7B8" w14:textId="77777777" w:rsidR="00D7560A" w:rsidRDefault="001E3CAB">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D7560A" w14:paraId="59E4C7BA" w14:textId="77777777">
        <w:trPr>
          <w:tblCellSpacing w:w="15" w:type="dxa"/>
        </w:trPr>
        <w:tc>
          <w:tcPr>
            <w:tcW w:w="0" w:type="auto"/>
            <w:tcBorders>
              <w:top w:val="nil"/>
              <w:left w:val="nil"/>
              <w:bottom w:val="nil"/>
              <w:right w:val="nil"/>
            </w:tcBorders>
            <w:shd w:val="clear" w:color="auto" w:fill="auto"/>
            <w:vAlign w:val="center"/>
          </w:tcPr>
          <w:p w14:paraId="59E4C7B9" w14:textId="77777777" w:rsidR="00D7560A" w:rsidRDefault="00D7560A">
            <w:pPr>
              <w:widowControl/>
              <w:jc w:val="left"/>
              <w:rPr>
                <w:rFonts w:ascii="Times New Roman" w:eastAsia="宋体" w:hAnsi="宋体" w:cs="宋体"/>
                <w:kern w:val="0"/>
                <w:sz w:val="24"/>
              </w:rPr>
            </w:pPr>
          </w:p>
        </w:tc>
      </w:tr>
    </w:tbl>
    <w:p w14:paraId="59E4C7BB"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Previous Next </w:t>
      </w:r>
    </w:p>
    <w:p w14:paraId="59E4C7BC" w14:textId="77777777" w:rsidR="00D7560A" w:rsidRDefault="001E3CAB">
      <w:pPr>
        <w:pStyle w:val="a3"/>
        <w:widowControl/>
        <w:rPr>
          <w:rFonts w:cs="宋体"/>
        </w:rPr>
      </w:pPr>
      <w:r>
        <w:rPr>
          <w:rFonts w:cs="宋体" w:hint="eastAsia"/>
          <w:lang w:bidi="ar"/>
        </w:rPr>
        <w:t xml:space="preserve">Nested Facts / </w:t>
      </w:r>
    </w:p>
    <w:p w14:paraId="59E4C7BD"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Previous Next </w:t>
      </w:r>
    </w:p>
    <w:p w14:paraId="59E4C7BE"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Copy and Paste Below Content. </w:t>
      </w:r>
      <w:r>
        <w:rPr>
          <w:rFonts w:ascii="宋体" w:eastAsia="宋体" w:hAnsi="宋体" w:cs="宋体" w:hint="eastAsia"/>
          <w:noProof/>
          <w:kern w:val="0"/>
          <w:sz w:val="24"/>
          <w:lang w:bidi="ar"/>
        </w:rPr>
        <w:drawing>
          <wp:inline distT="0" distB="0" distL="114300" distR="114300" wp14:anchorId="59E4C83B" wp14:editId="59E4C83C">
            <wp:extent cx="38100" cy="38100"/>
            <wp:effectExtent l="0" t="0" r="12700" b="12700"/>
            <wp:docPr id="32" name="图片 137" descr="IMG_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37" descr="IMG_296"/>
                    <pic:cNvPicPr>
                      <a:picLocks noChangeAspect="1"/>
                    </pic:cNvPicPr>
                  </pic:nvPicPr>
                  <pic:blipFill>
                    <a:blip r:embed="rId20"/>
                    <a:stretch>
                      <a:fillRect/>
                    </a:stretch>
                  </pic:blipFill>
                  <pic:spPr>
                    <a:xfrm>
                      <a:off x="0" y="0"/>
                      <a:ext cx="38100" cy="38100"/>
                    </a:xfrm>
                    <a:prstGeom prst="rect">
                      <a:avLst/>
                    </a:prstGeom>
                    <a:noFill/>
                    <a:ln w="9525">
                      <a:noFill/>
                    </a:ln>
                  </pic:spPr>
                </pic:pic>
              </a:graphicData>
            </a:graphic>
          </wp:inline>
        </w:drawing>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D7560A" w14:paraId="59E4C7C0" w14:textId="77777777">
        <w:trPr>
          <w:tblCellSpacing w:w="15" w:type="dxa"/>
        </w:trPr>
        <w:tc>
          <w:tcPr>
            <w:tcW w:w="0" w:type="auto"/>
            <w:tcBorders>
              <w:top w:val="nil"/>
              <w:left w:val="nil"/>
              <w:bottom w:val="nil"/>
              <w:right w:val="nil"/>
            </w:tcBorders>
            <w:shd w:val="clear" w:color="auto" w:fill="auto"/>
            <w:vAlign w:val="center"/>
          </w:tcPr>
          <w:p w14:paraId="59E4C7BF" w14:textId="77777777" w:rsidR="00D7560A" w:rsidRDefault="00D7560A">
            <w:pPr>
              <w:widowControl/>
              <w:jc w:val="left"/>
              <w:rPr>
                <w:rFonts w:ascii="Times New Roman" w:eastAsia="宋体" w:hAnsi="宋体" w:cs="宋体"/>
                <w:kern w:val="0"/>
                <w:sz w:val="24"/>
              </w:rPr>
            </w:pPr>
          </w:p>
        </w:tc>
      </w:tr>
    </w:tbl>
    <w:p w14:paraId="59E4C7C1" w14:textId="77777777" w:rsidR="00D7560A" w:rsidRDefault="001E3CAB">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D7560A" w14:paraId="59E4C7C3" w14:textId="77777777">
        <w:trPr>
          <w:tblCellSpacing w:w="15" w:type="dxa"/>
        </w:trPr>
        <w:tc>
          <w:tcPr>
            <w:tcW w:w="0" w:type="auto"/>
            <w:tcBorders>
              <w:top w:val="nil"/>
              <w:left w:val="nil"/>
              <w:bottom w:val="nil"/>
              <w:right w:val="nil"/>
            </w:tcBorders>
            <w:shd w:val="clear" w:color="auto" w:fill="auto"/>
            <w:vAlign w:val="center"/>
          </w:tcPr>
          <w:p w14:paraId="59E4C7C2" w14:textId="77777777" w:rsidR="00D7560A" w:rsidRDefault="00D7560A">
            <w:pPr>
              <w:widowControl/>
              <w:jc w:val="left"/>
              <w:rPr>
                <w:rFonts w:ascii="Times New Roman" w:eastAsia="宋体" w:hAnsi="宋体" w:cs="宋体"/>
                <w:kern w:val="0"/>
                <w:sz w:val="24"/>
              </w:rPr>
            </w:pPr>
          </w:p>
        </w:tc>
      </w:tr>
    </w:tbl>
    <w:p w14:paraId="59E4C7C4" w14:textId="77777777" w:rsidR="00D7560A" w:rsidRDefault="001E3CAB">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D7560A" w14:paraId="59E4C7C6" w14:textId="77777777">
        <w:trPr>
          <w:tblCellSpacing w:w="15" w:type="dxa"/>
        </w:trPr>
        <w:tc>
          <w:tcPr>
            <w:tcW w:w="0" w:type="auto"/>
            <w:tcBorders>
              <w:top w:val="nil"/>
              <w:left w:val="nil"/>
              <w:bottom w:val="nil"/>
              <w:right w:val="nil"/>
            </w:tcBorders>
            <w:shd w:val="clear" w:color="auto" w:fill="auto"/>
            <w:vAlign w:val="center"/>
          </w:tcPr>
          <w:p w14:paraId="59E4C7C5" w14:textId="77777777" w:rsidR="00D7560A" w:rsidRDefault="00D7560A">
            <w:pPr>
              <w:widowControl/>
              <w:jc w:val="left"/>
              <w:rPr>
                <w:rFonts w:ascii="Times New Roman" w:eastAsia="宋体" w:hAnsi="宋体" w:cs="宋体"/>
                <w:kern w:val="0"/>
                <w:sz w:val="24"/>
              </w:rPr>
            </w:pPr>
          </w:p>
        </w:tc>
      </w:tr>
    </w:tbl>
    <w:p w14:paraId="59E4C7C7" w14:textId="77777777" w:rsidR="00D7560A" w:rsidRDefault="001E3CAB">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D7560A" w14:paraId="59E4C7C9" w14:textId="77777777">
        <w:trPr>
          <w:tblCellSpacing w:w="15" w:type="dxa"/>
        </w:trPr>
        <w:tc>
          <w:tcPr>
            <w:tcW w:w="0" w:type="auto"/>
            <w:tcBorders>
              <w:top w:val="nil"/>
              <w:left w:val="nil"/>
              <w:bottom w:val="nil"/>
              <w:right w:val="nil"/>
            </w:tcBorders>
            <w:shd w:val="clear" w:color="auto" w:fill="auto"/>
            <w:vAlign w:val="center"/>
          </w:tcPr>
          <w:p w14:paraId="59E4C7C8" w14:textId="77777777" w:rsidR="00D7560A" w:rsidRDefault="00D7560A">
            <w:pPr>
              <w:widowControl/>
              <w:jc w:val="left"/>
              <w:rPr>
                <w:rFonts w:ascii="Times New Roman" w:eastAsia="宋体" w:hAnsi="宋体" w:cs="宋体"/>
                <w:kern w:val="0"/>
                <w:sz w:val="24"/>
              </w:rPr>
            </w:pPr>
          </w:p>
        </w:tc>
      </w:tr>
    </w:tbl>
    <w:p w14:paraId="59E4C7CA" w14:textId="77777777" w:rsidR="00D7560A" w:rsidRDefault="001E3CAB">
      <w:pPr>
        <w:widowControl/>
        <w:jc w:val="left"/>
        <w:rPr>
          <w:rFonts w:ascii="宋体" w:eastAsia="宋体" w:hAnsi="宋体" w:cs="宋体"/>
          <w:kern w:val="0"/>
          <w:sz w:val="24"/>
        </w:rPr>
      </w:pPr>
      <w:r>
        <w:rPr>
          <w:rFonts w:ascii="宋体" w:eastAsia="宋体" w:hAnsi="宋体" w:cs="宋体" w:hint="eastAsia"/>
          <w:kern w:val="0"/>
          <w:sz w:val="24"/>
          <w:lang w:bidi="ar"/>
        </w:rPr>
        <w:t xml:space="preserve">Previous Next </w:t>
      </w:r>
    </w:p>
    <w:p w14:paraId="59E4C7CB" w14:textId="77777777" w:rsidR="00D7560A" w:rsidRDefault="00D7560A"/>
    <w:sectPr w:rsidR="00D7560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168FB3" w14:textId="77777777" w:rsidR="001E3CAB" w:rsidRDefault="001E3CAB" w:rsidP="001E3CAB">
      <w:r>
        <w:separator/>
      </w:r>
    </w:p>
  </w:endnote>
  <w:endnote w:type="continuationSeparator" w:id="0">
    <w:p w14:paraId="7682F28C" w14:textId="77777777" w:rsidR="001E3CAB" w:rsidRDefault="001E3CAB" w:rsidP="001E3C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等线"/>
    <w:panose1 w:val="020B0604020202020204"/>
    <w:charset w:val="86"/>
    <w:family w:val="auto"/>
    <w:pitch w:val="default"/>
    <w:sig w:usb0="00000000" w:usb1="00000000" w:usb2="00000000" w:usb3="00000000" w:csb0="003E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1CE170" w14:textId="77777777" w:rsidR="001E3CAB" w:rsidRDefault="001E3CAB" w:rsidP="001E3CAB">
      <w:r>
        <w:separator/>
      </w:r>
    </w:p>
  </w:footnote>
  <w:footnote w:type="continuationSeparator" w:id="0">
    <w:p w14:paraId="358C11F5" w14:textId="77777777" w:rsidR="001E3CAB" w:rsidRDefault="001E3CAB" w:rsidP="001E3CA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3FFCF4CB"/>
    <w:rsid w:val="001E3CAB"/>
    <w:rsid w:val="00D7560A"/>
    <w:rsid w:val="3FFCF4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9E47E8F"/>
  <w15:docId w15:val="{CDF1BAE6-75F1-4203-A697-B9D181D6C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bCs/>
      <w:kern w:val="0"/>
      <w:sz w:val="36"/>
      <w:szCs w:val="36"/>
    </w:rPr>
  </w:style>
  <w:style w:type="paragraph" w:styleId="5">
    <w:name w:val="heading 5"/>
    <w:basedOn w:val="a"/>
    <w:next w:val="a"/>
    <w:semiHidden/>
    <w:unhideWhenUsed/>
    <w:qFormat/>
    <w:pPr>
      <w:pBdr>
        <w:top w:val="single" w:sz="18" w:space="0" w:color="FFFFFF"/>
        <w:left w:val="single" w:sz="18" w:space="0" w:color="FFFFFF"/>
        <w:bottom w:val="single" w:sz="18" w:space="0" w:color="FFFFFF"/>
        <w:right w:val="single" w:sz="18" w:space="0" w:color="FFFFFF"/>
      </w:pBdr>
      <w:spacing w:beforeAutospacing="1" w:afterAutospacing="1"/>
      <w:jc w:val="left"/>
      <w:outlineLvl w:val="4"/>
    </w:pPr>
    <w:rPr>
      <w:rFonts w:ascii="宋体" w:eastAsia="宋体" w:hAnsi="宋体" w:cs="Times New Roman" w:hint="eastAsia"/>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styleId="a3">
    <w:name w:val="Normal (Web)"/>
    <w:basedOn w:val="a"/>
    <w:pPr>
      <w:spacing w:beforeAutospacing="1" w:afterAutospacing="1"/>
      <w:jc w:val="left"/>
    </w:pPr>
    <w:rPr>
      <w:rFonts w:ascii="宋体" w:eastAsia="宋体" w:hAnsi="宋体" w:cs="Times New Roman"/>
      <w:kern w:val="0"/>
      <w:sz w:val="24"/>
    </w:rPr>
  </w:style>
  <w:style w:type="character" w:styleId="a4">
    <w:name w:val="Hyperlink"/>
    <w:basedOn w:val="a0"/>
    <w:rPr>
      <w:color w:val="0000FF"/>
      <w:u w:val="single"/>
    </w:rPr>
  </w:style>
  <w:style w:type="paragraph" w:customStyle="1" w:styleId="z-1">
    <w:name w:val="z-窗体底端1"/>
    <w:basedOn w:val="a"/>
    <w:pPr>
      <w:pBdr>
        <w:top w:val="single" w:sz="6" w:space="1" w:color="auto"/>
      </w:pBdr>
      <w:jc w:val="center"/>
    </w:pPr>
    <w:rPr>
      <w:rFonts w:ascii="Arial" w:eastAsia="宋体" w:hAnsi="宋体" w:cs="Times New Roman"/>
      <w:vanish/>
      <w:kern w:val="0"/>
      <w:sz w:val="16"/>
      <w:szCs w:val="16"/>
    </w:rPr>
  </w:style>
  <w:style w:type="paragraph" w:customStyle="1" w:styleId="z-10">
    <w:name w:val="z-窗体顶端1"/>
    <w:basedOn w:val="a"/>
    <w:pPr>
      <w:pBdr>
        <w:bottom w:val="single" w:sz="6" w:space="1" w:color="auto"/>
      </w:pBdr>
      <w:jc w:val="center"/>
    </w:pPr>
    <w:rPr>
      <w:rFonts w:ascii="Arial" w:eastAsia="宋体" w:hAnsi="宋体" w:cs="Times New Roman"/>
      <w:vanish/>
      <w:kern w:val="0"/>
      <w:sz w:val="16"/>
      <w:szCs w:val="16"/>
    </w:rPr>
  </w:style>
  <w:style w:type="character" w:customStyle="1" w:styleId="15">
    <w:name w:val="15"/>
    <w:basedOn w:val="a0"/>
    <w:rPr>
      <w:rFonts w:ascii="Times New Roman" w:hAnsi="Times New Roman" w:cs="Times New Roman" w:hint="default"/>
      <w:b/>
    </w:rPr>
  </w:style>
  <w:style w:type="character" w:customStyle="1" w:styleId="16">
    <w:name w:val="16"/>
    <w:basedOn w:val="a0"/>
    <w:rPr>
      <w:rFonts w:ascii="Times New Roman" w:hAnsi="Times New Roman" w:cs="Times New Roman" w:hint="default"/>
      <w:color w:val="0000FF"/>
      <w:u w:val="single"/>
    </w:rPr>
  </w:style>
  <w:style w:type="character" w:customStyle="1" w:styleId="10">
    <w:name w:val="10"/>
    <w:basedOn w:val="a0"/>
    <w:rPr>
      <w:rFonts w:ascii="Times New Roman" w:hAnsi="Times New Roman" w:cs="Times New Roman" w:hint="default"/>
    </w:rPr>
  </w:style>
  <w:style w:type="paragraph" w:styleId="a5">
    <w:name w:val="header"/>
    <w:basedOn w:val="a"/>
    <w:link w:val="a6"/>
    <w:rsid w:val="001E3CA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1E3CAB"/>
    <w:rPr>
      <w:rFonts w:asciiTheme="minorHAnsi" w:eastAsiaTheme="minorEastAsia" w:hAnsiTheme="minorHAnsi" w:cstheme="minorBidi"/>
      <w:kern w:val="2"/>
      <w:sz w:val="18"/>
      <w:szCs w:val="18"/>
    </w:rPr>
  </w:style>
  <w:style w:type="paragraph" w:styleId="a7">
    <w:name w:val="footer"/>
    <w:basedOn w:val="a"/>
    <w:link w:val="a8"/>
    <w:rsid w:val="001E3CAB"/>
    <w:pPr>
      <w:tabs>
        <w:tab w:val="center" w:pos="4153"/>
        <w:tab w:val="right" w:pos="8306"/>
      </w:tabs>
      <w:snapToGrid w:val="0"/>
      <w:jc w:val="left"/>
    </w:pPr>
    <w:rPr>
      <w:sz w:val="18"/>
      <w:szCs w:val="18"/>
    </w:rPr>
  </w:style>
  <w:style w:type="character" w:customStyle="1" w:styleId="a8">
    <w:name w:val="页脚 字符"/>
    <w:basedOn w:val="a0"/>
    <w:link w:val="a7"/>
    <w:rsid w:val="001E3CAB"/>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sec.gov/ix?doc=/Archives/edgar/data/0001571996/000157199622000025/dell-20220627.htm" TargetMode="External"/><Relationship Id="rId13" Type="http://schemas.openxmlformats.org/officeDocument/2006/relationships/hyperlink" Target="https://www.sec.gov/Archives/edgar/data/0001571996/000157199622000031/exhibit221q2fy23.htm" TargetMode="External"/><Relationship Id="rId18" Type="http://schemas.openxmlformats.org/officeDocument/2006/relationships/hyperlink" Target="https://www.sec.gov/Archives/edgar/data/0001571996/000157199622000031/exhibit321q2fy23.htm"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www.sec.gov/Archives/edgar/data/0001571996/000157199622000025/ex31sixtharcertofdti.htm" TargetMode="External"/><Relationship Id="rId12" Type="http://schemas.openxmlformats.org/officeDocument/2006/relationships/hyperlink" Target="https://www.sec.gov/Archives/edgar/data/0001571996/000157199622000031/exhibit221q2fy23.htm" TargetMode="External"/><Relationship Id="rId17" Type="http://schemas.openxmlformats.org/officeDocument/2006/relationships/hyperlink" Target="https://www.sec.gov/Archives/edgar/data/0001571996/000157199622000031/exhibit312q2fy23.htm" TargetMode="External"/><Relationship Id="rId2" Type="http://schemas.openxmlformats.org/officeDocument/2006/relationships/settings" Target="settings.xml"/><Relationship Id="rId16" Type="http://schemas.openxmlformats.org/officeDocument/2006/relationships/hyperlink" Target="https://www.sec.gov/Archives/edgar/data/0001571996/000157199622000031/exhibit312q2fy23.htm" TargetMode="External"/><Relationship Id="rId20" Type="http://schemas.openxmlformats.org/officeDocument/2006/relationships/image" Target="media/image1.png"/><Relationship Id="rId1" Type="http://schemas.openxmlformats.org/officeDocument/2006/relationships/styles" Target="styles.xml"/><Relationship Id="rId6" Type="http://schemas.openxmlformats.org/officeDocument/2006/relationships/hyperlink" Target="https://www.sec.gov/ix?doc=/Archives/edgar/data/0001571996/000157199622000025/dell-20220627.htm" TargetMode="External"/><Relationship Id="rId11" Type="http://schemas.openxmlformats.org/officeDocument/2006/relationships/hyperlink" Target="https://www.sec.gov/Archives/edgar/data/0001571996/000157199622000031/exhibit41q2fy23.htm" TargetMode="External"/><Relationship Id="rId5" Type="http://schemas.openxmlformats.org/officeDocument/2006/relationships/endnotes" Target="endnotes.xml"/><Relationship Id="rId15" Type="http://schemas.openxmlformats.org/officeDocument/2006/relationships/hyperlink" Target="https://www.sec.gov/Archives/edgar/data/0001571996/000157199622000031/exhibit311q2fy23.htm" TargetMode="External"/><Relationship Id="rId10" Type="http://schemas.openxmlformats.org/officeDocument/2006/relationships/hyperlink" Target="https://www.sec.gov/Archives/edgar/data/0001571996/000157199622000031/exhibit41q2fy23.htm" TargetMode="External"/><Relationship Id="rId19" Type="http://schemas.openxmlformats.org/officeDocument/2006/relationships/hyperlink" Target="https://www.sec.gov/Archives/edgar/data/0001571996/000157199622000031/exhibit321q2fy23.htm" TargetMode="External"/><Relationship Id="rId4" Type="http://schemas.openxmlformats.org/officeDocument/2006/relationships/footnotes" Target="footnotes.xml"/><Relationship Id="rId9" Type="http://schemas.openxmlformats.org/officeDocument/2006/relationships/hyperlink" Target="https://www.sec.gov/Archives/edgar/data/0001571996/000157199622000025/ex32thirdbylawsofdti.htm" TargetMode="External"/><Relationship Id="rId14" Type="http://schemas.openxmlformats.org/officeDocument/2006/relationships/hyperlink" Target="https://www.sec.gov/Archives/edgar/data/0001571996/000157199622000031/exhibit311q2fy23.htm"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49066</Words>
  <Characters>279681</Characters>
  <Application>Microsoft Office Word</Application>
  <DocSecurity>0</DocSecurity>
  <Lines>2330</Lines>
  <Paragraphs>656</Paragraphs>
  <ScaleCrop>false</ScaleCrop>
  <Company/>
  <LinksUpToDate>false</LinksUpToDate>
  <CharactersWithSpaces>328091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徐馨润</dc:creator>
  <cp:lastModifiedBy>Yue Chongjian</cp:lastModifiedBy>
  <cp:revision>2</cp:revision>
  <dcterms:created xsi:type="dcterms:W3CDTF">2023-02-11T19:09:00Z</dcterms:created>
  <dcterms:modified xsi:type="dcterms:W3CDTF">2023-02-13T13:05:00Z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7B5484C1CFF0ECD65077E763A2361E50</vt:lpwstr>
  </property>
</Properties>
</file>